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36"/>
        </w:rPr>
        <w:t>CONSULTORIO MÉDICO</w:t>
        <w:br/>
        <w:t>[NOMBRE DEL CONSULTORIO]</w:t>
      </w:r>
    </w:p>
    <w:p/>
    <w:p>
      <w:pPr>
        <w:jc w:val="center"/>
      </w:pPr>
      <w:r>
        <w:rPr>
          <w:b/>
          <w:sz w:val="28"/>
        </w:rPr>
        <w:t>PROCESO DE SEGURIDAD DEL PACIENTE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Código:</w:t>
            </w:r>
          </w:p>
        </w:tc>
        <w:tc>
          <w:tcPr>
            <w:tcW w:type="dxa" w:w="4561"/>
          </w:tcPr>
          <w:p>
            <w:r>
              <w:t>PRO-PP-003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Versión:</w:t>
            </w:r>
          </w:p>
        </w:tc>
        <w:tc>
          <w:tcPr>
            <w:tcW w:type="dxa" w:w="4561"/>
          </w:tcPr>
          <w:p>
            <w:r>
              <w:t>1.0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561"/>
          </w:tcPr>
          <w:p>
            <w:r>
              <w:t>07/06/2026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Elaboró:</w:t>
            </w:r>
          </w:p>
        </w:tc>
        <w:tc>
          <w:tcPr>
            <w:tcW w:type="dxa" w:w="4561"/>
          </w:tcPr>
          <w:p>
            <w:r>
              <w:t>[NOMBRE DE LA MÉDICA], Médica General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Revisó: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Aprobó: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Cambio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1824"/>
          </w:tcPr>
          <w:p>
            <w:r>
              <w:t>1.0</w:t>
            </w:r>
          </w:p>
        </w:tc>
        <w:tc>
          <w:tcPr>
            <w:tcW w:type="dxa" w:w="1824"/>
          </w:tcPr>
          <w:p>
            <w:r>
              <w:t>07/06/2026</w:t>
            </w:r>
          </w:p>
        </w:tc>
        <w:tc>
          <w:tcPr>
            <w:tcW w:type="dxa" w:w="1824"/>
          </w:tcPr>
          <w:p>
            <w:r>
              <w:t>Versión inicial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1. OBJETIVO</w:t>
      </w:r>
    </w:p>
    <w:p>
      <w:pPr>
        <w:jc w:val="both"/>
      </w:pPr>
      <w:r>
        <w:rPr>
          <w:rFonts w:ascii="Calibri" w:hAnsi="Calibri"/>
          <w:b w:val="0"/>
          <w:sz w:val="22"/>
        </w:rPr>
        <w:t>Establecer las políticas, estrategias y herramientas para garantizar la seguridad de los pacientes atendidos en el Consultorio [NOMBRE DEL CONSULTORIO], previniendo la ocurrencia de eventos adversos e incidentes, y promoviendo una cultura de seguridad basada en el aprendizaje continuo y la mejora de los procesos asistenciales, en cumplimiento de la Resolución 0256 de 2016 y los lineamientos del Sistema Obligatorio de Garantía de Calidad.</w:t>
      </w:r>
    </w:p>
    <w:p>
      <w:pPr>
        <w:pStyle w:val="Heading1"/>
      </w:pPr>
      <w:r>
        <w:rPr>
          <w:b/>
          <w:color w:val="1F497D"/>
          <w:sz w:val="28"/>
        </w:rPr>
        <w:t>2. MARCO LEGAL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Resolución 0256 de 2016 - Sistema de Información para la Calidad, indicadores de seguridad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Decreto 1011 de 2006 - SOGCS, seguridad del paciente como componente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Resolución 2003 de 2014 - Habilitación, estándares de seguridad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Resolución 3100 de 2019 - Actualización estándares habilitación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OMS - Nueve soluciones para la seguridad del paciente (2007)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Ley 1751 de 2015 - Ley Estatutaria de Salud</w:t>
      </w:r>
    </w:p>
    <w:p>
      <w:pPr>
        <w:pStyle w:val="Heading1"/>
      </w:pPr>
      <w:r>
        <w:rPr>
          <w:b/>
          <w:color w:val="1F497D"/>
          <w:sz w:val="28"/>
        </w:rPr>
        <w:t>3. POLÍTICA DE SEGURIDAD DEL PACIENTE</w:t>
      </w:r>
    </w:p>
    <w:p>
      <w:pPr>
        <w:jc w:val="both"/>
      </w:pPr>
      <w:r>
        <w:rPr>
          <w:rFonts w:ascii="Calibri" w:hAnsi="Calibri"/>
          <w:b w:val="0"/>
          <w:sz w:val="22"/>
        </w:rPr>
        <w:t>El Consultorio [NOMBRE DEL CONSULTORIO], bajo la dirección de la Dra. [NOMBRE DE LA MÉDICA], se compromete a: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Brindar atención médica con los más altos estándares de seguridad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Prevenir activamente la ocurrencia de eventos adversos a través de la implementación de buenas prácticas de seguridad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Promover una cultura de reporte abierto y no punitivo de los incidentes y eventos adversos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Aprender de los errores para mejorar continuamente los procesos de atención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Informar a los pacientes sobre los riesgos inherentes a los procedimientos y los eventos adversos que ocurran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Implementar las metas internacionales de seguridad del paciente adaptadas al contexto del consultorio</w:t>
      </w:r>
    </w:p>
    <w:p>
      <w:pPr>
        <w:pStyle w:val="Heading1"/>
      </w:pPr>
      <w:r>
        <w:rPr>
          <w:b/>
          <w:color w:val="1F497D"/>
          <w:sz w:val="28"/>
        </w:rPr>
        <w:t>4. METAS DE SEGURIDAD DEL PACIENTE</w:t>
      </w:r>
    </w:p>
    <w:p>
      <w:pPr>
        <w:pStyle w:val="Heading2"/>
      </w:pPr>
      <w:r>
        <w:rPr>
          <w:b/>
          <w:color w:val="2E74B5"/>
          <w:sz w:val="24"/>
        </w:rPr>
        <w:t>4.1 Meta 1: Identificación Correcta del Paciente</w:t>
      </w:r>
    </w:p>
    <w:p>
      <w:pPr>
        <w:jc w:val="both"/>
      </w:pPr>
      <w:r>
        <w:rPr>
          <w:rFonts w:ascii="Calibri" w:hAnsi="Calibri"/>
          <w:b w:val="0"/>
          <w:sz w:val="22"/>
        </w:rPr>
        <w:t>Se verificará la identidad del paciente con MÍNIMO DOS IDENTIFICADORES antes de cualquier procedimiento o administración de medicamentos: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Nombre completo del paciente (tal como está en su documento de identidad)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Número de documento de identidad (cédula, TI, pasaporte, etc.)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Los identificadores se verifican consultando el documento físico del paciente o la historia clínica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NUNCA se usa el número de habitación o cama como identificador (no aplica en consultorio, pero el principio se mantiene)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Para procedimientos estéticos: verificar adicionalmente el área anatómica a tratar (coincide con lo descrito en el CI y la HC)</w:t>
      </w:r>
    </w:p>
    <w:p>
      <w:pPr>
        <w:pStyle w:val="Heading2"/>
      </w:pPr>
      <w:r>
        <w:rPr>
          <w:b/>
          <w:color w:val="2E74B5"/>
          <w:sz w:val="24"/>
        </w:rPr>
        <w:t>4.2 Meta 2: Comunicación Efectiva</w:t>
      </w:r>
    </w:p>
    <w:p>
      <w:pPr>
        <w:jc w:val="both"/>
      </w:pPr>
      <w:r>
        <w:rPr>
          <w:rFonts w:ascii="Calibri" w:hAnsi="Calibri"/>
          <w:b w:val="0"/>
          <w:sz w:val="22"/>
        </w:rPr>
        <w:t>La comunicación efectiva entre el médico y el paciente, y entre el médico y otros prestadores de salud, es fundamental para la seguridad: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Técnica SBAR (Situación, Background/Antecedentes, Valoración, Recomendación) para comunicar información clínica a otros prestadores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Comunicación completa del diagnóstico y plan al paciente antes de que abandone el consultorio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Verificar comprensión del paciente: pedir al paciente que repita las instrucciones más importantes (teach-back)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Documentar en la historia clínica todas las comunicaciones relevantes, incluyendo indicaciones dadas al paciente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Para remisiones: incluir en el formulario de remisión toda la información necesaria para la continuidad del cuidado</w:t>
      </w:r>
    </w:p>
    <w:p>
      <w:pPr>
        <w:pStyle w:val="Heading2"/>
      </w:pPr>
      <w:r>
        <w:rPr>
          <w:b/>
          <w:color w:val="2E74B5"/>
          <w:sz w:val="24"/>
        </w:rPr>
        <w:t>4.3 Meta 3: Medicamentos de Alto Riesgo</w:t>
      </w:r>
    </w:p>
    <w:p>
      <w:pPr>
        <w:jc w:val="both"/>
      </w:pPr>
      <w:r>
        <w:rPr>
          <w:rFonts w:ascii="Calibri" w:hAnsi="Calibri"/>
          <w:b w:val="0"/>
          <w:sz w:val="22"/>
        </w:rPr>
        <w:t>Los medicamentos de alto riesgo disponibles en el consultorio requieren manejo especial: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Medicamento/dispositivo de alto riesgo</w:t>
            </w:r>
          </w:p>
        </w:tc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Medida de seguridad específica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Toxina botulínica tipo A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Verificar concentración/dilución antes de administrar. Verificar sitio de inyección en el mapa anatómico. No intercambiar entre marcas sin ajustar dosis (unidades NO equivalentes entre marcas).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Ácido hialurónico (rellenos)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Verificar que es el producto correcto (densidad adecuada para la zona a tratar). Tener hialuronidasa disponible siempre.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Adrenalina del botiquín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Verificar concentración (1:1000 para IM en anafilaxia) vs (1:10000 para IV - NO usar IV sin entrenamiento).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Agentes para peeling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Verificar concentración antes de aplicar. Nunca confundir TCA 10% con TCA 30% - etiquetar claramente.</w:t>
            </w:r>
          </w:p>
        </w:tc>
      </w:tr>
    </w:tbl>
    <w:p/>
    <w:p>
      <w:pPr>
        <w:pStyle w:val="Heading2"/>
      </w:pPr>
      <w:r>
        <w:rPr>
          <w:b/>
          <w:color w:val="2E74B5"/>
          <w:sz w:val="24"/>
        </w:rPr>
        <w:t>4.4 Meta 4: Prevención de Infecciones Asociadas</w:t>
      </w:r>
    </w:p>
    <w:p>
      <w:pPr>
        <w:jc w:val="both"/>
      </w:pPr>
      <w:r>
        <w:rPr>
          <w:rFonts w:ascii="Calibri" w:hAnsi="Calibri"/>
          <w:b w:val="0"/>
          <w:sz w:val="22"/>
        </w:rPr>
        <w:t>La prevención de infecciones es una prioridad de seguridad. Las acciones clave son: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Lavado de manos con técnica OMS de 6 pasos ANTES y DESPUÉS de cada paciente (ver PRO-PP-004)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Uso de guantes estériles para procedimientos invasivos (inyecciones, peelings, PRP)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Antisepsia adecuada de la piel antes de cada inyección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Material estéril de un solo uso para cada paciente (agujas, jeringas, cánulas)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Desinfección adecuada de superficies de trabajo entre pacientes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Gestión correcta de residuos cortopunzantes (guardianes)</w:t>
      </w:r>
    </w:p>
    <w:p>
      <w:pPr>
        <w:pStyle w:val="Heading1"/>
      </w:pPr>
      <w:r>
        <w:rPr>
          <w:b/>
          <w:color w:val="1F497D"/>
          <w:sz w:val="28"/>
        </w:rPr>
        <w:t>5. REPORTE Y ANÁLISIS DE EVENTOS ADVERSOS</w:t>
      </w:r>
    </w:p>
    <w:p>
      <w:pPr>
        <w:pStyle w:val="Heading2"/>
      </w:pPr>
      <w:r>
        <w:rPr>
          <w:b/>
          <w:color w:val="2E74B5"/>
          <w:sz w:val="24"/>
        </w:rPr>
        <w:t>5.1 Definiciones</w:t>
      </w:r>
    </w:p>
    <w:p>
      <w:pPr>
        <w:jc w:val="both"/>
      </w:pPr>
      <w:r>
        <w:rPr>
          <w:b/>
          <w:sz w:val="22"/>
        </w:rPr>
        <w:t xml:space="preserve">Evento adverso: </w:t>
      </w:r>
      <w:r>
        <w:rPr>
          <w:sz w:val="22"/>
        </w:rPr>
        <w:t>Daño involuntario o complicación que ocurre como resultado de la atención de salud y no de la enfermedad subyacente del paciente, que resulta en incapacidad, hospitalización o muerte.</w:t>
      </w:r>
    </w:p>
    <w:p>
      <w:pPr>
        <w:jc w:val="both"/>
      </w:pPr>
      <w:r>
        <w:rPr>
          <w:b/>
          <w:sz w:val="22"/>
        </w:rPr>
        <w:t xml:space="preserve">Incidente: </w:t>
      </w:r>
      <w:r>
        <w:rPr>
          <w:sz w:val="22"/>
        </w:rPr>
        <w:t>Evento que no llega a ocasionar daño al paciente pero que podría haberlo hecho. También se llama 'near miss' o casi-falla.</w:t>
      </w:r>
    </w:p>
    <w:p>
      <w:pPr>
        <w:jc w:val="both"/>
      </w:pPr>
      <w:r>
        <w:rPr>
          <w:b/>
          <w:sz w:val="22"/>
        </w:rPr>
        <w:t xml:space="preserve">Evento centinela: </w:t>
      </w:r>
      <w:r>
        <w:rPr>
          <w:sz w:val="22"/>
        </w:rPr>
        <w:t>Evento adverso grave, inesperado, que requiere investigación inmediata (muerte inesperada, pérdida permanente de función, accidente quirúrgico grave).</w:t>
      </w:r>
    </w:p>
    <w:p>
      <w:pPr>
        <w:jc w:val="both"/>
      </w:pPr>
      <w:r>
        <w:rPr>
          <w:b/>
          <w:sz w:val="22"/>
        </w:rPr>
        <w:t xml:space="preserve">Causa raíz: </w:t>
      </w:r>
      <w:r>
        <w:rPr>
          <w:sz w:val="22"/>
        </w:rPr>
        <w:t>Factores fundamentales que dan origen a un problema, cuya eliminación previene la recurrencia del evento.</w:t>
      </w:r>
    </w:p>
    <w:p>
      <w:pPr>
        <w:pStyle w:val="Heading2"/>
      </w:pPr>
      <w:r>
        <w:rPr>
          <w:b/>
          <w:color w:val="2E74B5"/>
          <w:sz w:val="24"/>
        </w:rPr>
        <w:t>5.2 Proceso de Reporte</w:t>
      </w:r>
    </w:p>
    <w:p>
      <w:pPr>
        <w:jc w:val="both"/>
      </w:pPr>
      <w:r>
        <w:rPr>
          <w:rFonts w:ascii="Calibri" w:hAnsi="Calibri"/>
          <w:b w:val="0"/>
          <w:sz w:val="22"/>
        </w:rPr>
        <w:t>Todo el personal del consultorio (incluyendo la médica propietaria) tiene el DEBER de reportar incidentes y eventos adversos utilizando el formato FOR-PP-005. El reporte es de cultura no punitiva: el objetivo es aprender y mejorar, no sancionar.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Paso 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Identificación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Cualquier persona del consultorio identifica un incidente o evento adverso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Paso 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Atención inmediata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Si el paciente sufrió daño, se atiende primero al paciente, luego se hace el reporte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Paso 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Reporte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Diligenciar el FOR-PP-005 en las primeras 24 horas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Paso 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Análisis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La médica propietaria analiza el evento: qué pasó, por qué pasó (causa raíz)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Paso 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Plan de mejora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 establecen acciones correctivas para evitar la recurrencia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Paso 6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Seguimiento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 hace seguimiento a la implementación de las acciones correctivas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Paso 7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Reporte externo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Los eventos adversos graves se reportan al INVIMA (si relacionados con dispositivos médicos o medicamentos) y a la SDS o entidad territorial de salud si así lo requiere la normativa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6. INDICADORES DE SEGURIDAD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Fórmula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Frecuencia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Tasa de eventos adversos reportados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N° eventos adversos / 100 atenciones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Tendencia a cero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Mensual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% incidentes analizados con plan de mejora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(Incidentes con plan/Total incidentes)×100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Mensual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% cumplimiento protocolo identificación paciente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Auditoria observacional (N° verificaciones correctas/Total)×100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Trimestral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% cumplimiento lavado de manos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(Lavados correctos/Total oportunidades observadas)×100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≥90%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Trimestral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REVISÓ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PRO-PP-003 - V1.0 - 07/06/2026 | Pág.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404040"/>
        <w:sz w:val="16"/>
      </w:rPr>
      <w:t>CONSULTORIO [NOMBRE DEL CONSULTORIO]  |  PRO-PP-003  |  Proceso de Seguridad del Paciente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