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28"/>
        </w:rPr>
        <w:t>PROCESO DE PREVENCIÓN Y CONTROL DE INFECCIONES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PRO-PP-004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MÉDICA], Médica General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1. OBJETIVO</w:t>
      </w:r>
    </w:p>
    <w:p>
      <w:pPr>
        <w:jc w:val="both"/>
      </w:pPr>
      <w:r>
        <w:rPr>
          <w:rFonts w:ascii="Calibri" w:hAnsi="Calibri"/>
          <w:b w:val="0"/>
          <w:sz w:val="22"/>
        </w:rPr>
        <w:t>Establecer las precauciones estándar, los protocolos de esterilización/desinfección y las medidas de bioseguridad necesarias para prevenir la transmisión de microorganismos patógenos durante la atención de los pacientes en el Consultorio [NOMBRE DEL CONSULTORIO], protegiendo tanto a los pacientes como al personal de salud.</w:t>
      </w:r>
    </w:p>
    <w:p>
      <w:pPr>
        <w:pStyle w:val="Heading1"/>
      </w:pPr>
      <w:r>
        <w:rPr>
          <w:b/>
          <w:color w:val="1F497D"/>
          <w:sz w:val="28"/>
        </w:rPr>
        <w:t>2. MARCO LEGAL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Decreto 351 de 2014 - Gestión de residuos generados en atención en salud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Resolución 1164 de 2002 - Manual de procedimientos PGIRH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OMS - Directrices sobre higiene de manos en la atención sanitaria (2009)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Resolución 2003 de 2014 y 3100 de 2019 - Bioseguridad como estándar de habilitación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Decreto 1011 de 2006 - SOGCS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Normas internacionales CDC sobre precauciones estándar</w:t>
      </w:r>
    </w:p>
    <w:p>
      <w:pPr>
        <w:pStyle w:val="Heading1"/>
      </w:pPr>
      <w:r>
        <w:rPr>
          <w:b/>
          <w:color w:val="1F497D"/>
          <w:sz w:val="28"/>
        </w:rPr>
        <w:t>3. PRECAUCIONES ESTÁNDAR</w:t>
      </w:r>
    </w:p>
    <w:p>
      <w:pPr>
        <w:jc w:val="both"/>
      </w:pPr>
      <w:r>
        <w:rPr>
          <w:rFonts w:ascii="Calibri" w:hAnsi="Calibri"/>
          <w:b w:val="0"/>
          <w:sz w:val="22"/>
        </w:rPr>
        <w:t>Las precauciones estándar se aplican a TODOS los pacientes independientemente de su diagnóstico o estado infeccioso conocido. Incluyen:</w:t>
      </w:r>
    </w:p>
    <w:p>
      <w:pPr>
        <w:pStyle w:val="Heading2"/>
      </w:pPr>
      <w:r>
        <w:rPr>
          <w:b/>
          <w:color w:val="2E74B5"/>
          <w:sz w:val="24"/>
        </w:rPr>
        <w:t>3.1 Protocolo de Higiene de Manos (OMS 6 Pasos)</w:t>
      </w:r>
    </w:p>
    <w:p>
      <w:pPr>
        <w:jc w:val="both"/>
      </w:pPr>
      <w:r>
        <w:rPr>
          <w:rFonts w:ascii="Calibri" w:hAnsi="Calibri"/>
          <w:b w:val="0"/>
          <w:sz w:val="22"/>
        </w:rPr>
        <w:t>La higiene de manos es la medida más importante para prevenir infecciones. Se realiza con agua y jabón (cuando las manos están visiblemente sucias) o con alcohol glicerinado al 70% (para manos sin suciedad visible).</w:t>
      </w:r>
    </w:p>
    <w:p>
      <w:pPr>
        <w:jc w:val="both"/>
      </w:pPr>
      <w:r>
        <w:rPr>
          <w:rFonts w:ascii="Calibri" w:hAnsi="Calibri"/>
          <w:b/>
          <w:sz w:val="22"/>
        </w:rPr>
        <w:t>TÉCNICA DE LAVADO CON AGUA Y JABÓN (mínimo 40-60 segundos):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Paso 1: Mojar las manos con agua corriente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Paso 2: Aplicar suficiente jabón para cubrir toda la superficie de las manos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Paso 3: Frotar las palmas entre sí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Paso 4: Frotar la palma derecha sobre el dorso izquierdo con los dedos entrelazados y viceversa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Paso 5: Frotar las palmas entre sí con los dedos entrelazados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Paso 6: Frotar el dorso de los dedos contra la palma opuesta, manteniendo unidos los dedos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Paso 7: Frotar con movimiento rotatorio el pulgar izquierdo atrapándolo con la palma derecha y viceversa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Paso 8: Frotar la punta de los dedos de la mano derecha contra la palma de la mano izquierda haciendo movimiento rotatorio y viceversa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Paso 9: Enjuagar las manos con agua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Paso 10: Secar con toalla desechable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Paso 11: Usar la toalla para cerrar el grifo (no contaminar manos limpias)</w:t>
      </w:r>
    </w:p>
    <w:p>
      <w:pPr>
        <w:jc w:val="both"/>
      </w:pPr>
      <w:r>
        <w:rPr>
          <w:rFonts w:ascii="Calibri" w:hAnsi="Calibri"/>
          <w:b/>
          <w:sz w:val="22"/>
        </w:rPr>
        <w:t>LAS 5 OCASIONES PARA EL LAVADO DE MANOS (OMS):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1. ANTES de tocar al paciente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2. ANTES de realizar una tarea limpia/aséptica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3. DESPUÉS del riesgo de exposición a fluidos corporales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4. DESPUÉS de tocar al paciente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5. DESPUÉS de tocar el entorno del paciente</w:t>
      </w:r>
    </w:p>
    <w:p>
      <w:pPr>
        <w:pStyle w:val="Heading2"/>
      </w:pPr>
      <w:r>
        <w:rPr>
          <w:b/>
          <w:color w:val="2E74B5"/>
          <w:sz w:val="24"/>
        </w:rPr>
        <w:t>3.2 Elementos de Protección Personal (EPP)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EPP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¿Cuándo usar?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disponible en el consultorio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Guantes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Usar guantes para cualquier procedimiento que implique contacto con piel no intacta, mucosas, sangre, fluidos corporales. Cambiar entre pacientes. No tocar superficies con guantes contaminados.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Latex o nitrilo (talla S, M, L disponibles). Estériles para procedimientos invasivos.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Tapabocas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Para procedimientos con riesgo de salpicadura de fluidos. Para la atención de pacientes con síntomas respiratorios. Para procedimientos en zonas próximas a mucosas.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Tapabocas quirúrgico (fluidos) o N95 (aerosoles)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Gafas de protección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Para procedimientos con alto riesgo de salpicadura: extracción de PRP, peelings (vapores químicos), inyecciones en zonas con presión.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Gafas de seguridad o visores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Bata/delantal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Para procedimientos con riesgo de salpicadura significativa.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Bata desechable o lavable (lavado a 60°C+)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4. LIMPIEZA, DESINFECCIÓN Y ESTERILIZACIÓN</w:t>
      </w:r>
    </w:p>
    <w:p>
      <w:pPr>
        <w:pStyle w:val="Heading2"/>
      </w:pPr>
      <w:r>
        <w:rPr>
          <w:b/>
          <w:color w:val="2E74B5"/>
          <w:sz w:val="24"/>
        </w:rPr>
        <w:t>4.1 Niveles de Procesamiento</w:t>
      </w:r>
    </w:p>
    <w:p>
      <w:pPr>
        <w:jc w:val="both"/>
      </w:pPr>
      <w:r>
        <w:rPr>
          <w:rFonts w:ascii="Calibri" w:hAnsi="Calibri"/>
          <w:b w:val="0"/>
          <w:sz w:val="22"/>
        </w:rPr>
        <w:t>Según la clasificación de Spaulding, los materiales e instrumentos del consultorio requieren diferentes niveles de procesamiento: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Clasificación Spaulding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Nivel requerido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Ejemplos en el consultorio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Críticos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Penetran tejidos estériles o el sistema vascular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Esterilización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Agujas, jeringas, cánulas (todos desechables), bisturís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Semicríticos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Contactan mucosas o piel no intacta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Desinfección de alto nivel o esterilización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Espéculos (si aplica), laringoscopio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No críticos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Contactan piel intacta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Desinfección de bajo nivel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Tensiómetro, fonendoscopio, cinta métrica, camilla</w:t>
            </w:r>
          </w:p>
        </w:tc>
      </w:tr>
    </w:tbl>
    <w:p/>
    <w:p>
      <w:pPr>
        <w:pStyle w:val="Heading2"/>
      </w:pPr>
      <w:r>
        <w:rPr>
          <w:b/>
          <w:color w:val="2E74B5"/>
          <w:sz w:val="24"/>
        </w:rPr>
        <w:t>4.2 Desinfección de Superficies</w:t>
      </w:r>
    </w:p>
    <w:p>
      <w:pPr>
        <w:jc w:val="both"/>
      </w:pPr>
      <w:r>
        <w:rPr>
          <w:rFonts w:ascii="Calibri" w:hAnsi="Calibri"/>
          <w:b w:val="0"/>
          <w:sz w:val="22"/>
        </w:rPr>
        <w:t>La desinfección de superficies del área de atención se realiza con los siguientes agentes y frecuencias: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Superficie/equipo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Agente desinfectante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Camilla de examen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Limpiar y desinfectar entre cada paciente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Hipoclorito de sodio al 0.5% o alcohol 70%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Mesa/escritorio médico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Limpieza al inicio y final de la jornada, y cuando hay contaminación visible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Alcohol 70% o solución desinfectante de superficies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Superficies de trabajo (procedimientos estéticos)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Desinfección antes de cada paciente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Hipoclorito 0.5% o alcohol 70%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Pisos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Limpieza con desinfectante al inicio y final de jornada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Hipoclorito 0.5% diluido en agua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Mesas de mayo o auxiliares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Entre cada procedimiento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Alcohol 70%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Tensiómetro, oxímetro (dispositivos)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Entre cada paciente: limpiar con paño con alcohol 70%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Alcohol 70%</w:t>
            </w:r>
          </w:p>
        </w:tc>
      </w:tr>
    </w:tbl>
    <w:p/>
    <w:p>
      <w:pPr>
        <w:pStyle w:val="Heading2"/>
      </w:pPr>
      <w:r>
        <w:rPr>
          <w:b/>
          <w:color w:val="2E74B5"/>
          <w:sz w:val="24"/>
        </w:rPr>
        <w:t>4.3 Preparación de Hipoclorito de Sodio</w:t>
      </w:r>
    </w:p>
    <w:p>
      <w:pPr>
        <w:jc w:val="both"/>
      </w:pPr>
      <w:r>
        <w:rPr>
          <w:rFonts w:ascii="Calibri" w:hAnsi="Calibri"/>
          <w:b w:val="0"/>
          <w:sz w:val="22"/>
        </w:rPr>
        <w:t>El hipoclorito de sodio comercial al 5.25% se diluye para obtener las concentraciones de trabajo: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Concentración deseada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Uso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Dilución con hipoclorito 5.25%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Vigencia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0.5% (5000 ppm)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Desinfección de superficies con materia orgánica visible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 parte de hipoclorito + 9 partes de agua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24 horas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0.1% (1000 ppm)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Desinfección de superficies sin materia orgánica visible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 parte de hipoclorito + 49 partes de agua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24 horas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0.05% (500 ppm)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Limpieza general de pisos, baños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 parte de hipoclorito + 99 partes de agua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24 horas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sz w:val="22"/>
        </w:rPr>
        <w:t>IMPORTANTE: El hipoclorito pierde actividad con la luz y el calor. Preparar fresco cada día. No mezclar con otros desinfectantes (especialmente amoniaco - produce gases tóxicos). Usar guantes al manipular.</w:t>
      </w:r>
    </w:p>
    <w:p>
      <w:pPr>
        <w:pStyle w:val="Heading1"/>
      </w:pPr>
      <w:r>
        <w:rPr>
          <w:b/>
          <w:color w:val="1F497D"/>
          <w:sz w:val="28"/>
        </w:rPr>
        <w:t>5. MANEJO DE RESIDUOS BIOSANITARIOS</w:t>
      </w:r>
    </w:p>
    <w:p>
      <w:pPr>
        <w:jc w:val="both"/>
      </w:pPr>
      <w:r>
        <w:rPr>
          <w:rFonts w:ascii="Calibri" w:hAnsi="Calibri"/>
          <w:b w:val="0"/>
          <w:sz w:val="22"/>
        </w:rPr>
        <w:t>En cumplimiento del Decreto 351 de 2014, el consultorio implementa el siguiente plan de gestión de residuos:</w:t>
      </w:r>
    </w:p>
    <w:p>
      <w:pPr>
        <w:pStyle w:val="Heading2"/>
      </w:pPr>
      <w:r>
        <w:rPr>
          <w:b/>
          <w:color w:val="2E74B5"/>
          <w:sz w:val="24"/>
        </w:rPr>
        <w:t>5.1 Separación en la Fuente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Residuos ordinarios (bolsa NEGRA): papel, empaques limpios, residuos no contaminados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Residuos biosanitarios (bolsa ROJA): gasas contaminadas, guantes usados, algodón con sangre, material de vendaje, empaque de material estéril usado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Residuos cortopunzantes (guardián ROJO): agujas, lancetas, jeringas con aguja integrada (NO doblar ni re-encapsular agujas nunca)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Residuos de medicamentos (bolsa ROJA especial): ampollas vacías, frascos de medicamentos</w:t>
      </w:r>
    </w:p>
    <w:p>
      <w:pPr>
        <w:pStyle w:val="Heading2"/>
      </w:pPr>
      <w:r>
        <w:rPr>
          <w:b/>
          <w:color w:val="2E74B5"/>
          <w:sz w:val="24"/>
        </w:rPr>
        <w:t>5.2 Almacenamiento y Disposición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Los guardianes se sellan cuando están llenos en sus 3/4 partes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Los residuos biosanitarios se entregan a la empresa gestora de residuos peligrosos: [NOMBRE EMPRESA], Contrato N° [N°]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Frecuencia de recolección: [FRECUENCIA PACTADA]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Los residuos ordinarios se llevan a la canasta de basuras del edificio/sector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Los registros de entrega de residuos peligrosos se conservan en la carpeta de habilitación</w:t>
      </w:r>
    </w:p>
    <w:p>
      <w:pPr>
        <w:pStyle w:val="Heading1"/>
      </w:pPr>
      <w:r>
        <w:rPr>
          <w:b/>
          <w:color w:val="1F497D"/>
          <w:sz w:val="28"/>
        </w:rPr>
        <w:t>6. BIOSEGURIDAD ESPECÍFICA PARA PROCEDIMIENTOS ESTÉTICOS</w:t>
      </w:r>
    </w:p>
    <w:p>
      <w:pPr>
        <w:jc w:val="both"/>
      </w:pPr>
      <w:r>
        <w:rPr>
          <w:rFonts w:ascii="Calibri" w:hAnsi="Calibri"/>
          <w:b w:val="0"/>
          <w:sz w:val="22"/>
        </w:rPr>
        <w:t>Los procedimientos estéticos inyectables (toxina botulínica, rellenos, mesoterapia, PRP) implican la ruptura de la barrera cutánea y requieren medidas adicionales de bioseguridad: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Usar SIEMPRE guantes estériles para los procedimientos de inyección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Preparar el material en una superficie limpia y desinfectada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Usar material de un solo uso para cada paciente: agujas, jeringas, cánulas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NUNCA compartir frascos de medicamentos abiertos entre pacientes sin uso de adaptadores estériles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La toxina botulínica una vez reconstituida es para un solo paciente o para usar el mismo día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Desechar INMEDIATAMENTE la aguja en el guardián después de cada inyección (no reencapsular)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Si se produce una salpicadura de sangre sobre la piel intacta: lavar con agua y jabón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Si se produce un pinchazo o corte con material contaminado: lavado abundante, reporte a ARL, protocolo de accidente biológico</w:t>
      </w:r>
    </w:p>
    <w:p>
      <w:pPr>
        <w:pStyle w:val="Heading1"/>
      </w:pPr>
      <w:r>
        <w:rPr>
          <w:b/>
          <w:color w:val="1F497D"/>
          <w:sz w:val="28"/>
        </w:rPr>
        <w:t>7. PROTOCOLO DE ACCIDENTE BIOLÓGICO</w:t>
      </w:r>
    </w:p>
    <w:p>
      <w:pPr>
        <w:jc w:val="both"/>
      </w:pPr>
      <w:r>
        <w:rPr>
          <w:rFonts w:ascii="Calibri" w:hAnsi="Calibri"/>
          <w:b w:val="0"/>
          <w:sz w:val="22"/>
        </w:rPr>
        <w:t>En caso de exposición a sangre u otros fluidos corporales (pinchazo, corte, salpicadura en mucosas):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1. Lavado inmediato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Piel: agua y jabón mínimo 5 minutos. Mucosas: solución salina o agua abundante. NO exprimir la herida.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2. Reporte inmediato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Notificar a la ARL en las primeras 2 horas. Llevar la historia del paciente fuente (si aplica y con confidencialidad).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3. Evaluación médica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Ir al centro de atención de la ARL para evaluación y toma de muestras basales del trabajador y del paciente fuente.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4. Profilaxis post-exposición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Para VIH si el paciente fuente es VIH+ o desconocido en población de alto riesgo: iniciar PEP en las primeras 72 horas. Para VHB: administrar inmunoglobulina si no hay inmunidad y vacunar.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5. Seguimiento serológico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Basal, 6 semanas, 3 meses, 6 meses para VIH y VHB.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6. Registro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Diligenciar FURAT (Formulario Único de Reporte de Accidente de Trabajo) con la ARL.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8. INDICADORES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% cumplimiento protocolo lavado de manos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(Observaciones conformes/Total observaciones)×100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≥90%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Trimestral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% manejo correcto de residuos cortopunzantes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(Residuos en guardián/Total cortopunzantes generados)×100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N° accidentes biológicos reportados y gestionados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Conteo absoluto (reportados vs ocurridos)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Reportar 100%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REVISÓ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PRO-PP-004 - V1.0 - 07/06/2026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PRO-PP-004  |  Proceso de Prevención de Infecciones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