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6B00" w:sz="8" w:space="6"/>
        </w:pBdr>
        <w:spacing w:after="160" w:before="240"/>
        <w:jc w:val="center"/>
      </w:pPr>
      <w:r>
        <w:rPr>
          <w:rFonts w:ascii="Arial" w:cs="Arial" w:eastAsia="Arial" w:hAnsi="Arial"/>
          <w:b/>
          <w:bCs/>
          <w:color w:val="0A3D55"/>
          <w:sz w:val="28"/>
          <w:szCs w:val="28"/>
        </w:rPr>
        <w:t xml:space="preserve">PROTOCOLO DE PROCEDIMIENTOS ESTÉTICOS NO INVASIVOS</w:t>
      </w:r>
    </w:p>
    <w:p>
      <w:pPr>
        <w:spacing w:after="80"/>
      </w:pPr>
      <w:r>
        <w:rPr>
          <w:rFonts w:ascii="Arial" w:cs="Arial" w:eastAsia="Arial" w:hAnsi="Arial"/>
          <w:b/>
          <w:bCs/>
          <w:sz w:val="22"/>
          <w:szCs w:val="22"/>
        </w:rPr>
        <w:t xml:space="preserve">Prestador: </w:t>
      </w:r>
      <w:r>
        <w:rPr>
          <w:rFonts w:ascii="Arial" w:cs="Arial" w:eastAsia="Arial" w:hAnsi="Arial"/>
          <w:sz w:val="22"/>
          <w:szCs w:val="22"/>
        </w:rPr>
        <w:t xml:space="preserve">Dra. Yesika Vesga</w:t>
      </w:r>
    </w:p>
    <w:p>
      <w:pPr>
        <w:spacing w:after="80"/>
      </w:pPr>
      <w:r>
        <w:rPr>
          <w:rFonts w:ascii="Arial" w:cs="Arial" w:eastAsia="Arial" w:hAnsi="Arial"/>
          <w:b/>
          <w:bCs/>
          <w:sz w:val="22"/>
          <w:szCs w:val="22"/>
        </w:rPr>
        <w:t xml:space="preserve">Servicio: </w:t>
      </w:r>
      <w:r>
        <w:rPr>
          <w:rFonts w:ascii="Arial" w:cs="Arial" w:eastAsia="Arial" w:hAnsi="Arial"/>
          <w:sz w:val="22"/>
          <w:szCs w:val="22"/>
        </w:rPr>
        <w:t xml:space="preserve">Consulta Externa de Medicina General · Cúcuta, Norte de Santander</w:t>
      </w:r>
    </w:p>
    <w:p>
      <w:pPr>
        <w:spacing w:after="80"/>
      </w:pPr>
      <w:r>
        <w:rPr>
          <w:rFonts w:ascii="Arial" w:cs="Arial" w:eastAsia="Arial" w:hAnsi="Arial"/>
          <w:b/>
          <w:bCs/>
          <w:sz w:val="22"/>
          <w:szCs w:val="22"/>
        </w:rPr>
        <w:t xml:space="preserve">Versión: </w:t>
      </w:r>
      <w:r>
        <w:rPr>
          <w:rFonts w:ascii="Arial" w:cs="Arial" w:eastAsia="Arial" w:hAnsi="Arial"/>
          <w:sz w:val="22"/>
          <w:szCs w:val="22"/>
        </w:rPr>
        <w:t xml:space="preserve">1.0 — 2025</w:t>
      </w:r>
    </w:p>
    <w:p>
      <w:pPr>
        <w:spacing w:after="80"/>
      </w:pPr>
      <w:r>
        <w:rPr>
          <w:rFonts w:ascii="Arial" w:cs="Arial" w:eastAsia="Arial" w:hAnsi="Arial"/>
          <w:b/>
          <w:bCs/>
          <w:sz w:val="22"/>
          <w:szCs w:val="22"/>
        </w:rPr>
        <w:t xml:space="preserve">Normativa: </w:t>
      </w:r>
      <w:r>
        <w:rPr>
          <w:rFonts w:ascii="Arial" w:cs="Arial" w:eastAsia="Arial" w:hAnsi="Arial"/>
          <w:sz w:val="22"/>
          <w:szCs w:val="22"/>
        </w:rPr>
        <w:t xml:space="preserve">Resolución 3100/2019 · Concepto técnico Minsalud · Circular 060 Supersalud</w:t>
      </w:r>
    </w:p>
    <w:p>
      <w:pPr>
        <w:pBdr>
          <w:bottom w:val="single" w:color="FF6B00" w:sz="6" w:space="4"/>
        </w:pBdr>
        <w:spacing w:after="200"/>
      </w:pPr>
    </w:p>
    <w:p>
      <w:pPr>
        <w:pBdr>
          <w:left w:val="single" w:color="FF6B00" w:sz="12" w:space="8"/>
        </w:pBdr>
        <w:spacing w:after="100" w:before="220"/>
        <w:ind w:left="120"/>
      </w:pPr>
      <w:r>
        <w:rPr>
          <w:rFonts w:ascii="Arial" w:cs="Arial" w:eastAsia="Arial" w:hAnsi="Arial"/>
          <w:b/>
          <w:bCs/>
          <w:color w:val="7B2FBE"/>
          <w:sz w:val="22"/>
          <w:szCs w:val="22"/>
        </w:rPr>
        <w:t xml:space="preserve">1. Alcance y justificación</w:t>
      </w:r>
    </w:p>
    <w:p>
      <w:pPr>
        <w:spacing w:after="120"/>
        <w:jc w:val="both"/>
      </w:pPr>
      <w:r>
        <w:rPr>
          <w:rFonts w:ascii="Arial" w:cs="Arial" w:eastAsia="Arial" w:hAnsi="Arial"/>
          <w:sz w:val="22"/>
          <w:szCs w:val="22"/>
        </w:rPr>
        <w:t xml:space="preserve">El presente protocolo aplica a los procedimientos estéticos no invasivos realizados en el consultorio de la Dra. Yesika Vesga. Se entiende por procedimiento estético no invasivo aquel que no implica ruptura de la barrera de la piel, ni introducción de dispositivos médicos o sustancias por vía parenteral, y cuyo objetivo es la mejoría de la apariencia del paciente sin riesgo para su vida o integridad.</w:t>
      </w:r>
    </w:p>
    <w:p>
      <w:pPr>
        <w:pBdr>
          <w:left w:val="single" w:color="FF6B00" w:sz="12" w:space="8"/>
        </w:pBdr>
        <w:spacing w:after="100" w:before="220"/>
        <w:ind w:left="120"/>
      </w:pPr>
      <w:r>
        <w:rPr>
          <w:rFonts w:ascii="Arial" w:cs="Arial" w:eastAsia="Arial" w:hAnsi="Arial"/>
          <w:b/>
          <w:bCs/>
          <w:color w:val="7B2FBE"/>
          <w:sz w:val="22"/>
          <w:szCs w:val="22"/>
        </w:rPr>
        <w:t xml:space="preserve">2. Procedimientos autorizados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Procedimiento</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Duración aprox.</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Sesiones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Limpieza facial profunda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Exfoliación, extracción de comedones, hidratación profunda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60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1-2/mes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Radiofrecuencia facial/corporal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Estimulación de colágeno mediante calor controlado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45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Variable</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Peeling químico superficial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Ácidos de baja concentración (glicólico ≤20%, mandélico)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30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4-6</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Luz pulsada intensa (IPL)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Tratamiento de manchas y rejuvenecimiento con equipo homologado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45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4-6</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Mesoterapia virtual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Aplicación de activos con dispositivo sin aguja profunda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30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4-8</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Dermapen superficial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Microagujas &lt;0.5mm para estimulación superficial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45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4-6</w:t>
            </w:r>
          </w:p>
        </w:tc>
      </w:tr>
    </w:tbl>
    <w:p>
      <w:pPr>
        <w:pBdr>
          <w:left w:val="single" w:color="FF6B00" w:sz="12" w:space="8"/>
        </w:pBdr>
        <w:spacing w:after="100" w:before="220"/>
        <w:ind w:left="120"/>
      </w:pPr>
      <w:r>
        <w:rPr>
          <w:rFonts w:ascii="Arial" w:cs="Arial" w:eastAsia="Arial" w:hAnsi="Arial"/>
          <w:b/>
          <w:bCs/>
          <w:color w:val="7B2FBE"/>
          <w:sz w:val="22"/>
          <w:szCs w:val="22"/>
        </w:rPr>
        <w:t xml:space="preserve">3. Valoración previa obligatoria</w:t>
      </w:r>
    </w:p>
    <w:p>
      <w:pPr>
        <w:spacing w:after="120"/>
        <w:jc w:val="both"/>
      </w:pPr>
      <w:r>
        <w:rPr>
          <w:rFonts w:ascii="Arial" w:cs="Arial" w:eastAsia="Arial" w:hAnsi="Arial"/>
          <w:sz w:val="22"/>
          <w:szCs w:val="22"/>
        </w:rPr>
        <w:t xml:space="preserve">Todo paciente debe ser valorado médicamente antes de su primer procedimiento. La valoración incluye: anamnesis completa, antecedentes relevantes, fotografía comparativa (con consentimiento), evaluación de contraindicaciones y firma del consentimiento informado específico.</w:t>
      </w:r>
    </w:p>
    <w:p>
      <w:pPr>
        <w:pBdr>
          <w:left w:val="single" w:color="FF6B00" w:sz="12" w:space="8"/>
        </w:pBdr>
        <w:spacing w:after="100" w:before="220"/>
        <w:ind w:left="120"/>
      </w:pPr>
      <w:r>
        <w:rPr>
          <w:rFonts w:ascii="Arial" w:cs="Arial" w:eastAsia="Arial" w:hAnsi="Arial"/>
          <w:b/>
          <w:bCs/>
          <w:color w:val="7B2FBE"/>
          <w:sz w:val="22"/>
          <w:szCs w:val="22"/>
        </w:rPr>
        <w:t xml:space="preserve">4. Contraindicaciones absolutas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Contraindicación</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Procedimientos que afecta</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Embarazo confirmado o posible</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Todos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Marcapasos o implante metálico activo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Radiofrecuencia, IPL</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Epilepsia no controlada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IPL, Radiofrecuencia</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Herpes labial activo en zona a tratar</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Todos faciales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Acné grado III-IV activo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Limpieza facial, peeling</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Hipersensibilidad conocida al procedimiento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Específico</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Uso reciente de isotretinoína (6 meses)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Peeling, dermapen</w:t>
            </w:r>
          </w:p>
        </w:tc>
      </w:tr>
    </w:tbl>
    <w:p>
      <w:pPr>
        <w:pBdr>
          <w:left w:val="single" w:color="FF6B00" w:sz="12" w:space="8"/>
        </w:pBdr>
        <w:spacing w:after="100" w:before="220"/>
        <w:ind w:left="120"/>
      </w:pPr>
      <w:r>
        <w:rPr>
          <w:rFonts w:ascii="Arial" w:cs="Arial" w:eastAsia="Arial" w:hAnsi="Arial"/>
          <w:b/>
          <w:bCs/>
          <w:color w:val="7B2FBE"/>
          <w:sz w:val="22"/>
          <w:szCs w:val="22"/>
        </w:rPr>
        <w:t xml:space="preserve">5. Protocolo de seguridad</w:t>
      </w:r>
    </w:p>
    <w:p>
      <w:pPr>
        <w:spacing w:after="120"/>
        <w:jc w:val="both"/>
      </w:pPr>
      <w:r>
        <w:rPr>
          <w:rFonts w:ascii="Arial" w:cs="Arial" w:eastAsia="Arial" w:hAnsi="Arial"/>
          <w:sz w:val="22"/>
          <w:szCs w:val="22"/>
        </w:rPr>
        <w:t xml:space="preserve">1. Verificar identidad del paciente y vigencia del consentimiento informado. 2. Preparar el área de trabajo con técnica aséptica. 3. Aplicar EPP correspondiente. 4. Realizar prueba de sensibilidad cuando aplique. 5. Ejecutar el procedimiento según técnica estandarizada. 6. Registrar el procedimiento en la historia clínica. 7. Dar instrucciones post-procedimiento por escrito.</w:t>
      </w:r>
    </w:p>
    <w:p>
      <w:pPr>
        <w:pBdr>
          <w:left w:val="single" w:color="FF6B00" w:sz="12" w:space="8"/>
        </w:pBdr>
        <w:spacing w:after="100" w:before="220"/>
        <w:ind w:left="120"/>
      </w:pPr>
      <w:r>
        <w:rPr>
          <w:rFonts w:ascii="Arial" w:cs="Arial" w:eastAsia="Arial" w:hAnsi="Arial"/>
          <w:b/>
          <w:bCs/>
          <w:color w:val="7B2FBE"/>
          <w:sz w:val="22"/>
          <w:szCs w:val="22"/>
        </w:rPr>
        <w:t xml:space="preserve">6. Registro en historia clínica</w:t>
      </w:r>
    </w:p>
    <w:p>
      <w:pPr>
        <w:spacing w:after="120"/>
        <w:jc w:val="both"/>
      </w:pPr>
      <w:r>
        <w:rPr>
          <w:rFonts w:ascii="Arial" w:cs="Arial" w:eastAsia="Arial" w:hAnsi="Arial"/>
          <w:sz w:val="22"/>
          <w:szCs w:val="22"/>
        </w:rPr>
        <w:t xml:space="preserve">Todo procedimiento estético debe quedar registrado en la historia clínica del paciente, incluyendo: fecha, tipo de procedimiento, insumos utilizados (con lote y vencimiento), técnica empleada, evolución inmediata, indicaciones al egreso y firma del médico tratante.</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tcMar>
              <w:top w:type="dxa" w:w="200"/>
              <w:left w:type="dxa" w:w="120"/>
              <w:bottom w:type="dxa" w:w="20"/>
              <w:right w:type="dxa" w:w="120"/>
            </w:tcMar>
          </w:tcPr>
          <w:p>
            <w:r>
              <w:rPr>
                <w:rFonts w:ascii="Arial" w:cs="Arial" w:eastAsia="Arial" w:hAnsi="Arial"/>
                <w:sz w:val="20"/>
                <w:szCs w:val="20"/>
              </w:rPr>
              <w:t xml:space="preserve"/>
            </w:r>
          </w:p>
        </w:tc>
        <w:tc>
          <w:tcPr>
            <w:tcBorders>
              <w:top w:val="single" w:color="DDDDDD" w:sz="1"/>
              <w:left w:val="single" w:color="DDDDDD" w:sz="1"/>
              <w:bottom w:val="single" w:color="DDDDDD" w:sz="1"/>
              <w:right w:val="single" w:color="DDDDDD" w:sz="1"/>
            </w:tcBorders>
            <w:tcMar>
              <w:top w:type="dxa" w:w="200"/>
              <w:left w:type="dxa" w:w="120"/>
              <w:bottom w:type="dxa" w:w="20"/>
              <w:right w:type="dxa" w:w="120"/>
            </w:tcMar>
          </w:tcPr>
          <w:p>
            <w:r>
              <w:rPr>
                <w:rFonts w:ascii="Arial" w:cs="Arial" w:eastAsia="Arial" w:hAnsi="Arial"/>
                <w:sz w:val="20"/>
                <w:szCs w:val="20"/>
              </w:rPr>
              <w:t xml:space="preserve"/>
            </w:r>
          </w:p>
        </w:tc>
      </w:tr>
      <w:tr>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Elaborado por: Dra. Yesika Vesga</w:t>
            </w:r>
          </w:p>
          <w:p>
            <w:r>
              <w:rPr>
                <w:rFonts w:ascii="Arial" w:cs="Arial" w:eastAsia="Arial" w:hAnsi="Arial"/>
                <w:color w:val="888888"/>
                <w:sz w:val="18"/>
                <w:szCs w:val="18"/>
              </w:rPr>
              <w:t xml:space="preserve">C.C.: _______________</w:t>
            </w:r>
          </w:p>
        </w:tc>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Dra. Yesika Vesga</w:t>
            </w:r>
          </w:p>
          <w:p>
            <w:r>
              <w:rPr>
                <w:rFonts w:ascii="Arial" w:cs="Arial" w:eastAsia="Arial" w:hAnsi="Arial"/>
                <w:color w:val="888888"/>
                <w:sz w:val="18"/>
                <w:szCs w:val="18"/>
              </w:rPr>
              <w:t xml:space="preserve">Médico General · RM: _______________</w:t>
            </w:r>
          </w:p>
        </w:tc>
      </w:tr>
    </w:tbl>
    <w:p>
      <w:pPr>
        <w:spacing w:after="120"/>
        <w:jc w:val="both"/>
      </w:pPr>
      <w:r>
        <w:rPr>
          <w:rFonts w:ascii="Arial" w:cs="Arial" w:eastAsia="Arial" w:hAnsi="Arial"/>
          <w:sz w:val="22"/>
          <w:szCs w:val="22"/>
        </w:rPr>
        <w:t xml:space="preserve">© BIOAuditoria / BIOMarketing · Res. 3100/2019</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4" w:space="2"/>
      </w:pBdr>
      <w:spacing w:before="60"/>
    </w:pPr>
    <w:r>
      <w:rPr>
        <w:rFonts w:ascii="Arial" w:cs="Arial" w:eastAsia="Arial" w:hAnsi="Arial"/>
        <w:color w:val="888888"/>
        <w:sz w:val="16"/>
        <w:szCs w:val="16"/>
      </w:rPr>
      <w:t xml:space="preserve">ES_Protocolo_Procedimientos_Esteticos · Dra. Yesika Vesga · Res. 3100/2019 · Pág. </w:t>
    </w:r>
    <w:r>
      <w:rPr>
        <w:rFonts w:ascii="Arial" w:cs="Arial" w:eastAsia="Arial" w:hAnsi="Arial"/>
        <w:color w:val="888888"/>
        <w:sz w:val="16"/>
        <w:szCs w:val="16"/>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2"/>
      </w:pBdr>
      <w:spacing w:after="60"/>
    </w:pPr>
    <w:r>
      <w:rPr>
        <w:rFonts w:ascii="Arial" w:cs="Arial" w:eastAsia="Arial" w:hAnsi="Arial"/>
        <w:b/>
        <w:bCs/>
        <w:color w:val="FF6B00"/>
        <w:sz w:val="16"/>
        <w:szCs w:val="16"/>
      </w:rPr>
      <w:t xml:space="preserve">BIOAuditoria® | </w:t>
    </w:r>
    <w:r>
      <w:rPr>
        <w:rFonts w:ascii="Arial" w:cs="Arial" w:eastAsia="Arial" w:hAnsi="Arial"/>
        <w:color w:val="888888"/>
        <w:sz w:val="16"/>
        <w:szCs w:val="16"/>
      </w:rPr>
      <w:t xml:space="preserve">Dra. Yesika Vesga · Cúcuta, Norte de Santander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2026-06-02T22:50:40.030Z</dcterms:created>
  <dcterms:modified xsi:type="dcterms:W3CDTF">2026-06-02T22:50:40.030Z</dcterms:modified>
</cp:coreProperties>
</file>

<file path=docProps/custom.xml><?xml version="1.0" encoding="utf-8"?>
<Properties xmlns="http://schemas.openxmlformats.org/officeDocument/2006/custom-properties" xmlns:vt="http://schemas.openxmlformats.org/officeDocument/2006/docPropsVTypes"/>
</file>