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60" w:before="24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FORMATO DE HISTORIA CLÍNICA — CONSULTA EXTERNA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Prestador: </w:t>
      </w:r>
      <w:r>
        <w:rPr>
          <w:rFonts w:ascii="Arial" w:cs="Arial" w:eastAsia="Arial" w:hAnsi="Arial"/>
          <w:sz w:val="22"/>
          <w:szCs w:val="22"/>
        </w:rPr>
        <w:t xml:space="preserve">Dra. Yesika Vesga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Servicio: </w:t>
      </w:r>
      <w:r>
        <w:rPr>
          <w:rFonts w:ascii="Arial" w:cs="Arial" w:eastAsia="Arial" w:hAnsi="Arial"/>
          <w:sz w:val="22"/>
          <w:szCs w:val="22"/>
        </w:rPr>
        <w:t xml:space="preserve">Consulta Externa de Medicina General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1995/1999 · Resolución 3100/2019</w:t>
      </w:r>
    </w:p>
    <w:p>
      <w:pPr>
        <w:pBdr>
          <w:bottom w:val="single" w:color="FF6B00" w:sz="6" w:space="4"/>
        </w:pBdr>
        <w:spacing w:after="200"/>
      </w:pPr>
    </w:p>
    <w:p>
      <w:pPr>
        <w:pBdr>
          <w:left w:val="single" w:color="FF6B00" w:sz="12" w:space="8"/>
        </w:pBdr>
        <w:spacing w:after="100" w:before="22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1. Identificación del paciente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Nombres y apellidos completos: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Tipo y número de documento: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de nacimiento: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Edad: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Sexo biológico: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 civil: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Ocupación: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 y teléfono: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EPS / Régimen de afiliación: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y hora de la consulta: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pBdr>
          <w:left w:val="single" w:color="FF6B00" w:sz="12" w:space="8"/>
        </w:pBdr>
        <w:spacing w:after="100" w:before="22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2. Motivo de consulta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</w:t>
      </w:r>
    </w:p>
    <w:p>
      <w:pPr>
        <w:spacing w:after="80"/>
      </w:pPr>
    </w:p>
    <w:p>
      <w:pPr>
        <w:pBdr>
          <w:left w:val="single" w:color="FF6B00" w:sz="12" w:space="8"/>
        </w:pBdr>
        <w:spacing w:after="100" w:before="22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3. Enfermedad actual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</w:t>
      </w:r>
    </w:p>
    <w:p>
      <w:pPr>
        <w:pBdr>
          <w:left w:val="single" w:color="FF6B00" w:sz="12" w:space="8"/>
        </w:pBdr>
        <w:spacing w:after="100" w:before="22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4. Antecedentes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Personales patológicos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Farmacológicos/Alergias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Quirúrgicos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Gineco-obstétricos (si aplica)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Familiares relevantes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FF6B00" w:sz="12" w:space="8"/>
        </w:pBdr>
        <w:spacing w:after="100" w:before="22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5. Revisión por sistemas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Cardiovascular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Respiratorio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Digestivo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Genitourinario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Músculo-esquelético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Neurológico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FF6B00" w:sz="12" w:space="8"/>
        </w:pBdr>
        <w:spacing w:after="100" w:before="22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6. Examen físico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Signo vital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T.A. (mmHg)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 (lpm)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 (rpm)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 (°C)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(kg)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Talla (cm)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Examen físico general: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pBdr>
          <w:left w:val="single" w:color="FF6B00" w:sz="12" w:space="8"/>
        </w:pBdr>
        <w:spacing w:after="100" w:before="22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7. Diagnóstico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CIE-10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Diagnóstico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Relacionado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Complicación</w:t>
            </w:r>
          </w:p>
        </w:tc>
      </w:tr>
    </w:tbl>
    <w:p>
      <w:pPr>
        <w:pBdr>
          <w:left w:val="single" w:color="FF6B00" w:sz="12" w:space="8"/>
        </w:pBdr>
        <w:spacing w:after="100" w:before="22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8. Plan de manejo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Manejo farmacológico: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Paraclínicos solicitados: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Interconsultas: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Recomendaciones al paciente: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Próxima cita: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0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0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Vesga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RM: _______________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© BIOAuditoria / BIOMarketing · Res. 1995/1999 y Res. 3100/2019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HC_Formato_Historia_Clinica · Dra. Yesika Vesga · Res. 3100/2019 · Pág. </w:t>
    </w:r>
    <w:r>
      <w:rPr>
        <w:rFonts w:ascii="Arial" w:cs="Arial" w:eastAsia="Arial" w:hAnsi="Arial"/>
        <w:color w:val="888888"/>
        <w:sz w:val="16"/>
        <w:szCs w:val="16"/>
      </w:rP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Dra. Yesika Vesga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2026-06-02T22:50:39.950Z</dcterms:created>
  <dcterms:modified xsi:type="dcterms:W3CDTF">2026-06-02T22:50:39.950Z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