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6"/>
        </w:pBdr>
        <w:spacing w:after="160" w:before="240"/>
        <w:jc w:val="center"/>
      </w:pPr>
      <w:r>
        <w:rPr>
          <w:rFonts w:ascii="Arial" w:cs="Arial" w:eastAsia="Arial" w:hAnsi="Arial"/>
          <w:b/>
          <w:bCs/>
          <w:color w:val="0A3D55"/>
          <w:sz w:val="28"/>
          <w:szCs w:val="28"/>
        </w:rPr>
        <w:t xml:space="preserve">PLAN DE GESTIÓN INTEGRAL DE RESIDUOS HOSPITALARIOS Y SIMILARES (PGIRH)</w:t>
      </w:r>
    </w:p>
    <w:p>
      <w:pPr>
        <w:spacing w:after="80"/>
      </w:pPr>
      <w:r>
        <w:rPr>
          <w:rFonts w:ascii="Arial" w:cs="Arial" w:eastAsia="Arial" w:hAnsi="Arial"/>
          <w:b/>
          <w:bCs/>
          <w:sz w:val="22"/>
          <w:szCs w:val="22"/>
        </w:rPr>
        <w:t xml:space="preserve">Prestador: </w:t>
      </w:r>
      <w:r>
        <w:rPr>
          <w:rFonts w:ascii="Arial" w:cs="Arial" w:eastAsia="Arial" w:hAnsi="Arial"/>
          <w:sz w:val="22"/>
          <w:szCs w:val="22"/>
        </w:rPr>
        <w:t xml:space="preserve">Dra. Yesika Vesga</w:t>
      </w:r>
    </w:p>
    <w:p>
      <w:pPr>
        <w:spacing w:after="80"/>
      </w:pPr>
      <w:r>
        <w:rPr>
          <w:rFonts w:ascii="Arial" w:cs="Arial" w:eastAsia="Arial" w:hAnsi="Arial"/>
          <w:b/>
          <w:bCs/>
          <w:sz w:val="22"/>
          <w:szCs w:val="22"/>
        </w:rPr>
        <w:t xml:space="preserve">Servicio: </w:t>
      </w:r>
      <w:r>
        <w:rPr>
          <w:rFonts w:ascii="Arial" w:cs="Arial" w:eastAsia="Arial" w:hAnsi="Arial"/>
          <w:sz w:val="22"/>
          <w:szCs w:val="22"/>
        </w:rPr>
        <w:t xml:space="preserve">Consulta Externa de Medicina General</w:t>
      </w:r>
    </w:p>
    <w:p>
      <w:pPr>
        <w:spacing w:after="80"/>
      </w:pPr>
      <w:r>
        <w:rPr>
          <w:rFonts w:ascii="Arial" w:cs="Arial" w:eastAsia="Arial" w:hAnsi="Arial"/>
          <w:b/>
          <w:bCs/>
          <w:sz w:val="22"/>
          <w:szCs w:val="22"/>
        </w:rPr>
        <w:t xml:space="preserve">Ciudad: </w:t>
      </w:r>
      <w:r>
        <w:rPr>
          <w:rFonts w:ascii="Arial" w:cs="Arial" w:eastAsia="Arial" w:hAnsi="Arial"/>
          <w:sz w:val="22"/>
          <w:szCs w:val="22"/>
        </w:rPr>
        <w:t xml:space="preserve">Cúcuta, Norte de Santander</w:t>
      </w:r>
    </w:p>
    <w:p>
      <w:pPr>
        <w:spacing w:after="80"/>
      </w:pPr>
      <w:r>
        <w:rPr>
          <w:rFonts w:ascii="Arial" w:cs="Arial" w:eastAsia="Arial" w:hAnsi="Arial"/>
          <w:b/>
          <w:bCs/>
          <w:sz w:val="22"/>
          <w:szCs w:val="22"/>
        </w:rPr>
        <w:t xml:space="preserve">Versión: </w:t>
      </w:r>
      <w:r>
        <w:rPr>
          <w:rFonts w:ascii="Arial" w:cs="Arial" w:eastAsia="Arial" w:hAnsi="Arial"/>
          <w:sz w:val="22"/>
          <w:szCs w:val="22"/>
        </w:rPr>
        <w:t xml:space="preserve">2.0 — 2025</w:t>
      </w:r>
    </w:p>
    <w:p>
      <w:pPr>
        <w:spacing w:after="80"/>
      </w:pPr>
      <w:r>
        <w:rPr>
          <w:rFonts w:ascii="Arial" w:cs="Arial" w:eastAsia="Arial" w:hAnsi="Arial"/>
          <w:b/>
          <w:bCs/>
          <w:sz w:val="22"/>
          <w:szCs w:val="22"/>
        </w:rPr>
        <w:t xml:space="preserve">Normativa: </w:t>
      </w:r>
      <w:r>
        <w:rPr>
          <w:rFonts w:ascii="Arial" w:cs="Arial" w:eastAsia="Arial" w:hAnsi="Arial"/>
          <w:sz w:val="22"/>
          <w:szCs w:val="22"/>
        </w:rPr>
        <w:t xml:space="preserve">Resolución 1164/2002 · Decreto 351/2014 · Resolución 0631/2015</w:t>
      </w:r>
    </w:p>
    <w:p>
      <w:pPr>
        <w:pBdr>
          <w:bottom w:val="single" w:color="FF6B00" w:sz="6" w:space="4"/>
        </w:pBdr>
        <w:spacing w:after="200"/>
      </w:pPr>
    </w:p>
    <w:p>
      <w:pPr>
        <w:pBdr>
          <w:left w:val="single" w:color="FF6B00" w:sz="12" w:space="8"/>
        </w:pBdr>
        <w:spacing w:after="100" w:before="220"/>
        <w:ind w:left="120"/>
      </w:pPr>
      <w:r>
        <w:rPr>
          <w:rFonts w:ascii="Arial" w:cs="Arial" w:eastAsia="Arial" w:hAnsi="Arial"/>
          <w:b/>
          <w:bCs/>
          <w:color w:val="7B2FBE"/>
          <w:sz w:val="22"/>
          <w:szCs w:val="22"/>
        </w:rPr>
        <w:t xml:space="preserve">1. Objetivo</w:t>
      </w:r>
    </w:p>
    <w:p>
      <w:pPr>
        <w:spacing w:after="120"/>
        <w:jc w:val="both"/>
      </w:pPr>
      <w:r>
        <w:rPr>
          <w:rFonts w:ascii="Arial" w:cs="Arial" w:eastAsia="Arial" w:hAnsi="Arial"/>
          <w:sz w:val="22"/>
          <w:szCs w:val="22"/>
        </w:rPr>
        <w:t xml:space="preserve">Establecer los procedimientos para la gestión integral de los residuos generados en el consultorio de la Dra. Yesika Vesga, garantizando su manejo seguro desde la generación hasta la disposición final, en cumplimiento de la normativa ambiental y sanitaria colombiana vigente.</w:t>
      </w:r>
    </w:p>
    <w:p>
      <w:pPr>
        <w:pBdr>
          <w:left w:val="single" w:color="FF6B00" w:sz="12" w:space="8"/>
        </w:pBdr>
        <w:spacing w:after="100" w:before="220"/>
        <w:ind w:left="120"/>
      </w:pPr>
      <w:r>
        <w:rPr>
          <w:rFonts w:ascii="Arial" w:cs="Arial" w:eastAsia="Arial" w:hAnsi="Arial"/>
          <w:b/>
          <w:bCs/>
          <w:color w:val="7B2FBE"/>
          <w:sz w:val="22"/>
          <w:szCs w:val="22"/>
        </w:rPr>
        <w:t xml:space="preserve">2. Alcance</w:t>
      </w:r>
    </w:p>
    <w:p>
      <w:pPr>
        <w:spacing w:after="120"/>
        <w:jc w:val="both"/>
      </w:pPr>
      <w:r>
        <w:rPr>
          <w:rFonts w:ascii="Arial" w:cs="Arial" w:eastAsia="Arial" w:hAnsi="Arial"/>
          <w:sz w:val="22"/>
          <w:szCs w:val="22"/>
        </w:rPr>
        <w:t xml:space="preserve">Aplica a todos los residuos generados en las actividades de atención médica del servicio de Consulta Externa de Medicina General, en la ciudad de Cúcuta, Norte de Santander.</w:t>
      </w:r>
    </w:p>
    <w:p>
      <w:pPr>
        <w:pBdr>
          <w:left w:val="single" w:color="FF6B00" w:sz="12" w:space="8"/>
        </w:pBdr>
        <w:spacing w:after="100" w:before="220"/>
        <w:ind w:left="120"/>
      </w:pPr>
      <w:r>
        <w:rPr>
          <w:rFonts w:ascii="Arial" w:cs="Arial" w:eastAsia="Arial" w:hAnsi="Arial"/>
          <w:b/>
          <w:bCs/>
          <w:color w:val="7B2FBE"/>
          <w:sz w:val="22"/>
          <w:szCs w:val="22"/>
        </w:rPr>
        <w:t xml:space="preserve">3. Clasificación de residuos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Color recipiente/bolsa</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Características</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Ejemplos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Biosanitarios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Rojo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Riesgo biológico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Gasas usadas, guantes, torundas contaminadas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Cortopunzantes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Guardián amarillo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Alto riesgo puncción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Agujas, lancetas, bisturís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Anatomopatológicos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Rojo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Material orgánico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Tejidos biopsiados (si aplica)</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Farmacéuticos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Rojo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Medicamentos vencidos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Fármacos caducados o contaminados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Ordinarios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Negro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Sin riesgo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Papel, envases limpios, residuos de oficina</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Reciclables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Verde 🟢</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Aprovechables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Cartón, plástico sin contaminar</w:t>
            </w:r>
          </w:p>
        </w:tc>
      </w:tr>
    </w:tbl>
    <w:p>
      <w:pPr>
        <w:pBdr>
          <w:left w:val="single" w:color="FF6B00" w:sz="12" w:space="8"/>
        </w:pBdr>
        <w:spacing w:after="100" w:before="220"/>
        <w:ind w:left="120"/>
      </w:pPr>
      <w:r>
        <w:rPr>
          <w:rFonts w:ascii="Arial" w:cs="Arial" w:eastAsia="Arial" w:hAnsi="Arial"/>
          <w:b/>
          <w:bCs/>
          <w:color w:val="7B2FBE"/>
          <w:sz w:val="22"/>
          <w:szCs w:val="22"/>
        </w:rPr>
        <w:t xml:space="preserve">4. Segregación en la fuente</w:t>
      </w:r>
    </w:p>
    <w:p>
      <w:pPr>
        <w:spacing w:after="120"/>
        <w:jc w:val="both"/>
      </w:pPr>
      <w:r>
        <w:rPr>
          <w:rFonts w:ascii="Arial" w:cs="Arial" w:eastAsia="Arial" w:hAnsi="Arial"/>
          <w:sz w:val="22"/>
          <w:szCs w:val="22"/>
        </w:rPr>
        <w:t xml:space="preserve">La segregación debe realizarse en el momento y lugar donde se genera el residuo. ESTÁ PROHIBIDO mezclar residuos peligrosos con ordinarios. El personal debe conocer el código de colores y aplicarlo rigurosamente.</w:t>
      </w:r>
    </w:p>
    <w:p>
      <w:pPr>
        <w:pBdr>
          <w:left w:val="single" w:color="FF6B00" w:sz="12" w:space="8"/>
        </w:pBdr>
        <w:spacing w:after="100" w:before="220"/>
        <w:ind w:left="120"/>
      </w:pPr>
      <w:r>
        <w:rPr>
          <w:rFonts w:ascii="Arial" w:cs="Arial" w:eastAsia="Arial" w:hAnsi="Arial"/>
          <w:b/>
          <w:bCs/>
          <w:color w:val="7B2FBE"/>
          <w:sz w:val="22"/>
          <w:szCs w:val="22"/>
        </w:rPr>
        <w:t xml:space="preserve">5. Almacenamiento temporal</w:t>
      </w:r>
    </w:p>
    <w:p>
      <w:pPr>
        <w:spacing w:after="120"/>
        <w:jc w:val="both"/>
      </w:pPr>
      <w:r>
        <w:rPr>
          <w:rFonts w:ascii="Arial" w:cs="Arial" w:eastAsia="Arial" w:hAnsi="Arial"/>
          <w:sz w:val="22"/>
          <w:szCs w:val="22"/>
        </w:rPr>
        <w:t xml:space="preserve">Los residuos biosanitarios y cortopunzantes se almacenan en área separada, ventilada, con acceso restringido, recipientes herméticos resistentes a la perforación para cortopunzantes (guardianes) y bolsas rojas resistentes para biosanitarios. No se almacenan por más de 7 días.</w:t>
      </w:r>
    </w:p>
    <w:p>
      <w:pPr>
        <w:pBdr>
          <w:left w:val="single" w:color="FF6B00" w:sz="12" w:space="8"/>
        </w:pBdr>
        <w:spacing w:after="100" w:before="220"/>
        <w:ind w:left="120"/>
      </w:pPr>
      <w:r>
        <w:rPr>
          <w:rFonts w:ascii="Arial" w:cs="Arial" w:eastAsia="Arial" w:hAnsi="Arial"/>
          <w:b/>
          <w:bCs/>
          <w:color w:val="7B2FBE"/>
          <w:sz w:val="22"/>
          <w:szCs w:val="22"/>
        </w:rPr>
        <w:t xml:space="preserve">6. Disposición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Tipo de residuo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Método de disposición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Biosanitarios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Entrega a gestor externo autorizado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Médico responsable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Cortopunzantes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Entrega en guardián sellado a gestor externo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Médico responsable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Farmacéuticos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Entrega a gestor externo o punto de recolección autorizado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Médico responsable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Ordinarios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Servicio de aseo municipal de Cúcuta, Norte de Santander</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Médico responsable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Reciclables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Entrega a reciclador organizado o gestora de reciclaje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Médico responsable</w:t>
            </w:r>
          </w:p>
        </w:tc>
      </w:tr>
    </w:tbl>
    <w:p>
      <w:pPr>
        <w:pBdr>
          <w:left w:val="single" w:color="FF6B00" w:sz="12" w:space="8"/>
        </w:pBdr>
        <w:spacing w:after="100" w:before="220"/>
        <w:ind w:left="120"/>
      </w:pPr>
      <w:r>
        <w:rPr>
          <w:rFonts w:ascii="Arial" w:cs="Arial" w:eastAsia="Arial" w:hAnsi="Arial"/>
          <w:b/>
          <w:bCs/>
          <w:color w:val="7B2FBE"/>
          <w:sz w:val="22"/>
          <w:szCs w:val="22"/>
        </w:rPr>
        <w:t xml:space="preserve">7. Registros obligatorios</w:t>
      </w:r>
    </w:p>
    <w:p>
      <w:pPr>
        <w:spacing w:after="120"/>
        <w:jc w:val="both"/>
      </w:pPr>
      <w:r>
        <w:rPr>
          <w:rFonts w:ascii="Arial" w:cs="Arial" w:eastAsia="Arial" w:hAnsi="Arial"/>
          <w:sz w:val="22"/>
          <w:szCs w:val="22"/>
        </w:rPr>
        <w:t xml:space="preserve">Se deben diligenciar mensualmente los formatos de generación y disposición de residuos. Estos registros deben conservarse por un mínimo de 5 años y estar disponibles para visitas de verificación o auditorías de las autoridades sanitarias y ambientales.</w:t>
      </w:r>
    </w:p>
    <w:p>
      <w:pPr>
        <w:pBdr>
          <w:left w:val="single" w:color="FF6B00" w:sz="12" w:space="8"/>
        </w:pBdr>
        <w:spacing w:after="100" w:before="220"/>
        <w:ind w:left="120"/>
      </w:pPr>
      <w:r>
        <w:rPr>
          <w:rFonts w:ascii="Arial" w:cs="Arial" w:eastAsia="Arial" w:hAnsi="Arial"/>
          <w:b/>
          <w:bCs/>
          <w:color w:val="7B2FBE"/>
          <w:sz w:val="22"/>
          <w:szCs w:val="22"/>
        </w:rPr>
        <w:t xml:space="preserve">8. Capacitación</w:t>
      </w:r>
    </w:p>
    <w:p>
      <w:pPr>
        <w:spacing w:after="120"/>
        <w:jc w:val="both"/>
      </w:pPr>
      <w:r>
        <w:rPr>
          <w:rFonts w:ascii="Arial" w:cs="Arial" w:eastAsia="Arial" w:hAnsi="Arial"/>
          <w:sz w:val="22"/>
          <w:szCs w:val="22"/>
        </w:rPr>
        <w:t xml:space="preserve">El personal involucrado en la generación, manejo y disposición de residuos recibirá capacitación anual sobre el PGIRH. Se conservarán los registros de capacitación como soporte de cumplimiento.</w:t>
      </w:r>
    </w:p>
    <w:p>
      <w:pPr>
        <w:pBdr>
          <w:left w:val="single" w:color="FF6B00" w:sz="12" w:space="8"/>
        </w:pBdr>
        <w:spacing w:after="100" w:before="220"/>
        <w:ind w:left="120"/>
      </w:pPr>
      <w:r>
        <w:rPr>
          <w:rFonts w:ascii="Arial" w:cs="Arial" w:eastAsia="Arial" w:hAnsi="Arial"/>
          <w:b/>
          <w:bCs/>
          <w:color w:val="7B2FBE"/>
          <w:sz w:val="22"/>
          <w:szCs w:val="22"/>
        </w:rPr>
        <w:t xml:space="preserve">9. Plan de contingencias</w:t>
      </w:r>
    </w:p>
    <w:p>
      <w:pPr>
        <w:spacing w:after="120"/>
        <w:jc w:val="both"/>
      </w:pPr>
      <w:r>
        <w:rPr>
          <w:rFonts w:ascii="Arial" w:cs="Arial" w:eastAsia="Arial" w:hAnsi="Arial"/>
          <w:sz w:val="22"/>
          <w:szCs w:val="22"/>
        </w:rPr>
        <w:t xml:space="preserve">En caso de derrame de material biológico: a) Aislar el área. b) Aplicar hipoclorito al 0,5% sobre el derrame. c) Retirar el material con EPP completo. d) Desechar material de limpieza como residuo biosanitario. e) Registrar el evento en el formato de incidentes. f) Reportar a la autoridad sanitaria si se requiere.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r>
      <w:tr>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Responsable del PGIRH: Dra. Yesika Vesga</w:t>
            </w:r>
          </w:p>
          <w:p>
            <w:r>
              <w:rPr>
                <w:rFonts w:ascii="Arial" w:cs="Arial" w:eastAsia="Arial" w:hAnsi="Arial"/>
                <w:color w:val="888888"/>
                <w:sz w:val="18"/>
                <w:szCs w:val="18"/>
              </w:rPr>
              <w:t xml:space="preserve">C.C.: _______________</w:t>
            </w:r>
          </w:p>
        </w:tc>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Dra. Yesika Vesga</w:t>
            </w:r>
          </w:p>
          <w:p>
            <w:r>
              <w:rPr>
                <w:rFonts w:ascii="Arial" w:cs="Arial" w:eastAsia="Arial" w:hAnsi="Arial"/>
                <w:color w:val="888888"/>
                <w:sz w:val="18"/>
                <w:szCs w:val="18"/>
              </w:rPr>
              <w:t xml:space="preserve">Médico General · RM: _______________</w:t>
            </w:r>
          </w:p>
        </w:tc>
      </w:tr>
    </w:tbl>
    <w:p>
      <w:pPr>
        <w:spacing w:after="100"/>
      </w:pPr>
    </w:p>
    <w:p>
      <w:pPr>
        <w:spacing w:after="80"/>
      </w:pPr>
      <w:r>
        <w:rPr>
          <w:rFonts w:ascii="Arial" w:cs="Arial" w:eastAsia="Arial" w:hAnsi="Arial"/>
          <w:b/>
          <w:bCs/>
          <w:sz w:val="22"/>
          <w:szCs w:val="22"/>
        </w:rPr>
        <w:t xml:space="preserve">Fecha de elaboración: </w:t>
      </w:r>
      <w:r>
        <w:rPr>
          <w:rFonts w:ascii="Arial" w:cs="Arial" w:eastAsia="Arial" w:hAnsi="Arial"/>
          <w:sz w:val="22"/>
          <w:szCs w:val="22"/>
        </w:rPr>
        <w:t xml:space="preserve">2025</w:t>
      </w:r>
    </w:p>
    <w:p>
      <w:pPr>
        <w:spacing w:after="80"/>
      </w:pPr>
      <w:r>
        <w:rPr>
          <w:rFonts w:ascii="Arial" w:cs="Arial" w:eastAsia="Arial" w:hAnsi="Arial"/>
          <w:b/>
          <w:bCs/>
          <w:sz w:val="22"/>
          <w:szCs w:val="22"/>
        </w:rPr>
        <w:t xml:space="preserve">Próxima revisión: </w:t>
      </w:r>
      <w:r>
        <w:rPr>
          <w:rFonts w:ascii="Arial" w:cs="Arial" w:eastAsia="Arial" w:hAnsi="Arial"/>
          <w:sz w:val="22"/>
          <w:szCs w:val="22"/>
        </w:rPr>
        <w:t xml:space="preserve">2026 o ante cambios normativos</w:t>
      </w:r>
    </w:p>
    <w:p>
      <w:pPr>
        <w:spacing w:after="120"/>
        <w:jc w:val="both"/>
      </w:pPr>
      <w:r>
        <w:rPr>
          <w:rFonts w:ascii="Arial" w:cs="Arial" w:eastAsia="Arial" w:hAnsi="Arial"/>
          <w:sz w:val="22"/>
          <w:szCs w:val="22"/>
        </w:rPr>
        <w:t xml:space="preserve">© BIOAuditoria / BIOMarketing · Documento protegido · Resolución 3100/2019</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2"/>
      </w:pBdr>
      <w:spacing w:before="60"/>
    </w:pPr>
    <w:r>
      <w:rPr>
        <w:rFonts w:ascii="Arial" w:cs="Arial" w:eastAsia="Arial" w:hAnsi="Arial"/>
        <w:color w:val="888888"/>
        <w:sz w:val="16"/>
        <w:szCs w:val="16"/>
      </w:rPr>
      <w:t xml:space="preserve">PG_Plan_PGIRH_Completo · Dra. Yesika Vesga · Res. 3100/2019 · Pág. </w:t>
    </w:r>
    <w:r>
      <w:rPr>
        <w:rFonts w:ascii="Arial" w:cs="Arial" w:eastAsia="Arial" w:hAnsi="Arial"/>
        <w:color w:val="888888"/>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spacing w:after="60"/>
    </w:pPr>
    <w:r>
      <w:rPr>
        <w:rFonts w:ascii="Arial" w:cs="Arial" w:eastAsia="Arial" w:hAnsi="Arial"/>
        <w:b/>
        <w:bCs/>
        <w:color w:val="FF6B00"/>
        <w:sz w:val="16"/>
        <w:szCs w:val="16"/>
      </w:rPr>
      <w:t xml:space="preserve">BIOAuditoria® | </w:t>
    </w:r>
    <w:r>
      <w:rPr>
        <w:rFonts w:ascii="Arial" w:cs="Arial" w:eastAsia="Arial" w:hAnsi="Arial"/>
        <w:color w:val="888888"/>
        <w:sz w:val="16"/>
        <w:szCs w:val="16"/>
      </w:rPr>
      <w:t xml:space="preserve">Dra. Yesika Vesga · Cúcuta, Norte de Santander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2026-06-02T22:50:39.919Z</dcterms:created>
  <dcterms:modified xsi:type="dcterms:W3CDTF">2026-06-02T22:50:39.919Z</dcterms:modified>
</cp:coreProperties>
</file>

<file path=docProps/custom.xml><?xml version="1.0" encoding="utf-8"?>
<Properties xmlns="http://schemas.openxmlformats.org/officeDocument/2006/custom-properties" xmlns:vt="http://schemas.openxmlformats.org/officeDocument/2006/docPropsVTypes"/>
</file>