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6"/>
        </w:pBdr>
        <w:spacing w:after="160" w:before="240"/>
        <w:jc w:val="center"/>
      </w:pPr>
      <w:r>
        <w:rPr>
          <w:rFonts w:ascii="Arial" w:cs="Arial" w:eastAsia="Arial" w:hAnsi="Arial"/>
          <w:b/>
          <w:bCs/>
          <w:color w:val="0A3D55"/>
          <w:sz w:val="28"/>
          <w:szCs w:val="28"/>
        </w:rPr>
        <w:t xml:space="preserve">MANUAL DE BIOSEGURIDAD</w:t>
      </w:r>
    </w:p>
    <w:p>
      <w:pPr>
        <w:spacing w:after="80"/>
      </w:pPr>
      <w:r>
        <w:rPr>
          <w:rFonts w:ascii="Arial" w:cs="Arial" w:eastAsia="Arial" w:hAnsi="Arial"/>
          <w:b/>
          <w:bCs/>
          <w:sz w:val="22"/>
          <w:szCs w:val="22"/>
        </w:rPr>
        <w:t xml:space="preserve">Prestador: </w:t>
      </w:r>
      <w:r>
        <w:rPr>
          <w:rFonts w:ascii="Arial" w:cs="Arial" w:eastAsia="Arial" w:hAnsi="Arial"/>
          <w:sz w:val="22"/>
          <w:szCs w:val="22"/>
        </w:rPr>
        <w:t xml:space="preserve">Dra. Yesika Vesga</w:t>
      </w:r>
    </w:p>
    <w:p>
      <w:pPr>
        <w:spacing w:after="80"/>
      </w:pPr>
      <w:r>
        <w:rPr>
          <w:rFonts w:ascii="Arial" w:cs="Arial" w:eastAsia="Arial" w:hAnsi="Arial"/>
          <w:b/>
          <w:bCs/>
          <w:sz w:val="22"/>
          <w:szCs w:val="22"/>
        </w:rPr>
        <w:t xml:space="preserve">Especialidad: </w:t>
      </w:r>
      <w:r>
        <w:rPr>
          <w:rFonts w:ascii="Arial" w:cs="Arial" w:eastAsia="Arial" w:hAnsi="Arial"/>
          <w:sz w:val="22"/>
          <w:szCs w:val="22"/>
        </w:rPr>
        <w:t xml:space="preserve">Médico General</w:t>
      </w:r>
    </w:p>
    <w:p>
      <w:pPr>
        <w:spacing w:after="80"/>
      </w:pPr>
      <w:r>
        <w:rPr>
          <w:rFonts w:ascii="Arial" w:cs="Arial" w:eastAsia="Arial" w:hAnsi="Arial"/>
          <w:b/>
          <w:bCs/>
          <w:sz w:val="22"/>
          <w:szCs w:val="22"/>
        </w:rPr>
        <w:t xml:space="preserve">Servicio habilitado: </w:t>
      </w:r>
      <w:r>
        <w:rPr>
          <w:rFonts w:ascii="Arial" w:cs="Arial" w:eastAsia="Arial" w:hAnsi="Arial"/>
          <w:sz w:val="22"/>
          <w:szCs w:val="22"/>
        </w:rPr>
        <w:t xml:space="preserve">Consulta Externa de Medicina General</w:t>
      </w:r>
    </w:p>
    <w:p>
      <w:pPr>
        <w:spacing w:after="80"/>
      </w:pPr>
      <w:r>
        <w:rPr>
          <w:rFonts w:ascii="Arial" w:cs="Arial" w:eastAsia="Arial" w:hAnsi="Arial"/>
          <w:b/>
          <w:bCs/>
          <w:sz w:val="22"/>
          <w:szCs w:val="22"/>
        </w:rPr>
        <w:t xml:space="preserve">Ciudad: </w:t>
      </w:r>
      <w:r>
        <w:rPr>
          <w:rFonts w:ascii="Arial" w:cs="Arial" w:eastAsia="Arial" w:hAnsi="Arial"/>
          <w:sz w:val="22"/>
          <w:szCs w:val="22"/>
        </w:rPr>
        <w:t xml:space="preserve">Cúcuta, Norte de Santander</w:t>
      </w:r>
    </w:p>
    <w:p>
      <w:pPr>
        <w:spacing w:after="80"/>
      </w:pPr>
      <w:r>
        <w:rPr>
          <w:rFonts w:ascii="Arial" w:cs="Arial" w:eastAsia="Arial" w:hAnsi="Arial"/>
          <w:b/>
          <w:bCs/>
          <w:sz w:val="22"/>
          <w:szCs w:val="22"/>
        </w:rPr>
        <w:t xml:space="preserve">Versión: </w:t>
      </w:r>
      <w:r>
        <w:rPr>
          <w:rFonts w:ascii="Arial" w:cs="Arial" w:eastAsia="Arial" w:hAnsi="Arial"/>
          <w:sz w:val="22"/>
          <w:szCs w:val="22"/>
        </w:rPr>
        <w:t xml:space="preserve">1.0 — 2025</w:t>
      </w:r>
    </w:p>
    <w:p>
      <w:pPr>
        <w:spacing w:after="80"/>
      </w:pPr>
      <w:r>
        <w:rPr>
          <w:rFonts w:ascii="Arial" w:cs="Arial" w:eastAsia="Arial" w:hAnsi="Arial"/>
          <w:b/>
          <w:bCs/>
          <w:sz w:val="22"/>
          <w:szCs w:val="22"/>
        </w:rPr>
        <w:t xml:space="preserve">Marco normativo: </w:t>
      </w:r>
      <w:r>
        <w:rPr>
          <w:rFonts w:ascii="Arial" w:cs="Arial" w:eastAsia="Arial" w:hAnsi="Arial"/>
          <w:sz w:val="22"/>
          <w:szCs w:val="22"/>
        </w:rPr>
        <w:t xml:space="preserve">Resolución 2674/2013 · Resolución 3100/2019</w:t>
      </w:r>
    </w:p>
    <w:p>
      <w:pPr>
        <w:pBdr>
          <w:bottom w:val="single" w:color="FF6B00" w:sz="6" w:space="4"/>
        </w:pBdr>
        <w:spacing w:after="200"/>
      </w:pPr>
    </w:p>
    <w:p>
      <w:pPr>
        <w:pBdr>
          <w:left w:val="single" w:color="FF6B00" w:sz="12" w:space="8"/>
        </w:pBdr>
        <w:spacing w:after="100" w:before="220"/>
        <w:ind w:left="120"/>
      </w:pPr>
      <w:r>
        <w:rPr>
          <w:rFonts w:ascii="Arial" w:cs="Arial" w:eastAsia="Arial" w:hAnsi="Arial"/>
          <w:b/>
          <w:bCs/>
          <w:color w:val="7B2FBE"/>
          <w:sz w:val="22"/>
          <w:szCs w:val="22"/>
        </w:rPr>
        <w:t xml:space="preserve">1. Objetivo</w:t>
      </w:r>
    </w:p>
    <w:p>
      <w:pPr>
        <w:spacing w:after="120"/>
        <w:jc w:val="both"/>
      </w:pPr>
      <w:r>
        <w:rPr>
          <w:rFonts w:ascii="Arial" w:cs="Arial" w:eastAsia="Arial" w:hAnsi="Arial"/>
          <w:sz w:val="22"/>
          <w:szCs w:val="22"/>
        </w:rPr>
        <w:t xml:space="preserve">Establecer las normas y procedimientos de bioseguridad aplicables al consultorio de la Dra. Yesika Vesga, con el fin de prevenir la exposición del personal de salud, los pacientes y el medio ambiente a riesgos de carácter biológico, químico y físico, en cumplimiento de la normativa colombiana vigente.</w:t>
      </w:r>
    </w:p>
    <w:p>
      <w:pPr>
        <w:pBdr>
          <w:left w:val="single" w:color="FF6B00" w:sz="12" w:space="8"/>
        </w:pBdr>
        <w:spacing w:after="100" w:before="220"/>
        <w:ind w:left="120"/>
      </w:pPr>
      <w:r>
        <w:rPr>
          <w:rFonts w:ascii="Arial" w:cs="Arial" w:eastAsia="Arial" w:hAnsi="Arial"/>
          <w:b/>
          <w:bCs/>
          <w:color w:val="7B2FBE"/>
          <w:sz w:val="22"/>
          <w:szCs w:val="22"/>
        </w:rPr>
        <w:t xml:space="preserve">2. Alcance</w:t>
      </w:r>
    </w:p>
    <w:p>
      <w:pPr>
        <w:spacing w:after="120"/>
        <w:jc w:val="both"/>
      </w:pPr>
      <w:r>
        <w:rPr>
          <w:rFonts w:ascii="Arial" w:cs="Arial" w:eastAsia="Arial" w:hAnsi="Arial"/>
          <w:sz w:val="22"/>
          <w:szCs w:val="22"/>
        </w:rPr>
        <w:t xml:space="preserve">El presente manual aplica a todas las actividades desarrolladas en el servicio de Consulta Externa de Medicina General, en la ciudad de Cúcuta, Norte de Santander, incluyendo la atención directa al paciente, el manejo de insumos y equipos, y la gestión de residuos generados.</w:t>
      </w:r>
    </w:p>
    <w:p>
      <w:pPr>
        <w:pBdr>
          <w:left w:val="single" w:color="FF6B00" w:sz="12" w:space="8"/>
        </w:pBdr>
        <w:spacing w:after="100" w:before="220"/>
        <w:ind w:left="120"/>
      </w:pPr>
      <w:r>
        <w:rPr>
          <w:rFonts w:ascii="Arial" w:cs="Arial" w:eastAsia="Arial" w:hAnsi="Arial"/>
          <w:b/>
          <w:bCs/>
          <w:color w:val="7B2FBE"/>
          <w:sz w:val="22"/>
          <w:szCs w:val="22"/>
        </w:rPr>
        <w:t xml:space="preserve">3. Marco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Norma</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Resolución 2674/2013</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Requisitos sanitarios para establecimientos que manipulan alimentos (aplicable por analogía a bioseguridad)</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Resolución 3100/2019</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Habilitación de servicios de salud — condiciones de bioseguridad</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Decreto 351/2014</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Gestión integral de residuos generados en atención en salud</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Resolución 1164/2002</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Manual de procedimientos PGIRH</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NTC-ISO 45001</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Sistema de gestión de seguridad y salud en el trabajo</w:t>
            </w:r>
          </w:p>
        </w:tc>
      </w:tr>
    </w:tbl>
    <w:p>
      <w:pPr>
        <w:pBdr>
          <w:left w:val="single" w:color="FF6B00" w:sz="12" w:space="8"/>
        </w:pBdr>
        <w:spacing w:after="100" w:before="220"/>
        <w:ind w:left="120"/>
      </w:pPr>
      <w:r>
        <w:rPr>
          <w:rFonts w:ascii="Arial" w:cs="Arial" w:eastAsia="Arial" w:hAnsi="Arial"/>
          <w:b/>
          <w:bCs/>
          <w:color w:val="7B2FBE"/>
          <w:sz w:val="22"/>
          <w:szCs w:val="22"/>
        </w:rPr>
        <w:t xml:space="preserve">4. Precauciones universales</w:t>
      </w:r>
    </w:p>
    <w:p>
      <w:pPr>
        <w:spacing w:after="120"/>
        <w:jc w:val="both"/>
      </w:pPr>
      <w:r>
        <w:rPr>
          <w:rFonts w:ascii="Arial" w:cs="Arial" w:eastAsia="Arial" w:hAnsi="Arial"/>
          <w:sz w:val="22"/>
          <w:szCs w:val="22"/>
        </w:rPr>
        <w:t xml:space="preserve">Todo paciente debe ser considerado como potencialmente infectado, independientemente de su diagnóstico. Las precauciones universales son medidas de control de infección que se aplican de manera consistente a todos los procedimientos y pacientes.</w:t>
      </w:r>
    </w:p>
    <w:p>
      <w:pPr>
        <w:pBdr>
          <w:left w:val="single" w:color="FF6B00" w:sz="12" w:space="8"/>
        </w:pBdr>
        <w:spacing w:after="100" w:before="220"/>
        <w:ind w:left="120"/>
      </w:pPr>
      <w:r>
        <w:rPr>
          <w:rFonts w:ascii="Arial" w:cs="Arial" w:eastAsia="Arial" w:hAnsi="Arial"/>
          <w:b/>
          <w:bCs/>
          <w:color w:val="7B2FBE"/>
          <w:sz w:val="22"/>
          <w:szCs w:val="22"/>
        </w:rPr>
        <w:t xml:space="preserve">5. Elementos de protección personal (EPP)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EPP</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Guantes de látex/nitrilo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Contacto con fluidos biológicos y mucosas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Descartar después de cada uso</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Tapabocas quirúrgico N95</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Atención a todos los pacientes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Cambiar cada 4 horas o si se humedece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Gafas de protección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Riesgo de salpicaduras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Limpiar con alcohol 70% entre pacientes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Bata/delantal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Procedimientos con riesgo de contaminación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Lavar en temperatura ≥60°C</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Gorro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Procedimientos con aerosoles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Descartar o lavar después del turno</w:t>
            </w:r>
          </w:p>
        </w:tc>
      </w:tr>
    </w:tbl>
    <w:p>
      <w:pPr>
        <w:pBdr>
          <w:left w:val="single" w:color="FF6B00" w:sz="12" w:space="8"/>
        </w:pBdr>
        <w:spacing w:after="100" w:before="220"/>
        <w:ind w:left="120"/>
      </w:pPr>
      <w:r>
        <w:rPr>
          <w:rFonts w:ascii="Arial" w:cs="Arial" w:eastAsia="Arial" w:hAnsi="Arial"/>
          <w:b/>
          <w:bCs/>
          <w:color w:val="7B2FBE"/>
          <w:sz w:val="22"/>
          <w:szCs w:val="22"/>
        </w:rPr>
        <w:t xml:space="preserve">6. Lavado de manos — 5 momentos OMS</w:t>
      </w:r>
    </w:p>
    <w:p>
      <w:pPr>
        <w:spacing w:after="120"/>
        <w:jc w:val="both"/>
      </w:pPr>
      <w:r>
        <w:rPr>
          <w:rFonts w:ascii="Arial" w:cs="Arial" w:eastAsia="Arial" w:hAnsi="Arial"/>
          <w:sz w:val="22"/>
          <w:szCs w:val="22"/>
        </w:rPr>
        <w:t xml:space="preserve">Momento 1: ANTES de tocar al paciente. Momento 2: ANTES de un procedimiento aséptico. Momento 3: DESPUÉS de riesgo de exposición a fluidos corporales. Momento 4: DESPUÉS de tocar al paciente. Momento 5: DESPUÉS de tocar el entorno del paciente.</w:t>
      </w:r>
    </w:p>
    <w:p>
      <w:pPr>
        <w:spacing w:after="120"/>
        <w:jc w:val="both"/>
      </w:pPr>
      <w:r>
        <w:rPr>
          <w:rFonts w:ascii="Arial" w:cs="Arial" w:eastAsia="Arial" w:hAnsi="Arial"/>
          <w:sz w:val="22"/>
          <w:szCs w:val="22"/>
        </w:rPr>
        <w:t xml:space="preserve">Técnica: Mojar manos → Aplicar jabón → Frotar palmas, dorso, espacios interdigitales, uñas → Enjuagar → Secar con toalla desechable → Cerrar grifo con toalla. Duración mínima: 20-30 segundos.</w:t>
      </w:r>
    </w:p>
    <w:p>
      <w:pPr>
        <w:pBdr>
          <w:left w:val="single" w:color="FF6B00" w:sz="12" w:space="8"/>
        </w:pBdr>
        <w:spacing w:after="100" w:before="220"/>
        <w:ind w:left="120"/>
      </w:pPr>
      <w:r>
        <w:rPr>
          <w:rFonts w:ascii="Arial" w:cs="Arial" w:eastAsia="Arial" w:hAnsi="Arial"/>
          <w:b/>
          <w:bCs/>
          <w:color w:val="7B2FBE"/>
          <w:sz w:val="22"/>
          <w:szCs w:val="22"/>
        </w:rPr>
        <w:t xml:space="preserve">7. Manejo de accidente de riesgo biológico</w:t>
      </w:r>
    </w:p>
    <w:p>
      <w:pPr>
        <w:spacing w:after="120"/>
        <w:jc w:val="both"/>
      </w:pPr>
      <w:r>
        <w:rPr>
          <w:rFonts w:ascii="Arial" w:cs="Arial" w:eastAsia="Arial" w:hAnsi="Arial"/>
          <w:sz w:val="22"/>
          <w:szCs w:val="22"/>
        </w:rPr>
        <w:t xml:space="preserve">Ante un accidente con material biológico (pinchazo, salpicadura, corte): 1. Permitir sangrado libre. 2. Lavar la zona con agua y jabón por 5 minutos. 3. Aplicar antiséptico. 4. Reportar el incidente inmediatamente. 5. Acudir a urgencias para evaluación médica y valoración de profilaxis post-exposición. 6. Diligenciar formato de reporte de accidente de riesgo biológico.</w:t>
      </w:r>
    </w:p>
    <w:p>
      <w:pPr>
        <w:pBdr>
          <w:left w:val="single" w:color="FF6B00" w:sz="12" w:space="8"/>
        </w:pBdr>
        <w:spacing w:after="100" w:before="220"/>
        <w:ind w:left="120"/>
      </w:pPr>
      <w:r>
        <w:rPr>
          <w:rFonts w:ascii="Arial" w:cs="Arial" w:eastAsia="Arial" w:hAnsi="Arial"/>
          <w:b/>
          <w:bCs/>
          <w:color w:val="7B2FBE"/>
          <w:sz w:val="22"/>
          <w:szCs w:val="22"/>
        </w:rPr>
        <w:t xml:space="preserve">8. Gestión de residuos biológicos</w:t>
      </w:r>
    </w:p>
    <w:p>
      <w:pPr>
        <w:spacing w:after="120"/>
        <w:jc w:val="both"/>
      </w:pPr>
      <w:r>
        <w:rPr>
          <w:rFonts w:ascii="Arial" w:cs="Arial" w:eastAsia="Arial" w:hAnsi="Arial"/>
          <w:sz w:val="22"/>
          <w:szCs w:val="22"/>
        </w:rPr>
        <w:t xml:space="preserve">Los residuos generados en la atención deben clasificarse y segregarse en la fuente según el PGIRH vigente del consultorio. Ver documento PG01 — Plan PGIRH completo.</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r>
      <w:tr>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Firma del responsable del servicio</w:t>
            </w:r>
          </w:p>
          <w:p>
            <w:r>
              <w:rPr>
                <w:rFonts w:ascii="Arial" w:cs="Arial" w:eastAsia="Arial" w:hAnsi="Arial"/>
                <w:color w:val="888888"/>
                <w:sz w:val="18"/>
                <w:szCs w:val="18"/>
              </w:rPr>
              <w:t xml:space="preserve">C.C.: _______________</w:t>
            </w:r>
          </w:p>
        </w:tc>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Dra. Yesika Vesga</w:t>
            </w:r>
          </w:p>
          <w:p>
            <w:r>
              <w:rPr>
                <w:rFonts w:ascii="Arial" w:cs="Arial" w:eastAsia="Arial" w:hAnsi="Arial"/>
                <w:color w:val="888888"/>
                <w:sz w:val="18"/>
                <w:szCs w:val="18"/>
              </w:rPr>
              <w:t xml:space="preserve">Médico General · RM: _______________</w:t>
            </w:r>
          </w:p>
        </w:tc>
      </w:tr>
    </w:tbl>
    <w:p>
      <w:pPr>
        <w:spacing w:after="100"/>
      </w:pPr>
    </w:p>
    <w:p>
      <w:pPr>
        <w:spacing w:after="80"/>
      </w:pPr>
      <w:r>
        <w:rPr>
          <w:rFonts w:ascii="Arial" w:cs="Arial" w:eastAsia="Arial" w:hAnsi="Arial"/>
          <w:b/>
          <w:bCs/>
          <w:sz w:val="22"/>
          <w:szCs w:val="22"/>
        </w:rPr>
        <w:t xml:space="preserve">Fecha de elaboración: </w:t>
      </w:r>
      <w:r>
        <w:rPr>
          <w:rFonts w:ascii="Arial" w:cs="Arial" w:eastAsia="Arial" w:hAnsi="Arial"/>
          <w:sz w:val="22"/>
          <w:szCs w:val="22"/>
        </w:rPr>
        <w:t xml:space="preserve">2025</w:t>
      </w:r>
    </w:p>
    <w:p>
      <w:pPr>
        <w:spacing w:after="80"/>
      </w:pPr>
      <w:r>
        <w:rPr>
          <w:rFonts w:ascii="Arial" w:cs="Arial" w:eastAsia="Arial" w:hAnsi="Arial"/>
          <w:b/>
          <w:bCs/>
          <w:sz w:val="22"/>
          <w:szCs w:val="22"/>
        </w:rPr>
        <w:t xml:space="preserve">Fecha de próxima revisión: </w:t>
      </w:r>
      <w:r>
        <w:rPr>
          <w:rFonts w:ascii="Arial" w:cs="Arial" w:eastAsia="Arial" w:hAnsi="Arial"/>
          <w:sz w:val="22"/>
          <w:szCs w:val="22"/>
        </w:rPr>
        <w:t xml:space="preserve">2026</w:t>
      </w:r>
    </w:p>
    <w:p>
      <w:pPr>
        <w:spacing w:after="120"/>
        <w:jc w:val="both"/>
      </w:pPr>
      <w:r>
        <w:rPr>
          <w:rFonts w:ascii="Arial" w:cs="Arial" w:eastAsia="Arial" w:hAnsi="Arial"/>
          <w:sz w:val="22"/>
          <w:szCs w:val="22"/>
        </w:rPr>
        <w:t xml:space="preserve">© BIOAuditoria / BIOMarketing — Documento protegido. Prohibida su reproducción sin autorización.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2"/>
      </w:pBdr>
      <w:spacing w:before="60"/>
    </w:pPr>
    <w:r>
      <w:rPr>
        <w:rFonts w:ascii="Arial" w:cs="Arial" w:eastAsia="Arial" w:hAnsi="Arial"/>
        <w:color w:val="888888"/>
        <w:sz w:val="16"/>
        <w:szCs w:val="16"/>
      </w:rPr>
      <w:t xml:space="preserve">TH_Manual_Bioseguridad · Dra. Yesika Vesga · Res. 3100/2019 · Pág. </w:t>
    </w:r>
    <w:r>
      <w:rPr>
        <w:rFonts w:ascii="Arial" w:cs="Arial" w:eastAsia="Arial" w:hAnsi="Arial"/>
        <w:color w:val="888888"/>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spacing w:after="60"/>
    </w:pPr>
    <w:r>
      <w:rPr>
        <w:rFonts w:ascii="Arial" w:cs="Arial" w:eastAsia="Arial" w:hAnsi="Arial"/>
        <w:b/>
        <w:bCs/>
        <w:color w:val="FF6B00"/>
        <w:sz w:val="16"/>
        <w:szCs w:val="16"/>
      </w:rPr>
      <w:t xml:space="preserve">BIOAuditoria® | </w:t>
    </w:r>
    <w:r>
      <w:rPr>
        <w:rFonts w:ascii="Arial" w:cs="Arial" w:eastAsia="Arial" w:hAnsi="Arial"/>
        <w:color w:val="888888"/>
        <w:sz w:val="16"/>
        <w:szCs w:val="16"/>
      </w:rPr>
      <w:t xml:space="preserve">Dra. Yesika Vesga · Cúcuta, Norte de Santander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2026-06-02T22:50:39.829Z</dcterms:created>
  <dcterms:modified xsi:type="dcterms:W3CDTF">2026-06-02T22:50:39.830Z</dcterms:modified>
</cp:coreProperties>
</file>

<file path=docProps/custom.xml><?xml version="1.0" encoding="utf-8"?>
<Properties xmlns="http://schemas.openxmlformats.org/officeDocument/2006/custom-properties" xmlns:vt="http://schemas.openxmlformats.org/officeDocument/2006/docPropsVTypes"/>
</file>