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26"/>
          <w:szCs w:val="26"/>
        </w:rPr>
        <w:t xml:space="preserve">ANTEPROYECTO DE INVESTIGACIÓN</w:t>
      </w:r>
    </w:p>
    <w:p>
      <w:pPr>
        <w:spacing w:after="1400" w:before="600" w:line="360"/>
        <w:jc w:val="center"/>
      </w:pPr>
      <w:r>
        <w:rPr>
          <w:b/>
          <w:bCs/>
          <w:sz w:val="28"/>
          <w:szCs w:val="28"/>
        </w:rPr>
        <w:t xml:space="preserve">Parque Temático El Cacique: ecoturismo y valoración del patrimonio cultural chitarero en el casco urbano de Cácota, Norte de Santander</w:t>
      </w:r>
    </w:p>
    <w:p>
      <w:pPr>
        <w:spacing w:after="80"/>
        <w:jc w:val="center"/>
      </w:pPr>
      <w:r>
        <w:t xml:space="preserve">[Nombre del autor o autores]</w:t>
      </w:r>
    </w:p>
    <w:p>
      <w:pPr>
        <w:spacing w:after="80"/>
        <w:jc w:val="center"/>
      </w:pPr>
      <w:r>
        <w:t xml:space="preserve">[Programa académico]</w:t>
      </w:r>
    </w:p>
    <w:p>
      <w:pPr>
        <w:spacing w:after="80"/>
        <w:jc w:val="center"/>
      </w:pPr>
      <w:r>
        <w:t xml:space="preserve">[Institución]</w:t>
      </w:r>
    </w:p>
    <w:p>
      <w:pPr>
        <w:spacing w:after="80"/>
        <w:jc w:val="center"/>
      </w:pPr>
      <w:r>
        <w:t xml:space="preserve"/>
      </w:r>
    </w:p>
    <w:p>
      <w:pPr>
        <w:spacing w:after="80"/>
        <w:jc w:val="center"/>
      </w:pPr>
      <w:r>
        <w:t xml:space="preserve">Director(a): [Nombre]</w:t>
      </w:r>
    </w:p>
    <w:p>
      <w:pPr>
        <w:spacing w:after="80"/>
        <w:jc w:val="center"/>
      </w:pPr>
      <w:r>
        <w:t xml:space="preserve"/>
      </w:r>
    </w:p>
    <w:p>
      <w:pPr>
        <w:spacing w:after="80"/>
        <w:jc w:val="center"/>
      </w:pPr>
      <w:r>
        <w:t xml:space="preserve">Cácota, Norte de Santander</w:t>
      </w:r>
    </w:p>
    <w:p>
      <w:pPr>
        <w:spacing w:after="80"/>
        <w:jc w:val="center"/>
      </w:pPr>
      <w:r>
        <w:t xml:space="preserve">2026</w:t>
      </w:r>
    </w:p>
    <w:p>
      <w:r>
        <w:br w:type="page"/>
      </w:r>
    </w:p>
    <w:p>
      <w:pPr>
        <w:spacing w:after="200"/>
      </w:pPr>
      <w:r>
        <w:rPr>
          <w:b/>
          <w:bCs/>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Planteamiento del problema</w:t>
      </w:r>
    </w:p>
    <w:p>
      <w:pPr>
        <w:spacing w:after="120" w:line="360"/>
        <w:ind w:firstLine="709"/>
        <w:jc w:val="both"/>
      </w:pPr>
      <w:r>
        <w:t xml:space="preserve">Cácota es uno de los municipios más pequeños del suroccidente de Norte de Santander. Su economía depende casi por completo de la papa, la arveja, algunos frutales de clima frío y la ganadería de pequeña escala, actividades que en los últimos años han perdido rentabilidad por el alza de insumos y la dificultad para sacar la cosecha a los mercados de Pamplona y Cúcuta. La proyección del DANE para 2026 ubica la población en 3.168 habitantes, con predominio de población rural y un envejecimiento visible: buena parte de los jóvenes termina el bachillerato y se va.</w:t>
      </w:r>
    </w:p>
    <w:p>
      <w:pPr>
        <w:spacing w:after="120" w:line="360"/>
        <w:ind w:firstLine="709"/>
        <w:jc w:val="both"/>
      </w:pPr>
      <w:r>
        <w:t xml:space="preserve">Al mismo tiempo, el municipio tiene recursos que casi no se aprovechan. Forma parte del complejo de páramos Jurisdicciones–Santurbán–Berlín, conserva un paisaje de alta montaña atractivo para el visitante y guarda la memoria de los Cácotas, grupo de la familia chitarera que ocupó estas tierras antes de la llegada de los españoles. Esa herencia aparece en la toponimia, en algunas prácticas agrícolas y en el relato oral de los mayores, pero no existe un lugar donde se cuente, se muestre o se proteja.</w:t>
      </w:r>
    </w:p>
    <w:p>
      <w:pPr>
        <w:spacing w:after="120" w:line="360"/>
        <w:ind w:firstLine="709"/>
        <w:jc w:val="both"/>
      </w:pPr>
      <w:r>
        <w:t xml:space="preserve">La Alcaldía dispuso un predio de cerca de 6.800 m² en el barrio La Esperanza, sector La Chorrera (lotes Casa Blanca y Zapatero), para construir un parque temático con senderos, miradores, tótems, carpas artesanales, locales comerciales y un área de servicios. Ya existen planos arquitectónicos, topográficos, eléctricos e hidrosanitarios, un estudio preliminar de suelos, una memoria hidrosanitaria y un informe de gestión ambiental y social. Sin embargo, estos documentos se elaboraron por separado, con enfoques distintos, y presentan vacíos: la línea base biótica se basa en información secundaria, la percepción de la comunidad no se ha medido todavía, el canal de agua para consumo humano que bordea el lote no cuenta con un diagnóstico de calidad y la memoria hidrosanitaria muestra inconsistencias entre la población de diseño y el volumen de almacenamiento.</w:t>
      </w:r>
    </w:p>
    <w:p>
      <w:pPr>
        <w:spacing w:after="120" w:line="360"/>
        <w:ind w:firstLine="709"/>
        <w:jc w:val="both"/>
      </w:pPr>
      <w:r>
        <w:t xml:space="preserve">El riesgo es que el parque se construya como una obra más, sin articular lo técnico con lo ambiental y lo cultural, y que termine subutilizado o generando conflictos por el agua y el uso del suelo. De ahí surge la pregunta que orienta este trabajo: </w:t>
      </w:r>
      <w:r>
        <w:rPr>
          <w:i/>
          <w:iCs/>
        </w:rPr>
        <w:t xml:space="preserve">¿cuáles son las condiciones técnicas, ambientales y socioculturales que deben integrarse en el diseño del Parque Temático El Cacique para que funcione como un espacio de ecoturismo y de valoración del patrimonio chitarero, viable y aceptado por la comunidad de Cácota?</w:t>
      </w:r>
    </w:p>
    <w:p>
      <w:pPr>
        <w:pStyle w:val="Heading1"/>
      </w:pPr>
      <w:r>
        <w:t xml:space="preserve">Justificación</w:t>
      </w:r>
    </w:p>
    <w:p>
      <w:pPr>
        <w:spacing w:after="120" w:line="360"/>
        <w:ind w:firstLine="709"/>
        <w:jc w:val="both"/>
      </w:pPr>
      <w:r>
        <w:t xml:space="preserve">El turismo de naturaleza y el turismo cultural son hoy dos de las pocas alternativas reales de ingreso para municipios andinos pequeños que no tienen industria ni una base agrícola competitiva. La Ley 2068 de 2020 reconoce este papel y pide a las entidades territoriales formular proyectos que combinen conservación, identidad y generación de empleo local. En Norte de Santander la oferta se ha concentrado en Pamplona y en Cúcuta; municipios como Cácota, situados a pocos kilómetros de esa ruta, reciben visitantes de paso pero no tienen un atractivo organizado que los retenga.</w:t>
      </w:r>
    </w:p>
    <w:p>
      <w:pPr>
        <w:spacing w:after="120" w:line="360"/>
        <w:ind w:firstLine="709"/>
        <w:jc w:val="both"/>
      </w:pPr>
      <w:r>
        <w:t xml:space="preserve">Richards (2018) muestra que el turismo cultural dejó de centrarse en monumentos y se orientó hacia experiencias ligadas a la vida cotidiana, la gastronomía y la memoria de los lugares. Un parque temático de escala municipal, pensado desde la historia chitarera y el paisaje de páramo, encaja en esa tendencia. No se trata de replicar los grandes parques comerciales que describen Milman (2010) y Clavé (2007), sino de adaptar la idea de tematización a un contexto rural, con infraestructura liviana y administración compartida con la comunidad.</w:t>
      </w:r>
    </w:p>
    <w:p>
      <w:pPr>
        <w:spacing w:after="120" w:line="360"/>
        <w:ind w:firstLine="709"/>
        <w:jc w:val="both"/>
      </w:pPr>
      <w:r>
        <w:t xml:space="preserve">La pertinencia del estudio también es ambiental. El lote está en media ladera, sobre un depósito coluvial, con pendientes entre 15 % y 20 % y un canal de agua potable en su costado. Las obras mal planificadas en este tipo de terreno aceleran la erosión y pueden contaminar la fuente que abastece a parte del casco urbano. Integrar desde el diseño las recomendaciones geotécnicas, el drenaje sostenible y la restauración con especies nativas reduce ese riesgo y baja los costos de mantenimiento a futuro.</w:t>
      </w:r>
    </w:p>
    <w:p>
      <w:pPr>
        <w:spacing w:after="120" w:line="360"/>
        <w:ind w:firstLine="709"/>
        <w:jc w:val="both"/>
      </w:pPr>
      <w:r>
        <w:t xml:space="preserve">En lo social, la literatura sobre ecoturismo coincide en que los proyectos que no involucran a los residentes pierden apoyo con el tiempo (Scheyvens, 1999; Stronza &amp; Gordillo, 2008). Medir la percepción de la comunidad antes de construir, y no después, permite ajustar el programa del parque a lo que la gente espera: empleo, espacios para vender artesanías, capacitación en guianza y reconocimiento de su historia.</w:t>
      </w:r>
    </w:p>
    <w:p>
      <w:pPr>
        <w:spacing w:after="120" w:line="360"/>
        <w:ind w:firstLine="709"/>
        <w:jc w:val="both"/>
      </w:pPr>
      <w:r>
        <w:t xml:space="preserve">Por último, el trabajo tiene utilidad práctica para la Administración Municipal. Consolidar en un solo documento los estudios existentes, corregir sus inconsistencias y completar la información que falta facilita la gestión de recursos ante el Fondo Nacional de Turismo (FONTUR), el Sistema General de Regalías o la cooperación internacional, que exigen proyectos con soporte técnico, ambiental y social verificable.</w:t>
      </w:r>
    </w:p>
    <w:p>
      <w:pPr>
        <w:pStyle w:val="Heading1"/>
      </w:pPr>
      <w:r>
        <w:t xml:space="preserve">Objetivos</w:t>
      </w:r>
    </w:p>
    <w:p>
      <w:pPr>
        <w:pStyle w:val="Heading2"/>
      </w:pPr>
      <w:r>
        <w:t xml:space="preserve">Objetivo general</w:t>
      </w:r>
    </w:p>
    <w:p>
      <w:pPr>
        <w:spacing w:after="120" w:line="360"/>
        <w:ind w:firstLine="709"/>
        <w:jc w:val="both"/>
      </w:pPr>
      <w:r>
        <w:t xml:space="preserve">Formular una propuesta integral de diseño y gestión para el Parque Temático El Cacique en el casco urbano de Cácota, Norte de Santander, que articule las condiciones técnicas del predio, la protección del entorno natural y la valoración del patrimonio cultural chitarero, como estrategia de ecoturismo con participación comunitaria.</w:t>
      </w:r>
    </w:p>
    <w:p>
      <w:pPr>
        <w:pStyle w:val="Heading2"/>
      </w:pPr>
      <w:r>
        <w:t xml:space="preserve">Objetivos específicos</w:t>
      </w:r>
    </w:p>
    <w:p>
      <w:pPr>
        <w:pStyle w:val="ListParagraph"/>
        <w:numPr>
          <w:ilvl w:val="0"/>
          <w:numId w:val="2"/>
        </w:numPr>
        <w:spacing w:after="80" w:line="360"/>
        <w:jc w:val="both"/>
      </w:pPr>
      <w:r>
        <w:t xml:space="preserve">Diagnosticar las condiciones físicas del predio a partir de los estudios de suelos, topografía, hidrosanitarios y eléctricos existentes, identificando vacíos e inconsistencias técnicas.</w:t>
      </w:r>
    </w:p>
    <w:p>
      <w:pPr>
        <w:pStyle w:val="ListParagraph"/>
        <w:numPr>
          <w:ilvl w:val="0"/>
          <w:numId w:val="2"/>
        </w:numPr>
        <w:spacing w:after="80" w:line="360"/>
        <w:jc w:val="both"/>
      </w:pPr>
      <w:r>
        <w:t xml:space="preserve">Caracterizar la línea base ambiental del área de influencia, con énfasis en la cobertura vegetal, la fauna asociada y la calidad del agua del canal adyacente.</w:t>
      </w:r>
    </w:p>
    <w:p>
      <w:pPr>
        <w:pStyle w:val="ListParagraph"/>
        <w:numPr>
          <w:ilvl w:val="0"/>
          <w:numId w:val="2"/>
        </w:numPr>
        <w:spacing w:after="80" w:line="360"/>
        <w:jc w:val="both"/>
      </w:pPr>
      <w:r>
        <w:t xml:space="preserve">Analizar la percepción, las expectativas y el conocimiento de la comunidad cacoteña sobre el proyecto y sobre su herencia cultural chitarera.</w:t>
      </w:r>
    </w:p>
    <w:p>
      <w:pPr>
        <w:pStyle w:val="ListParagraph"/>
        <w:numPr>
          <w:ilvl w:val="0"/>
          <w:numId w:val="2"/>
        </w:numPr>
        <w:spacing w:after="80" w:line="360"/>
        <w:jc w:val="both"/>
      </w:pPr>
      <w:r>
        <w:t xml:space="preserve">Evaluar los impactos ambientales y sociales previsibles en las fases de construcción y operación del parque.</w:t>
      </w:r>
    </w:p>
    <w:p>
      <w:pPr>
        <w:pStyle w:val="ListParagraph"/>
        <w:numPr>
          <w:ilvl w:val="0"/>
          <w:numId w:val="2"/>
        </w:numPr>
        <w:spacing w:after="80" w:line="360"/>
        <w:jc w:val="both"/>
      </w:pPr>
      <w:r>
        <w:t xml:space="preserve">Proponer ajustes al diseño y lineamientos de gestión que integren los resultados técnicos, ambientales y sociales.</w:t>
      </w:r>
    </w:p>
    <w:p>
      <w:pPr>
        <w:pStyle w:val="Heading1"/>
      </w:pPr>
      <w:r>
        <w:t xml:space="preserve">Antecedentes</w:t>
      </w:r>
    </w:p>
    <w:p>
      <w:pPr>
        <w:spacing w:after="120" w:line="360"/>
        <w:ind w:firstLine="709"/>
        <w:jc w:val="both"/>
      </w:pPr>
      <w:r>
        <w:t xml:space="preserve">Los antecedentes se organizan en tres niveles: internacional, nacional y local. Se privilegiaron estudios publicados en revistas indexadas y documentos técnicos oficiales relacionados con parques temáticos, ecoturismo comunitario y manejo de laderas andinas.</w:t>
      </w:r>
    </w:p>
    <w:p>
      <w:pPr>
        <w:pStyle w:val="Heading2"/>
      </w:pPr>
      <w:r>
        <w:t xml:space="preserve">Internacionales</w:t>
      </w:r>
    </w:p>
    <w:p>
      <w:pPr>
        <w:spacing w:after="120" w:line="360"/>
        <w:ind w:firstLine="709"/>
        <w:jc w:val="both"/>
      </w:pPr>
      <w:r>
        <w:t xml:space="preserve">Milman (2001) consultó a directivos de la industria de parques y atracciones para identificar las tendencias que marcarían su desarrollo. Encontró que la competencia ya no dependía solo de las atracciones mecánicas, sino de la capacidad de contar historias y ofrecer experiencias educativas, una conclusión que abrió el camino a parques temáticos de menor escala con contenido cultural. Años después, el mismo autor revisó la evolución histórica de esta industria y describió cómo el modelo se trasladó de Estados Unidos a Asia, Europa y América Latina, con adaptaciones a las identidades locales (Milman, 2010).</w:t>
      </w:r>
    </w:p>
    <w:p>
      <w:pPr>
        <w:spacing w:after="120" w:line="360"/>
        <w:ind w:firstLine="709"/>
        <w:jc w:val="both"/>
      </w:pPr>
      <w:r>
        <w:t xml:space="preserve">Ma et al. (2013) estudiaron a visitantes de parques temáticos en China y demostraron que el placer y la satisfacción dependen de la novedad, de la interacción con el entorno y de la sensación de que la visita tuvo sentido. Para un parque rural esto es relevante: el valor no está en el tamaño de la infraestructura, sino en la calidad del relato y en el contacto con el lugar.</w:t>
      </w:r>
    </w:p>
    <w:p>
      <w:pPr>
        <w:spacing w:after="120" w:line="360"/>
        <w:ind w:firstLine="709"/>
        <w:jc w:val="both"/>
      </w:pPr>
      <w:r>
        <w:t xml:space="preserve">En cuanto al ecoturismo, Scheyvens (1999) propuso un marco para evaluar si las comunidades locales ganan poder económico, psicológico, social y político con esta actividad. Stronza y Gordillo (2008), a partir de tres casos en Perú, Bolivia y Ecuador, mostraron que los beneficios más valorados por los residentes no siempre son económicos: la capacitación, el orgullo por la cultura propia y la ampliación de redes pesaron tanto como los ingresos. Weaver y Lawton (2007) revisaron veinte años de investigación y advirtieron que muchos proyectos se presentan como ecoturísticos sin medir sus efectos reales sobre el ambiente.</w:t>
      </w:r>
    </w:p>
    <w:p>
      <w:pPr>
        <w:pStyle w:val="Heading2"/>
      </w:pPr>
      <w:r>
        <w:t xml:space="preserve">Nacionales</w:t>
      </w:r>
    </w:p>
    <w:p>
      <w:pPr>
        <w:spacing w:after="120" w:line="360"/>
        <w:ind w:firstLine="709"/>
        <w:jc w:val="both"/>
      </w:pPr>
      <w:r>
        <w:t xml:space="preserve">Murcia et al. (2016) analizaron 119 proyectos de restauración ecológica en Colombia y hallaron que la mayoría carecía de monitoreo y de una participación comunitaria sólida, lo que limitaba su sostenibilidad. Esta evidencia respalda la decisión de incluir en el parque un componente de restauración con seguimiento y con apoyo de la comunidad, y no solo una siembra de árboles al inicio de la obra.</w:t>
      </w:r>
    </w:p>
    <w:p>
      <w:pPr>
        <w:spacing w:after="120" w:line="360"/>
        <w:ind w:firstLine="709"/>
        <w:jc w:val="both"/>
      </w:pPr>
      <w:r>
        <w:t xml:space="preserve">Velandia Bonilla y Figueroa Espinel (2020) examinaron el turismo comunitario en Colombia durante el periodo de posconflicto y concluyeron que su éxito depende de la organización local, del acompañamiento institucional y de la conexión con mercados cercanos. Estas condiciones se asemejan a las de Cácota, que tiene organizaciones comunitarias activas y está próxima a un destino consolidado como Pamplona.</w:t>
      </w:r>
    </w:p>
    <w:p>
      <w:pPr>
        <w:spacing w:after="120" w:line="360"/>
        <w:ind w:firstLine="709"/>
        <w:jc w:val="both"/>
      </w:pPr>
      <w:r>
        <w:t xml:space="preserve">En la región andina, Buytaert et al. (2006) documentaron cómo el cambio de uso del suelo en los páramos altera la regulación hídrica. Aunque el predio no está dentro del área delimitada como páramo, el municipio sí pertenece al complejo Santurbán, y el parque puede servir como espacio de educación sobre la importancia de estos ecosistemas para el agua de la región.</w:t>
      </w:r>
    </w:p>
    <w:p>
      <w:pPr>
        <w:pStyle w:val="Heading2"/>
      </w:pPr>
      <w:r>
        <w:t xml:space="preserve">Locales</w:t>
      </w:r>
    </w:p>
    <w:p>
      <w:pPr>
        <w:spacing w:after="120" w:line="360"/>
        <w:ind w:firstLine="709"/>
        <w:jc w:val="both"/>
      </w:pPr>
      <w:r>
        <w:t xml:space="preserve">Los antecedentes directos son los estudios contratados por la Alcaldía de Cácota para este mismo proyecto. El estudio preliminar de suelos, basado en dos apiques de cerca de seis metros, clasificó el perfil como arcillas arenosas de baja plasticidad (CL) sobre un conglomerado denso (GC-GM), con una capacidad portante admisible de 2,0 kg/cm² y asentamientos estimados de 2 cm. La memoria hidrosanitaria definió la conexión a las redes existentes de acueducto y alcantarillado, con una presión de servicio de 20 psi y tanques elevados de reserva. El informe de gestión ambiental y social propuso la reforestación con aliso (</w:t>
      </w:r>
      <w:r>
        <w:rPr>
          <w:i/>
          <w:iCs/>
        </w:rPr>
        <w:t xml:space="preserve">Alnus acuminata</w:t>
      </w:r>
      <w:r>
        <w:t xml:space="preserve">) y roble (</w:t>
      </w:r>
      <w:r>
        <w:rPr>
          <w:i/>
          <w:iCs/>
        </w:rPr>
        <w:t xml:space="preserve">Quercus humboldtii</w:t>
      </w:r>
      <w:r>
        <w:t xml:space="preserve">), la protección del canal y un formato de encuesta de percepción que aún no se ha aplicado. El Esquema de Ordenamiento Territorial del municipio describe el casco urbano como asentado sobre un cono de deslizamiento con pendientes medias del 23 %.</w:t>
      </w:r>
    </w:p>
    <w:p>
      <w:pPr>
        <w:pStyle w:val="Heading1"/>
      </w:pPr>
      <w:r>
        <w:t xml:space="preserve">Marco teórico</w:t>
      </w:r>
    </w:p>
    <w:p>
      <w:pPr>
        <w:pStyle w:val="Heading2"/>
      </w:pPr>
      <w:r>
        <w:t xml:space="preserve">Parque temático: del modelo comercial a la escala local</w:t>
      </w:r>
    </w:p>
    <w:p>
      <w:pPr>
        <w:spacing w:after="120" w:line="360"/>
        <w:ind w:firstLine="709"/>
        <w:jc w:val="both"/>
      </w:pPr>
      <w:r>
        <w:t xml:space="preserve">Clavé (2007) define el parque temático como un espacio cerrado, planificado alrededor de uno o varios temas, que ofrece una experiencia coherente a través de la arquitectura, el paisaje, las actividades y los servicios. El tema organiza todo: qué se construye, qué se cuenta y cómo se recorre. En los grandes parques el tema suele ser ficticio; en los parques de escala local, como el que se propone, el tema surge de la historia y del territorio.</w:t>
      </w:r>
    </w:p>
    <w:p>
      <w:pPr>
        <w:spacing w:after="120" w:line="360"/>
        <w:ind w:firstLine="709"/>
        <w:jc w:val="both"/>
      </w:pPr>
      <w:r>
        <w:t xml:space="preserve">Esta idea se relaciona con la economía de la experiencia de Pine y Gilmore (1998), para quienes el visitante no paga por un servicio, sino por un recuerdo significativo. Los autores distinguen cuatro dimensiones: entretenimiento, educación, estética y evasión. Un parque dedicado al pueblo cácota puede trabajar las cuatro con recursos sencillos: senderos interpretativos, tótems con relatos, miradores sobre el valle y talleres de artesanía.</w:t>
      </w:r>
    </w:p>
    <w:p>
      <w:pPr>
        <w:pStyle w:val="Heading2"/>
      </w:pPr>
      <w:r>
        <w:t xml:space="preserve">Turismo cultural y patrimonio inmaterial</w:t>
      </w:r>
    </w:p>
    <w:p>
      <w:pPr>
        <w:spacing w:after="120" w:line="360"/>
        <w:ind w:firstLine="709"/>
        <w:jc w:val="both"/>
      </w:pPr>
      <w:r>
        <w:t xml:space="preserve">Richards (2018) describe el paso del turismo cultural basado en museos y monumentos a uno más creativo, en el que el visitante participa y aprende. Moscardo (1996) había planteado antes que la interpretación del patrimonio funciona mejor cuando el visitante está atento, es decir, cuando la información es variada, cercana a su experiencia y le permite hacer preguntas. Ambos enfoques sustentan un parque en el que la historia chitarera no se exhibe como algo muerto, sino a través de personas del municipio que la cuentan.</w:t>
      </w:r>
    </w:p>
    <w:p>
      <w:pPr>
        <w:pStyle w:val="Heading2"/>
      </w:pPr>
      <w:r>
        <w:t xml:space="preserve">Ecoturismo y participación comunitaria</w:t>
      </w:r>
    </w:p>
    <w:p>
      <w:pPr>
        <w:spacing w:after="120" w:line="360"/>
        <w:ind w:firstLine="709"/>
        <w:jc w:val="both"/>
      </w:pPr>
      <w:r>
        <w:t xml:space="preserve">El ecoturismo se entiende aquí como una forma de turismo en áreas naturales que busca conservar el entorno, educar al visitante y beneficiar a la población local (Weaver &amp; Lawton, 2007). Hunter (1997) advirtió que la sostenibilidad turística no es una fórmula única, sino un paradigma que se adapta a cada lugar según la fragilidad de sus recursos y las prioridades de su gente.</w:t>
      </w:r>
    </w:p>
    <w:p>
      <w:pPr>
        <w:spacing w:after="120" w:line="360"/>
        <w:ind w:firstLine="709"/>
        <w:jc w:val="both"/>
      </w:pPr>
      <w:r>
        <w:t xml:space="preserve">La participación es el punto donde muchos proyectos fallan. Tosun (2000) identificó límites operativos, estructurales y culturales que impiden a las comunidades de países en desarrollo incidir en las decisiones turísticas, mientras que Timothy (1999) distinguió entre la participación en la toma de decisiones y la participación en los beneficios. Para Cácota ambas son necesarias: que la comunidad opine sobre el diseño y que también reciba parte de los ingresos.</w:t>
      </w:r>
    </w:p>
    <w:p>
      <w:pPr>
        <w:pStyle w:val="Heading2"/>
      </w:pPr>
      <w:r>
        <w:t xml:space="preserve">Percepción de los residentes frente al turismo</w:t>
      </w:r>
    </w:p>
    <w:p>
      <w:pPr>
        <w:spacing w:after="120" w:line="360"/>
        <w:ind w:firstLine="709"/>
        <w:jc w:val="both"/>
      </w:pPr>
      <w:r>
        <w:t xml:space="preserve">La teoría del intercambio social, aplicada al turismo por Ap (1992), sostiene que los residentes apoyan un proyecto cuando perciben que los beneficios superan los costos. Gursoy et al. (2002) comprobaron con modelos estructurales que esa percepción depende del apego al lugar, del uso que la gente hace de los recursos y del estado de la economía local. Nunkoo y Ramkissoon (2011) añadieron la confianza en las instituciones como un factor decisivo, y Sharpley (2014) señaló que muchos estudios miden actitudes en un solo momento, sin considerar que cambian a medida que el turismo crece. Butler (1980) ya había propuesto que los destinos pasan por fases de exploración, desarrollo, consolidación y estancamiento; Cácota estaría en la fase inicial, cuando todavía es posible planificar.</w:t>
      </w:r>
    </w:p>
    <w:p>
      <w:pPr>
        <w:pStyle w:val="Heading2"/>
      </w:pPr>
      <w:r>
        <w:t xml:space="preserve">Estabilidad de laderas y drenaje sostenible</w:t>
      </w:r>
    </w:p>
    <w:p>
      <w:pPr>
        <w:spacing w:after="120" w:line="360"/>
        <w:ind w:firstLine="709"/>
        <w:jc w:val="both"/>
      </w:pPr>
      <w:r>
        <w:t xml:space="preserve">En terrenos de ladera, la pérdida de cobertura vegetal y los cortes aumentan la escorrentía y la erosión. Borrelli et al. (2017) estimaron que el cambio de uso del suelo es uno de los principales factores de erosión a escala mundial. La bioingeniería de suelos combina estructuras livianas con vegetación viva para estabilizar taludes y reducir el arrastre de sedimentos (Gray &amp; Sotir, 1996). A esto se suman los sistemas urbanos de drenaje sostenible, que buscan manejar el agua lluvia cerca de donde cae mediante zanjas de infiltración, cunetas verdes y superficies permeables (Fletcher et al., 2015).</w:t>
      </w:r>
    </w:p>
    <w:p>
      <w:pPr>
        <w:pStyle w:val="Heading1"/>
      </w:pPr>
      <w:r>
        <w:t xml:space="preserve">Marco legal</w:t>
      </w:r>
    </w:p>
    <w:p>
      <w:pPr>
        <w:spacing w:after="120" w:line="360"/>
        <w:ind w:firstLine="709"/>
        <w:jc w:val="both"/>
      </w:pPr>
      <w:r>
        <w:t xml:space="preserve">El proyecto se enmarca en la normativa colombiana sobre ambiente, ordenamiento territorial, turismo, patrimonio cultural y construcción. La Tabla 1 resume las disposiciones principales y su relación con el parque.</w:t>
      </w:r>
    </w:p>
    <w:p>
      <w:pPr>
        <w:keepNext/>
        <w:spacing w:after="80" w:before="200"/>
      </w:pPr>
      <w:r>
        <w:rPr>
          <w:b/>
          <w:bCs/>
          <w:sz w:val="22"/>
          <w:szCs w:val="22"/>
        </w:rPr>
        <w:t xml:space="preserve">Tabla 1. Normativa aplicable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Norma</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Contenido</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Relación con el proyecto</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Constitución Política de 1991 (arts. 8, 63, 70, 72, 79 y 80)</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Protección de las riquezas culturales y naturales, derecho a un ambiente sano, patrimonio cultural de la Nación.</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Fundamento del deber del municipio de conservar el entorno y la memoria indígena.</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99 de 1993</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Crea el Sistema Nacional Ambiental y define las funciones de las corporaciones autónomas regionales.</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CORPONOR es la autoridad ambiental competente para permisos y seguimiento.</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Decreto 1076 de 2015</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Decreto Único Reglamentario del sector ambiente: licencias, permisos de aprovechamiento forestal, vertimientos y ocupación de cauces.</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Define si la obra requiere permisos por intervención de vegetación o cercanía al canal.</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1930 de 2018 y Resolución 2090 de 2014</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Gestión integral de los páramos y delimitación del complejo Jurisdicciones–Santurbán–Berlín.</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Cácota integra el complejo; el parque debe incluir educación sobre su protección.</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388 de 1997 y Esquema de Ordenamiento Territorial de Cácota</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Ordenamiento del territorio, usos del suelo y zonas de amenaza.</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Verificación de la compatibilidad del uso recreativo y de las restricciones por pendiente.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397 de 1997, modificada por la Ley 1185 de 2008</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General de Cultura y régimen del patrimonio cultural material e inmaterial.</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Soporte para la salvaguarda y divulgación de la herencia chitarera.</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21 de 1991 (Convenio 169 de la OIT)</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Derechos de los pueblos indígenas y consulta previa.</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Se solicitará a la Dirección de la Autoridad Nacional de Consulta Previa la certificación sobre presencia de comunidades étnicas en el área.</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300 de 1996 y Ley 2068 de 2020</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General de Turismo y su actualización con enfoque de sostenibilidad.</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Marco para el registro, la promoción y la financiación del parque como atractivo turístico.</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1523 de 2012</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Política nacional de gestión del riesgo de desastres.</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Obliga a considerar la amenaza sísmica y por remoción en masa del predio.</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Reglamento NSR-10 (Decreto 926 de 2010)</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Requisitos de diseño sismorresistente.</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El estudio de suelos ubica el predio en zona de amenaza sísmica alta (Aa = 0,30; perfil D).</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Resolución 0330 de 2017 y NTC 1500</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Reglamento técnico del sector de agua potable y saneamiento (RAS) y código colombiano de fontanería.</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Base para revisar la memoria hidrosanitaria.</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Resolución 2115 de 2007</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Características y frecuencias de control de la calidad del agua para consumo humano.</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Parámetros para el monitoreo del canal adyacente.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Resolución 0472 de 2017</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Gestión integral de residuos de construcción y demolición.</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Manejo de escombros y material de corte durante la obra.</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Resolución 0627 de 2006</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Norma nacional de emisión de ruido y ruido ambiental.</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Control de ruido en construcción y en eventos del parque.</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1618 de 2013</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Derechos de las personas con discapacidad, incluida la accesibilidad física.</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Diseño de senderos, rampas y baterías sanitarias accesibles.</w:t>
            </w:r>
          </w:p>
        </w:tc>
      </w:tr>
      <w:t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Ley 1581 de 2012</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Protección de datos personales.</w:t>
            </w:r>
          </w:p>
        </w:tc>
        <w:tc>
          <w:tcPr>
            <w:tcW w:type="dxa" w:w="3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Tratamiento de la información recogida en encuestas y entrevistas.</w:t>
            </w:r>
          </w:p>
        </w:tc>
      </w:tr>
    </w:tbl>
    <w:p>
      <w:pPr>
        <w:spacing w:after="200" w:before="60"/>
      </w:pPr>
      <w:r>
        <w:rPr>
          <w:i/>
          <w:iCs/>
          <w:sz w:val="18"/>
          <w:szCs w:val="18"/>
        </w:rPr>
        <w:t xml:space="preserve">Fuente: elaboración propia.</w:t>
      </w:r>
    </w:p>
    <w:p>
      <w:pPr>
        <w:spacing w:after="120" w:line="360"/>
        <w:ind w:firstLine="709"/>
        <w:jc w:val="both"/>
      </w:pPr>
      <w:r>
        <w:t xml:space="preserve">Conviene precisar un punto. La consulta previa procede cuando existe una comunidad étnica reconocida con presencia en el área de influencia. Los chitareros no cuentan hoy con un resguardo ni con una parcialidad registrada en Cácota, por lo que el parque trabaja con su memoria histórica y no con una comunidad étnica organizada. Aun así, la certificación oficial es el paso que da seguridad jurídica al proyecto.</w:t>
      </w:r>
    </w:p>
    <w:p>
      <w:pPr>
        <w:pStyle w:val="Heading1"/>
      </w:pPr>
      <w:r>
        <w:t xml:space="preserve">Marco contextual</w:t>
      </w:r>
    </w:p>
    <w:p>
      <w:pPr>
        <w:pStyle w:val="Heading2"/>
      </w:pPr>
      <w:r>
        <w:t xml:space="preserve">Localización</w:t>
      </w:r>
    </w:p>
    <w:p>
      <w:pPr>
        <w:spacing w:after="120" w:line="360"/>
        <w:ind w:firstLine="709"/>
        <w:jc w:val="both"/>
      </w:pPr>
      <w:r>
        <w:t xml:space="preserve">Cácota se encuentra en la región suroccidental de Norte de Santander, en la provincia de Pamplona, sobre la cordillera Oriental. El municipio tiene una extensión cercana a 139,8 km² y una altitud media de 2.465 m s. n. m.; su territorio va de los 1.700 a los 3.300 m, lo que explica temperaturas entre 5 °C y 20 °C. Limita con municipios que comparten el sistema de páramos de Santurbán, entre ellos Pamplona, Chitagá, Silos y Mutiscua.</w:t>
      </w:r>
    </w:p>
    <w:p>
      <w:pPr>
        <w:spacing w:after="120" w:line="360"/>
        <w:ind w:firstLine="709"/>
        <w:jc w:val="both"/>
      </w:pPr>
      <w:r>
        <w:t xml:space="preserve">El predio se ubica en la Calle 5 n.º 1-64, barrio La Esperanza, sector La Chorrera, hacia el costado norte del casco urbano. Sus coordenadas aproximadas son 7° 16′ 17″ N y 72° 38′ 33″ O, a una altitud de 2.437,6 m. Corresponde a los lotes Casa Blanca y Zapatero, cedidos por la Administración Municipal.</w:t>
      </w:r>
    </w:p>
    <w:p>
      <w:pPr>
        <w:pStyle w:val="Heading2"/>
      </w:pPr>
      <w:r>
        <w:t xml:space="preserve">Por qué en ese lugar</w:t>
      </w:r>
    </w:p>
    <w:p>
      <w:pPr>
        <w:spacing w:after="120" w:line="360"/>
        <w:ind w:firstLine="709"/>
        <w:jc w:val="both"/>
      </w:pPr>
      <w:r>
        <w:t xml:space="preserve">La elección del predio responde a varias razones. Está dentro del perímetro urbano, a pocos minutos de la plaza principal, lo que facilita el acceso a pie y la conexión a las redes de acueducto, alcantarillado y energía ya existentes. Su posición en media ladera ofrece vistas sobre el valle del río Cácota, un recurso paisajístico que justifica los miradores. Además, el terreno es de propiedad municipal, lo que evita costos de compra y trámites de expropiación. La presencia del canal de agua, que podría verse como una desventaja, se convierte en una oportunidad educativa si se protege y se integra al recorrido como ejemplo del valor del agua de páramo.</w:t>
      </w:r>
    </w:p>
    <w:p>
      <w:pPr>
        <w:pStyle w:val="Heading2"/>
      </w:pPr>
      <w:r>
        <w:t xml:space="preserve">Dimensión del proyecto</w:t>
      </w:r>
    </w:p>
    <w:p>
      <w:pPr>
        <w:spacing w:after="120" w:line="360"/>
        <w:ind w:firstLine="709"/>
        <w:jc w:val="both"/>
      </w:pPr>
      <w:r>
        <w:t xml:space="preserve">El área aproximada de intervención es de 6.800 m². Según los planos arquitectónicos, el parque incluye tres locales comerciales, un punto de atención al usuario, un área de servicios con baterías sanitarias, carpas para muestras artesanales y culturales, tótems temáticos, miradores y senderos ecoturísticos que conectan las distintas zonas. Todas las edificaciones son de un solo nivel. La memoria hidrosanitaria calculó una población de diseño de 100 usuarios simultáneos.</w:t>
      </w:r>
    </w:p>
    <w:p>
      <w:pPr>
        <w:pStyle w:val="Heading2"/>
      </w:pPr>
      <w:r>
        <w:t xml:space="preserve">Condiciones del predio</w:t>
      </w:r>
    </w:p>
    <w:p>
      <w:pPr>
        <w:spacing w:after="120" w:line="360"/>
        <w:ind w:firstLine="709"/>
        <w:jc w:val="both"/>
      </w:pPr>
      <w:r>
        <w:t xml:space="preserve">El lote tiene forma irregular, pendientes entre 15 % y 20 % y está cubierto por gramíneas, arbustos pequeños y algunas rocas aisladas de 30 a 80 cm, con bloques ocasionales mayores de un metro. Geológicamente se asienta sobre un coluvión cuaternario compuesto por fragmentos de neis y arenisca en matriz arcillo-arenosa. Los apiques no encontraron nivel freático, aunque sí mayor humedad hacia los cinco metros, probablemente por infiltración de la escorrentía que baja de la ladera.</w:t>
      </w:r>
    </w:p>
    <w:p>
      <w:pPr>
        <w:keepNext/>
        <w:spacing w:after="80" w:before="200"/>
      </w:pPr>
      <w:r>
        <w:rPr>
          <w:b/>
          <w:bCs/>
          <w:sz w:val="22"/>
          <w:szCs w:val="22"/>
        </w:rPr>
        <w:t xml:space="preserve">Tabla 2. Síntesis de las condiciones técnicas del predio según los estudios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Aspecto</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Dato reportado</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Fuente</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Área de intervención</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 6.800 m²</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Memoria hidrosanitaria</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Pendiente del lote</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15 % a 20 %</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Estudio de suelos</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Perfil de suelo</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Capa vegetal de 0,30 a 0,50 m sobre conglomerado denso (CL y GC-GM)</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Estudio de suelos</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Resistencia (qu)</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1,75 a 2,50 kg/cm²</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Estudio de suelos</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Capacidad portante admisible</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2,0 kg/cm²</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Estudio de suelos</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Asentamiento estimado</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2,0 cm</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Estudio de suelos</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Amenaza sísmica</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Alta; Aa = 0,30; Av = 0,25; perfil D</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Estudio de suelos (NSR-10)</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Presión de la red de acueducto</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20 psi</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Memoria hidrosanitaria</w:t>
            </w:r>
          </w:p>
        </w:tc>
      </w:tr>
      <w:t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Intensidad de lluvia de diseño</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100 mm/h</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Memoria hidrosanitaria</w:t>
            </w:r>
          </w:p>
        </w:tc>
      </w:tr>
    </w:tbl>
    <w:p>
      <w:pPr>
        <w:spacing w:after="200" w:before="60"/>
      </w:pPr>
      <w:r>
        <w:rPr>
          <w:i/>
          <w:iCs/>
          <w:sz w:val="18"/>
          <w:szCs w:val="18"/>
        </w:rPr>
        <w:t xml:space="preserve">Fuente: elaboración propia.</w:t>
      </w:r>
    </w:p>
    <w:p>
      <w:pPr>
        <w:pStyle w:val="Heading2"/>
      </w:pPr>
      <w:r>
        <w:t xml:space="preserve">Contexto social</w:t>
      </w:r>
    </w:p>
    <w:p>
      <w:pPr>
        <w:spacing w:after="120" w:line="360"/>
        <w:ind w:firstLine="709"/>
        <w:jc w:val="both"/>
      </w:pPr>
      <w:r>
        <w:t xml:space="preserve">La población de Cácota es mayoritariamente rural. La economía gira alrededor de la agricultura de clima frío, la ganadería de pequeña escala y, en menor medida, la artesanía en lana. El municipio cuenta con juntas de acción comunal y asociaciones de productores que participan en la gestión local. La herencia de los Cácotas, grupo chitarero que dio nombre al municipio, se mantiene en la memoria colectiva, aunque no hay espacios que la recojan de forma sistemática.</w:t>
      </w:r>
    </w:p>
    <w:p>
      <w:pPr>
        <w:pStyle w:val="Heading1"/>
      </w:pPr>
      <w:r>
        <w:t xml:space="preserve">Marco ambiental</w:t>
      </w:r>
    </w:p>
    <w:p>
      <w:pPr>
        <w:spacing w:after="120" w:line="360"/>
        <w:ind w:firstLine="709"/>
        <w:jc w:val="both"/>
      </w:pPr>
      <w:r>
        <w:t xml:space="preserve">Este apartado es necesario por tres condiciones del predio: su ubicación en ladera, la cercanía a un canal de agua para consumo humano y la pertenencia del municipio a un complejo de páramos protegido por la ley.</w:t>
      </w:r>
    </w:p>
    <w:p>
      <w:pPr>
        <w:pStyle w:val="Heading2"/>
      </w:pPr>
      <w:r>
        <w:t xml:space="preserve">Ecosistema de referencia</w:t>
      </w:r>
    </w:p>
    <w:p>
      <w:pPr>
        <w:spacing w:after="120" w:line="360"/>
        <w:ind w:firstLine="709"/>
        <w:jc w:val="both"/>
      </w:pPr>
      <w:r>
        <w:t xml:space="preserve">El área corresponde al bosque andino alto en transición hacia el subpáramo, hoy muy transformado por la agricultura y la ganadería. Los Andes tropicales son uno de los puntos de mayor diversidad biológica del planeta y, a la vez, uno de los más amenazados (Myers et al., 2000). En el lote dominan los pastos y los arbustos dispersos, de modo que el valor ecológico actual es bajo, pero el potencial de restauración es alto.</w:t>
      </w:r>
    </w:p>
    <w:p>
      <w:pPr>
        <w:pStyle w:val="Heading2"/>
      </w:pPr>
      <w:r>
        <w:t xml:space="preserve">Recurso hídrico</w:t>
      </w:r>
    </w:p>
    <w:p>
      <w:pPr>
        <w:spacing w:after="120" w:line="360"/>
        <w:ind w:firstLine="709"/>
        <w:jc w:val="both"/>
      </w:pPr>
      <w:r>
        <w:t xml:space="preserve">El canal que pasa junto al predio conduce agua destinada al consumo humano. Durante la construcción puede recibir sedimentos por el movimiento de tierras, y durante la operación, residuos sólidos y escorrentía de las zonas duras. Por eso se propone medir, antes de la obra, turbidez, pH, conductividad, coliformes totales y </w:t>
      </w:r>
      <w:r>
        <w:rPr>
          <w:i/>
          <w:iCs/>
        </w:rPr>
        <w:t xml:space="preserve">Escherichia coli</w:t>
      </w:r>
      <w:r>
        <w:t xml:space="preserve"> según la Resolución 2115 de 2007, y repetir las mediciones durante la construcción para detectar cambios.</w:t>
      </w:r>
    </w:p>
    <w:p>
      <w:pPr>
        <w:pStyle w:val="Heading2"/>
      </w:pPr>
      <w:r>
        <w:t xml:space="preserve">Suelo y riesgo de erosión</w:t>
      </w:r>
    </w:p>
    <w:p>
      <w:pPr>
        <w:spacing w:after="120" w:line="360"/>
        <w:ind w:firstLine="709"/>
        <w:jc w:val="both"/>
      </w:pPr>
      <w:r>
        <w:t xml:space="preserve">El suelo superficial retiene poca humedad y es susceptible a la erosión si se retira la cobertura vegetal. El estudio geotécnico recomienda retirar los 0,50 m de capa vegetal en las zonas de construcción, conformar taludes con inclinación máxima de 1V:1H en al menos dos terrazas y construir un muro de contención en el extremo bajo del relleno, que podría alcanzar cuatro metros de altura. Estas recomendaciones se complementan con obras de bioingeniería: trinchos vivos, barreras de vegetación en curvas de nivel y cunetas empradizadas.</w:t>
      </w:r>
    </w:p>
    <w:p>
      <w:pPr>
        <w:pStyle w:val="Heading2"/>
      </w:pPr>
      <w:r>
        <w:t xml:space="preserve">Restauración con especies nativas</w:t>
      </w:r>
    </w:p>
    <w:p>
      <w:pPr>
        <w:spacing w:after="120" w:line="360"/>
        <w:ind w:firstLine="709"/>
        <w:jc w:val="both"/>
      </w:pPr>
      <w:r>
        <w:t xml:space="preserve">Se proponen especies adaptadas a la franja altitudinal del predio. El aliso (</w:t>
      </w:r>
      <w:r>
        <w:rPr>
          <w:i/>
          <w:iCs/>
        </w:rPr>
        <w:t xml:space="preserve">Alnus acuminata</w:t>
      </w:r>
      <w:r>
        <w:t xml:space="preserve">) fija nitrógeno y crece rápido en suelos degradados; el roble (</w:t>
      </w:r>
      <w:r>
        <w:rPr>
          <w:i/>
          <w:iCs/>
        </w:rPr>
        <w:t xml:space="preserve">Quercus humboldtii</w:t>
      </w:r>
      <w:r>
        <w:t xml:space="preserve">) es una especie de alto valor ecológico, aunque de crecimiento lento; y el encenillo (</w:t>
      </w:r>
      <w:r>
        <w:rPr>
          <w:i/>
          <w:iCs/>
        </w:rPr>
        <w:t xml:space="preserve">Weinmannia</w:t>
      </w:r>
      <w:r>
        <w:t xml:space="preserve"> spp.) es común en los bosques altoandinos de la región y ayuda a proteger las fuentes de agua. La selección definitiva se hará con el inventario de campo y con la disponibilidad de material vegetal en viveros de CORPONOR o de la región.</w:t>
      </w:r>
    </w:p>
    <w:p>
      <w:pPr>
        <w:pStyle w:val="Heading2"/>
      </w:pPr>
      <w:r>
        <w:t xml:space="preserve">Impactos previsibles</w:t>
      </w:r>
    </w:p>
    <w:p>
      <w:pPr>
        <w:spacing w:after="120" w:line="360"/>
        <w:ind w:firstLine="709"/>
        <w:jc w:val="both"/>
      </w:pPr>
      <w:r>
        <w:t xml:space="preserve">En la fase de construcción se esperan impactos por remoción de cobertura, compactación del suelo, generación de residuos de construcción, ruido y posible aporte de sedimentos al canal. En la fase de operación, los principales impactos serán el aumento de residuos sólidos, la demanda de agua en temporadas de alta afluencia y la presión sobre la vegetación de los senderos. Estos impactos se valorarán con la metodología descrita en el siguiente capítulo.</w:t>
      </w:r>
    </w:p>
    <w:p>
      <w:pPr>
        <w:pStyle w:val="Heading1"/>
      </w:pPr>
      <w:r>
        <w:t xml:space="preserve">Metodología</w:t>
      </w:r>
    </w:p>
    <w:p>
      <w:pPr>
        <w:pStyle w:val="Heading2"/>
      </w:pPr>
      <w:r>
        <w:t xml:space="preserve">Enfoque, alcance y diseño</w:t>
      </w:r>
    </w:p>
    <w:p>
      <w:pPr>
        <w:spacing w:after="120" w:line="360"/>
        <w:ind w:firstLine="709"/>
        <w:jc w:val="both"/>
      </w:pPr>
      <w:r>
        <w:t xml:space="preserve">La investigación tiene un enfoque mixto, pues combina datos cuantitativos (encuestas, ensayos, mediciones de calidad del agua) con información cualitativa (entrevistas, talleres y revisión documental), siguiendo la lógica de integración descrita por Creswell y Creswell (2018). El alcance es descriptivo y propositivo: se describen las condiciones del predio y la percepción de la comunidad para luego proponer ajustes al diseño. El diseño es no experimental y transversal, ya que las variables se observan en un solo periodo sin manipulación (Hernández-Sampieri &amp; Mendoza, 2018).</w:t>
      </w:r>
    </w:p>
    <w:p>
      <w:pPr>
        <w:pStyle w:val="Heading2"/>
      </w:pPr>
      <w:r>
        <w:t xml:space="preserve">Población y muestra</w:t>
      </w:r>
    </w:p>
    <w:p>
      <w:pPr>
        <w:spacing w:after="120" w:line="360"/>
        <w:ind w:firstLine="709"/>
        <w:jc w:val="both"/>
      </w:pPr>
      <w:r>
        <w:t xml:space="preserve">Para el componente social, la población corresponde a los habitantes mayores de edad de Cácota. Con base en la proyección del DANE para 2026 (N = 3.168), un nivel de confianza del 95 %, un margen de error del 5 % y una proporción esperada de 0,5, el tamaño de muestra calculado con la fórmula para poblaciones finitas es de 343 personas. El muestreo será probabilístico estratificado por zona (urbana y rural) en proporción a su peso poblacional. Si las condiciones de campo lo exigen, el margen de error podrá ampliarse al 7 %, con lo que la muestra baja a 185 encuestas; este ajuste se informará en los resultados.</w:t>
      </w:r>
    </w:p>
    <w:p>
      <w:pPr>
        <w:spacing w:after="120" w:line="360"/>
        <w:ind w:firstLine="709"/>
        <w:jc w:val="both"/>
      </w:pPr>
      <w:r>
        <w:t xml:space="preserve">Para las entrevistas semiestructuradas se usará un muestreo intencional de actores clave: funcionarios de la Alcaldía, presidentes de juntas de acción comunal, artesanos, docentes, prestadores de servicios turísticos y adultos mayores que conserven relatos sobre la historia local. Se prevén entre 12 y 15 entrevistas, hasta alcanzar la saturación de la información.</w:t>
      </w:r>
    </w:p>
    <w:p>
      <w:pPr>
        <w:pStyle w:val="Heading2"/>
      </w:pPr>
      <w:r>
        <w:t xml:space="preserve">Fases de la investigación</w:t>
      </w:r>
    </w:p>
    <w:p>
      <w:pPr>
        <w:keepNext/>
        <w:spacing w:after="80" w:before="200"/>
      </w:pPr>
      <w:r>
        <w:rPr>
          <w:b/>
          <w:bCs/>
          <w:sz w:val="22"/>
          <w:szCs w:val="22"/>
        </w:rPr>
        <w:t xml:space="preserve">Tabla 3. Fases, actividades y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560"/>
        <w:gridCol w:w="200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Fase</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Actividades</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Técnicas e instrumentos</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Producto</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1. Diagnóstico técnico</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Revisión de planos (localización, topografía, arquitectónico, hidrosanitario y eléctrico), estudio de suelos, memoria hidrosanitaria y EOT. Visita de verificación al predio.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Matriz de revisión documental; lista de chequeo con base en NSR-10, RAS y NTC 1500.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Informe de vacíos e inconsistencias técnicas.</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2. Línea base ambiental</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Inventario de flora por parcelas y transectos; registro de aves por puntos de conteo; muestreo de agua del canal aguas arriba y aguas abajo del predio.</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Formatos de campo; análisis de laboratorio acreditado; registro fotográfico georreferenciado.</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Caracterización ambiental del área de influencia.</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3. Componente social y cultural</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Ajuste y validación de la encuesta de percepción; aplicación de la encuesta; entrevistas a actores clave; taller de cartografía social sobre la memoria chitarera.</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Cuestionario tipo Likert validado por juicio de expertos; guía de entrevista; protocolo de taller.</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Perfil de percepción y expectativas; inventario de relatos y saberes locales.</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4. Evaluación de impactos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Identificación de acciones del proyecto y factores ambientales; calificación de importancia de impactos.</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Matriz de importancia de Conesa Fernández-Vítora (2010).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Matriz de impactos y medidas de manejo.</w:t>
            </w:r>
          </w:p>
        </w:tc>
      </w:tr>
      <w:t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5. Propuesta integral</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Cruce de resultados de las fases anteriores; ajuste del programa arquitectónico, del recorrido temático y del drenaje; lineamientos de gestión comunitaria.</w:t>
            </w:r>
          </w:p>
        </w:tc>
        <w:tc>
          <w:tcPr>
            <w:tcW w:type="dxa" w:w="25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Talleres de socialización con la comunidad y la Alcaldía.</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Documento final de propuesta y plan de seguimiento.</w:t>
            </w:r>
          </w:p>
        </w:tc>
      </w:tr>
    </w:tbl>
    <w:p>
      <w:pPr>
        <w:spacing w:after="200" w:before="60"/>
      </w:pPr>
      <w:r>
        <w:rPr>
          <w:i/>
          <w:iCs/>
          <w:sz w:val="18"/>
          <w:szCs w:val="18"/>
        </w:rPr>
        <w:t xml:space="preserve">Fuente: elaboración propia.</w:t>
      </w:r>
    </w:p>
    <w:p>
      <w:pPr>
        <w:pStyle w:val="Heading2"/>
      </w:pPr>
      <w:r>
        <w:t xml:space="preserve">Instrumentos y validación</w:t>
      </w:r>
    </w:p>
    <w:p>
      <w:pPr>
        <w:spacing w:after="120" w:line="360"/>
        <w:ind w:firstLine="709"/>
        <w:jc w:val="both"/>
      </w:pPr>
      <w:r>
        <w:t xml:space="preserve">La encuesta partirá del formato elaborado en el informe de gestión ambiental y social, al que se agregarán preguntas con escala Likert de cinco puntos sobre beneficios percibidos, costos percibidos, apego al lugar y confianza en la Administración, variables sugeridas por Gursoy et al. (2002) y Nunkoo y Ramkissoon (2011). Tres expertos (turismo, gestión ambiental y ciencias sociales) revisarán la pertinencia y claridad de cada ítem. Se hará una prueba piloto con 20 personas y se calculará el coeficiente alfa de Cronbach (Cronbach, 1951); se aceptarán valores iguales o superiores a 0,70.</w:t>
      </w:r>
    </w:p>
    <w:p>
      <w:pPr>
        <w:pStyle w:val="Heading2"/>
      </w:pPr>
      <w:r>
        <w:t xml:space="preserve">Análisis de la información</w:t>
      </w:r>
    </w:p>
    <w:p>
      <w:pPr>
        <w:spacing w:after="120" w:line="360"/>
        <w:ind w:firstLine="709"/>
        <w:jc w:val="both"/>
      </w:pPr>
      <w:r>
        <w:t xml:space="preserve">Los datos cuantitativos se procesarán en R o SPSS con estadística descriptiva (frecuencias, medias y desviaciones) y pruebas de asociación como chi cuadrado entre variables sociodemográficas y nivel de apoyo al proyecto. Las entrevistas se transcribirán y codificarán por categorías (expectativas, temores, memoria cultural y disposición a participar) con apoyo de ATLAS.ti. Los resultados de calidad del agua se compararán con los valores máximos de la Resolución 2115 de 2007. La integración final se hará mediante una matriz que relacione cada hallazgo con un ajuste concreto del diseño o de la gestión del parque.</w:t>
      </w:r>
    </w:p>
    <w:p>
      <w:pPr>
        <w:pStyle w:val="Heading2"/>
      </w:pPr>
      <w:r>
        <w:t xml:space="preserve">Consideraciones éticas</w:t>
      </w:r>
    </w:p>
    <w:p>
      <w:pPr>
        <w:spacing w:after="120" w:line="360"/>
        <w:ind w:firstLine="709"/>
        <w:jc w:val="both"/>
      </w:pPr>
      <w:r>
        <w:t xml:space="preserve">Todos los participantes firmarán un consentimiento informado que explique el objetivo del estudio, el carácter voluntario de su participación y el uso de sus datos conforme a la Ley 1581 de 2012. Los relatos de memoria cultural se citarán con autorización expresa de quienes los compartan y se devolverán a la comunidad en un documento de acceso público.</w:t>
      </w:r>
    </w:p>
    <w:p>
      <w:pPr>
        <w:pStyle w:val="Heading2"/>
      </w:pPr>
      <w:r>
        <w:t xml:space="preserve">Cronograma</w:t>
      </w:r>
    </w:p>
    <w:p>
      <w:pPr>
        <w:keepNext/>
        <w:spacing w:after="80" w:before="200"/>
      </w:pPr>
      <w:r>
        <w:rPr>
          <w:b/>
          <w:bCs/>
          <w:sz w:val="22"/>
          <w:szCs w:val="22"/>
        </w:rPr>
        <w:t xml:space="preserve">Tabla 4. Cronograma tentativo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950"/>
        <w:gridCol w:w="950"/>
        <w:gridCol w:w="950"/>
        <w:gridCol w:w="950"/>
        <w:gridCol w:w="950"/>
        <w:gridCol w:w="950"/>
      </w:tblGrid>
      <w:tr>
        <w:trPr>
          <w:tblHeader/>
        </w:trPr>
        <w:tc>
          <w:tcPr>
            <w:tcW w:type="dxa" w:w="36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left"/>
            </w:pPr>
            <w:r>
              <w:rPr>
                <w:b/>
                <w:bCs/>
                <w:sz w:val="20"/>
                <w:szCs w:val="20"/>
              </w:rPr>
              <w:t xml:space="preserve">Fase</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20"/>
                <w:szCs w:val="20"/>
              </w:rPr>
              <w:t xml:space="preserve">M1</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20"/>
                <w:szCs w:val="20"/>
              </w:rPr>
              <w:t xml:space="preserve">M2</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20"/>
                <w:szCs w:val="20"/>
              </w:rPr>
              <w:t xml:space="preserve">M3</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20"/>
                <w:szCs w:val="20"/>
              </w:rPr>
              <w:t xml:space="preserve">M4</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20"/>
                <w:szCs w:val="20"/>
              </w:rPr>
              <w:t xml:space="preserve">M5</w:t>
            </w:r>
          </w:p>
        </w:tc>
        <w:tc>
          <w:tcPr>
            <w:tcW w:type="dxa" w:w="95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b/>
                <w:bCs/>
                <w:sz w:val="20"/>
                <w:szCs w:val="20"/>
              </w:rPr>
              <w:t xml:space="preserve">M6</w:t>
            </w:r>
          </w:p>
        </w:tc>
      </w:tr>
      <w:tr>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1. Diagnóstico técnico</w:t>
            </w: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r>
      <w:tr>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2. Línea base ambiental</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r>
      <w:tr>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3. Componente social y cultural</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r>
      <w:tr>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4. Evaluación de impactos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r>
      <w:tr>
        <w:tc>
          <w:tcPr>
            <w:tcW w:type="dxa" w:w="36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b w:val="false"/>
                <w:bCs w:val="false"/>
                <w:sz w:val="20"/>
                <w:szCs w:val="20"/>
              </w:rPr>
              <w:t xml:space="preserve">5. Propuesta integral y socialización</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c>
          <w:tcPr>
            <w:tcW w:type="dxa" w:w="950"/>
            <w:tcBorders>
              <w:top w:val="single" w:color="808080" w:sz="4"/>
              <w:left w:val="single" w:color="808080" w:sz="4"/>
              <w:bottom w:val="single" w:color="808080" w:sz="4"/>
              <w:right w:val="single" w:color="808080" w:sz="4"/>
            </w:tcBorders>
            <w:shd w:fill="8EAADB" w:color="auto" w:val="clear"/>
            <w:tcMar>
              <w:top w:type="dxa" w:w="60"/>
              <w:left w:type="dxa" w:w="90"/>
              <w:bottom w:type="dxa" w:w="60"/>
              <w:right w:type="dxa" w:w="90"/>
            </w:tcMar>
          </w:tcPr>
          <w:p>
            <w:pPr>
              <w:jc w:val="center"/>
            </w:pPr>
          </w:p>
        </w:tc>
      </w:tr>
    </w:tbl>
    <w:p>
      <w:pPr>
        <w:spacing w:after="200" w:before="60"/>
      </w:pPr>
      <w:r>
        <w:rPr>
          <w:i/>
          <w:iCs/>
          <w:sz w:val="18"/>
          <w:szCs w:val="18"/>
        </w:rPr>
        <w:t xml:space="preserve">Fuente: elaboración propia.</w:t>
      </w:r>
    </w:p>
    <w:p>
      <w:pPr>
        <w:pStyle w:val="Heading1"/>
        <w:pageBreakBefore/>
      </w:pPr>
      <w:r>
        <w:t xml:space="preserve">Referencias</w:t>
      </w:r>
    </w:p>
    <w:p>
      <w:pPr>
        <w:spacing w:after="120" w:line="360"/>
        <w:ind w:left="709" w:hanging="709"/>
      </w:pPr>
      <w:r>
        <w:t xml:space="preserve">Ap, J. (1992). Residents' perceptions on tourism impacts. </w:t>
      </w:r>
      <w:r>
        <w:rPr>
          <w:i/>
          <w:iCs/>
        </w:rPr>
        <w:t xml:space="preserve">Annals of Tourism Research, 19</w:t>
      </w:r>
      <w:r>
        <w:t xml:space="preserve">(4), 665–690. https://doi.org/10.1016/0160-7383(92)90060-3</w:t>
      </w:r>
    </w:p>
    <w:p>
      <w:pPr>
        <w:spacing w:after="120" w:line="360"/>
        <w:ind w:left="709" w:hanging="709"/>
      </w:pPr>
      <w:r>
        <w:t xml:space="preserve">Borrelli, P., Robinson, D. A., Fleischer, L. R., Lugato, E., Ballabio, C., Alewell, C., Meusburger, K., Modugno, S., Schütt, B., Ferro, V., Bagarello, V., Van Oost, K., Montanarella, L., &amp; Panagos, P. (2017). An assessment of the global impact of 21st century land use change on soil erosion. </w:t>
      </w:r>
      <w:r>
        <w:rPr>
          <w:i/>
          <w:iCs/>
        </w:rPr>
        <w:t xml:space="preserve">Nature Communications, 8</w:t>
      </w:r>
      <w:r>
        <w:t xml:space="preserve">, Article 2013. https://doi.org/10.1038/s41467-017-02142-7</w:t>
      </w:r>
    </w:p>
    <w:p>
      <w:pPr>
        <w:spacing w:after="120" w:line="360"/>
        <w:ind w:left="709" w:hanging="709"/>
      </w:pPr>
      <w:r>
        <w:t xml:space="preserve">Butler, R. W. (1980). The concept of a tourist area cycle of evolution: Implications for management of resources. </w:t>
      </w:r>
      <w:r>
        <w:rPr>
          <w:i/>
          <w:iCs/>
        </w:rPr>
        <w:t xml:space="preserve">The Canadian Geographer, 24</w:t>
      </w:r>
      <w:r>
        <w:t xml:space="preserve">(1), 5–12. https://doi.org/10.1111/j.1541-0064.1980.tb00970.x</w:t>
      </w:r>
    </w:p>
    <w:p>
      <w:pPr>
        <w:spacing w:after="120" w:line="360"/>
        <w:ind w:left="709" w:hanging="709"/>
      </w:pPr>
      <w:r>
        <w:t xml:space="preserve">Buytaert, W., Célleri, R., De Bièvre, B., Cisneros, F., Wyseure, G., Deckers, J., &amp; Hofstede, R. (2006). Human impact on the hydrology of the Andean páramos. </w:t>
      </w:r>
      <w:r>
        <w:rPr>
          <w:i/>
          <w:iCs/>
        </w:rPr>
        <w:t xml:space="preserve">Earth-Science Reviews, 79</w:t>
      </w:r>
      <w:r>
        <w:t xml:space="preserve">(1–2), 53–72. https://doi.org/10.1016/j.earscirev.2006.06.002</w:t>
      </w:r>
    </w:p>
    <w:p>
      <w:pPr>
        <w:spacing w:after="120" w:line="360"/>
        <w:ind w:left="709" w:hanging="709"/>
      </w:pPr>
      <w:r>
        <w:t xml:space="preserve">Clavé, S. A. (2007). </w:t>
      </w:r>
      <w:r>
        <w:rPr>
          <w:i/>
          <w:iCs/>
        </w:rPr>
        <w:t xml:space="preserve">The global theme park industry</w:t>
      </w:r>
      <w:r>
        <w:t xml:space="preserve">. CABI.</w:t>
      </w:r>
    </w:p>
    <w:p>
      <w:pPr>
        <w:spacing w:after="120" w:line="360"/>
        <w:ind w:left="709" w:hanging="709"/>
      </w:pPr>
      <w:r>
        <w:t xml:space="preserve">Conesa Fernández-Vítora, V. (2010). </w:t>
      </w:r>
      <w:r>
        <w:rPr>
          <w:i/>
          <w:iCs/>
        </w:rPr>
        <w:t xml:space="preserve">Guía metodológica para la evaluación del impacto ambiental</w:t>
      </w:r>
      <w:r>
        <w:t xml:space="preserve"> (4.ª ed.). Mundi-Prensa.</w:t>
      </w:r>
    </w:p>
    <w:p>
      <w:pPr>
        <w:spacing w:after="120" w:line="360"/>
        <w:ind w:left="709" w:hanging="709"/>
      </w:pPr>
      <w:r>
        <w:t xml:space="preserve">Congreso de la República de Colombia. (1993, 22 de diciembre). Ley 99 de 1993.</w:t>
      </w:r>
    </w:p>
    <w:p>
      <w:pPr>
        <w:spacing w:after="120" w:line="360"/>
        <w:ind w:left="709" w:hanging="709"/>
      </w:pPr>
      <w:r>
        <w:t xml:space="preserve">Congreso de la República de Colombia. (2018, 27 de julio). Ley 1930 de 2018, por medio de la cual se dictan disposiciones para la gestión integral de los páramos en Colombia.</w:t>
      </w:r>
    </w:p>
    <w:p>
      <w:pPr>
        <w:spacing w:after="120" w:line="360"/>
        <w:ind w:left="709" w:hanging="709"/>
      </w:pPr>
      <w:r>
        <w:t xml:space="preserve">Congreso de la República de Colombia. (2020, 31 de diciembre). Ley 2068 de 2020, por la cual se modifica la Ley General de Turismo y se dictan otras disposiciones.</w:t>
      </w:r>
    </w:p>
    <w:p>
      <w:pPr>
        <w:spacing w:after="120" w:line="360"/>
        <w:ind w:left="709" w:hanging="709"/>
      </w:pPr>
      <w:r>
        <w:t xml:space="preserve">Creswell, J. W., &amp; Creswell, J. D. (2018). </w:t>
      </w:r>
      <w:r>
        <w:rPr>
          <w:i/>
          <w:iCs/>
        </w:rPr>
        <w:t xml:space="preserve">Research design: Qualitative, quantitative, and mixed methods approaches</w:t>
      </w:r>
      <w:r>
        <w:t xml:space="preserve"> (5th ed.). SAGE.</w:t>
      </w:r>
    </w:p>
    <w:p>
      <w:pPr>
        <w:spacing w:after="120" w:line="360"/>
        <w:ind w:left="709" w:hanging="709"/>
      </w:pPr>
      <w:r>
        <w:t xml:space="preserve">Cronbach, L. J. (1951). Coefficient alpha and the internal structure of tests. </w:t>
      </w:r>
      <w:r>
        <w:rPr>
          <w:i/>
          <w:iCs/>
        </w:rPr>
        <w:t xml:space="preserve">Psychometrika, 16</w:t>
      </w:r>
      <w:r>
        <w:t xml:space="preserve">(3), 297–334. https://doi.org/10.1007/BF02310555</w:t>
      </w:r>
    </w:p>
    <w:p>
      <w:pPr>
        <w:spacing w:after="120" w:line="360"/>
        <w:ind w:left="709" w:hanging="709"/>
      </w:pPr>
      <w:r>
        <w:t xml:space="preserve">Departamento Administrativo Nacional de Estadística. (2020). </w:t>
      </w:r>
      <w:r>
        <w:rPr>
          <w:i/>
          <w:iCs/>
        </w:rPr>
        <w:t xml:space="preserve">Proyecciones de población municipal 2018-2035</w:t>
      </w:r>
      <w:r>
        <w:t xml:space="preserve">. DANE.</w:t>
      </w:r>
    </w:p>
    <w:p>
      <w:pPr>
        <w:spacing w:after="120" w:line="360"/>
        <w:ind w:left="709" w:hanging="709"/>
      </w:pPr>
      <w:r>
        <w:t xml:space="preserve">Fletcher, T. D., Shuster, W., Hunt, W. F., Ashley, R., Butler, D., Arthur, S., Trowsdale, S., Barraud, S., Semadeni-Davies, A., Bertrand-Krajewski, J.-L., Mikkelsen, P. S., Rivard, G., Uhl, M., Dagenais, D., &amp; Viklander, M. (2015). SUDS, LID, BMPs, WSUD and more – The evolution and application of terminology surrounding urban drainage. </w:t>
      </w:r>
      <w:r>
        <w:rPr>
          <w:i/>
          <w:iCs/>
        </w:rPr>
        <w:t xml:space="preserve">Urban Water Journal, 12</w:t>
      </w:r>
      <w:r>
        <w:t xml:space="preserve">(7), 525–542. https://doi.org/10.1080/1573062X.2014.916314</w:t>
      </w:r>
    </w:p>
    <w:p>
      <w:pPr>
        <w:spacing w:after="120" w:line="360"/>
        <w:ind w:left="709" w:hanging="709"/>
      </w:pPr>
      <w:r>
        <w:t xml:space="preserve">Gray, D. H., &amp; Sotir, R. B. (1996). </w:t>
      </w:r>
      <w:r>
        <w:rPr>
          <w:i/>
          <w:iCs/>
        </w:rPr>
        <w:t xml:space="preserve">Biotechnical and soil bioengineering slope stabilization: A practical guide for erosion control</w:t>
      </w:r>
      <w:r>
        <w:t xml:space="preserve">. John Wiley &amp; Sons.</w:t>
      </w:r>
    </w:p>
    <w:p>
      <w:pPr>
        <w:spacing w:after="120" w:line="360"/>
        <w:ind w:left="709" w:hanging="709"/>
      </w:pPr>
      <w:r>
        <w:t xml:space="preserve">Gursoy, D., Jurowski, C., &amp; Uysal, M. (2002). Resident attitudes: A structural modeling approach. </w:t>
      </w:r>
      <w:r>
        <w:rPr>
          <w:i/>
          <w:iCs/>
        </w:rPr>
        <w:t xml:space="preserve">Annals of Tourism Research, 29</w:t>
      </w:r>
      <w:r>
        <w:t xml:space="preserve">(1), 79–105. https://doi.org/10.1016/S0160-7383(01)00028-7</w:t>
      </w:r>
    </w:p>
    <w:p>
      <w:pPr>
        <w:spacing w:after="120" w:line="360"/>
        <w:ind w:left="709" w:hanging="709"/>
      </w:pPr>
      <w:r>
        <w:t xml:space="preserve">Hernández-Sampieri, R., &amp; Mendoza, C. P. (2018). </w:t>
      </w:r>
      <w:r>
        <w:rPr>
          <w:i/>
          <w:iCs/>
        </w:rPr>
        <w:t xml:space="preserve">Metodología de la investigación: Las rutas cuantitativa, cualitativa y mixta</w:t>
      </w:r>
      <w:r>
        <w:t xml:space="preserve">. McGraw-Hill Interamericana.</w:t>
      </w:r>
    </w:p>
    <w:p>
      <w:pPr>
        <w:spacing w:after="120" w:line="360"/>
        <w:ind w:left="709" w:hanging="709"/>
      </w:pPr>
      <w:r>
        <w:t xml:space="preserve">Hunter, C. (1997). Sustainable tourism as an adaptive paradigm. </w:t>
      </w:r>
      <w:r>
        <w:rPr>
          <w:i/>
          <w:iCs/>
        </w:rPr>
        <w:t xml:space="preserve">Annals of Tourism Research, 24</w:t>
      </w:r>
      <w:r>
        <w:t xml:space="preserve">(4), 850–867. https://doi.org/10.1016/S0160-7383(97)00036-4</w:t>
      </w:r>
    </w:p>
    <w:p>
      <w:pPr>
        <w:spacing w:after="120" w:line="360"/>
        <w:ind w:left="709" w:hanging="709"/>
      </w:pPr>
      <w:r>
        <w:t xml:space="preserve">Ma, J., Gao, J., Scott, N., &amp; Ding, P. (2013). Customer delight from theme park experiences: The antecedents of delight based on cognitive appraisal theory. </w:t>
      </w:r>
      <w:r>
        <w:rPr>
          <w:i/>
          <w:iCs/>
        </w:rPr>
        <w:t xml:space="preserve">Annals of Tourism Research, 42</w:t>
      </w:r>
      <w:r>
        <w:t xml:space="preserve">, 359–381. https://doi.org/10.1016/j.annals.2013.02.018</w:t>
      </w:r>
    </w:p>
    <w:p>
      <w:pPr>
        <w:spacing w:after="120" w:line="360"/>
        <w:ind w:left="709" w:hanging="709"/>
      </w:pPr>
      <w:r>
        <w:t xml:space="preserve">Milman, A. (2001). The future of the theme park and attraction industry: A management perspective. </w:t>
      </w:r>
      <w:r>
        <w:rPr>
          <w:i/>
          <w:iCs/>
        </w:rPr>
        <w:t xml:space="preserve">Journal of Travel Research, 40</w:t>
      </w:r>
      <w:r>
        <w:t xml:space="preserve">(2), 139–147. https://doi.org/10.1177/004728750104000204</w:t>
      </w:r>
    </w:p>
    <w:p>
      <w:pPr>
        <w:spacing w:after="120" w:line="360"/>
        <w:ind w:left="709" w:hanging="709"/>
      </w:pPr>
      <w:r>
        <w:t xml:space="preserve">Milman, A. (2010). The global theme park industry. </w:t>
      </w:r>
      <w:r>
        <w:rPr>
          <w:i/>
          <w:iCs/>
        </w:rPr>
        <w:t xml:space="preserve">Worldwide Hospitality and Tourism Themes, 2</w:t>
      </w:r>
      <w:r>
        <w:t xml:space="preserve">(3), 220–237. https://doi.org/10.1108/17554211011052177</w:t>
      </w:r>
    </w:p>
    <w:p>
      <w:pPr>
        <w:spacing w:after="120" w:line="360"/>
        <w:ind w:left="709" w:hanging="709"/>
      </w:pPr>
      <w:r>
        <w:t xml:space="preserve">Ministerio de Ambiente y Desarrollo Sostenible. (2014). </w:t>
      </w:r>
      <w:r>
        <w:rPr>
          <w:i/>
          <w:iCs/>
        </w:rPr>
        <w:t xml:space="preserve">Resolución 2090 de 2014, por medio de la cual se delimita el Páramo Jurisdicciones–Santurbán–Berlín</w:t>
      </w:r>
      <w:r>
        <w:t xml:space="preserve">. MADS.</w:t>
      </w:r>
    </w:p>
    <w:p>
      <w:pPr>
        <w:spacing w:after="120" w:line="360"/>
        <w:ind w:left="709" w:hanging="709"/>
      </w:pPr>
      <w:r>
        <w:t xml:space="preserve">Ministerio de la Protección Social &amp; Ministerio de Ambiente, Vivienda y Desarrollo Territorial. (2007). </w:t>
      </w:r>
      <w:r>
        <w:rPr>
          <w:i/>
          <w:iCs/>
        </w:rPr>
        <w:t xml:space="preserve">Resolución 2115 de 2007, por medio de la cual se señalan características, instrumentos básicos y frecuencias del sistema de control y vigilancia para la calidad del agua para consumo humano</w:t>
      </w:r>
      <w:r>
        <w:t xml:space="preserve">.</w:t>
      </w:r>
    </w:p>
    <w:p>
      <w:pPr>
        <w:spacing w:after="120" w:line="360"/>
        <w:ind w:left="709" w:hanging="709"/>
      </w:pPr>
      <w:r>
        <w:t xml:space="preserve">Moscardo, G. (1996). Mindful visitors: Heritage and tourism. </w:t>
      </w:r>
      <w:r>
        <w:rPr>
          <w:i/>
          <w:iCs/>
        </w:rPr>
        <w:t xml:space="preserve">Annals of Tourism Research, 23</w:t>
      </w:r>
      <w:r>
        <w:t xml:space="preserve">(2), 376–397. https://doi.org/10.1016/0160-7383(95)00068-2</w:t>
      </w:r>
    </w:p>
    <w:p>
      <w:pPr>
        <w:spacing w:after="120" w:line="360"/>
        <w:ind w:left="709" w:hanging="709"/>
      </w:pPr>
      <w:r>
        <w:t xml:space="preserve">Murcia, C., Guariguata, M. R., Andrade, Á., Andrade, G. I., Aronson, J., Escobar, E. M., Etter, A., Moreno, F. H., Ramírez, W., &amp; Montes, E. (2016). Challenges and prospects for scaling-up ecological restoration to meet international commitments: Colombia as a case study. </w:t>
      </w:r>
      <w:r>
        <w:rPr>
          <w:i/>
          <w:iCs/>
        </w:rPr>
        <w:t xml:space="preserve">Conservation Letters, 9</w:t>
      </w:r>
      <w:r>
        <w:t xml:space="preserve">(3), 213–220. https://doi.org/10.1111/conl.12199</w:t>
      </w:r>
    </w:p>
    <w:p>
      <w:pPr>
        <w:spacing w:after="120" w:line="360"/>
        <w:ind w:left="709" w:hanging="709"/>
      </w:pPr>
      <w:r>
        <w:t xml:space="preserve">Myers, N., Mittermeier, R. A., Mittermeier, C. G., da Fonseca, G. A. B., &amp; Kent, J. (2000). Biodiversity hotspots for conservation priorities. </w:t>
      </w:r>
      <w:r>
        <w:rPr>
          <w:i/>
          <w:iCs/>
        </w:rPr>
        <w:t xml:space="preserve">Nature, 403</w:t>
      </w:r>
      <w:r>
        <w:t xml:space="preserve">, 853–858. https://doi.org/10.1038/35002501</w:t>
      </w:r>
    </w:p>
    <w:p>
      <w:pPr>
        <w:spacing w:after="120" w:line="360"/>
        <w:ind w:left="709" w:hanging="709"/>
      </w:pPr>
      <w:r>
        <w:t xml:space="preserve">Nunkoo, R., &amp; Ramkissoon, H. (2011). Developing a community support model for tourism. </w:t>
      </w:r>
      <w:r>
        <w:rPr>
          <w:i/>
          <w:iCs/>
        </w:rPr>
        <w:t xml:space="preserve">Annals of Tourism Research, 38</w:t>
      </w:r>
      <w:r>
        <w:t xml:space="preserve">(3), 964–988. https://doi.org/10.1016/j.annals.2011.01.017</w:t>
      </w:r>
    </w:p>
    <w:p>
      <w:pPr>
        <w:spacing w:after="120" w:line="360"/>
        <w:ind w:left="709" w:hanging="709"/>
      </w:pPr>
      <w:r>
        <w:t xml:space="preserve">Pine, B. J., &amp; Gilmore, J. H. (1998). Welcome to the experience economy. </w:t>
      </w:r>
      <w:r>
        <w:rPr>
          <w:i/>
          <w:iCs/>
        </w:rPr>
        <w:t xml:space="preserve">Harvard Business Review, 76</w:t>
      </w:r>
      <w:r>
        <w:t xml:space="preserve">(4), 97–105.</w:t>
      </w:r>
    </w:p>
    <w:p>
      <w:pPr>
        <w:spacing w:after="120" w:line="360"/>
        <w:ind w:left="709" w:hanging="709"/>
      </w:pPr>
      <w:r>
        <w:t xml:space="preserve">Richards, G. (2018). Cultural tourism: A review of recent research and trends. </w:t>
      </w:r>
      <w:r>
        <w:rPr>
          <w:i/>
          <w:iCs/>
        </w:rPr>
        <w:t xml:space="preserve">Journal of Hospitality and Tourism Management, 36</w:t>
      </w:r>
      <w:r>
        <w:t xml:space="preserve">, 12–21. https://doi.org/10.1016/j.jhtm.2018.03.005</w:t>
      </w:r>
    </w:p>
    <w:p>
      <w:pPr>
        <w:spacing w:after="120" w:line="360"/>
        <w:ind w:left="709" w:hanging="709"/>
      </w:pPr>
      <w:r>
        <w:t xml:space="preserve">Scheyvens, R. (1999). Ecotourism and the empowerment of local communities. </w:t>
      </w:r>
      <w:r>
        <w:rPr>
          <w:i/>
          <w:iCs/>
        </w:rPr>
        <w:t xml:space="preserve">Tourism Management, 20</w:t>
      </w:r>
      <w:r>
        <w:t xml:space="preserve">(2), 245–249. https://doi.org/10.1016/S0261-5177(98)00069-7</w:t>
      </w:r>
    </w:p>
    <w:p>
      <w:pPr>
        <w:spacing w:after="120" w:line="360"/>
        <w:ind w:left="709" w:hanging="709"/>
      </w:pPr>
      <w:r>
        <w:t xml:space="preserve">Sharpley, R. (2014). Host perceptions of tourism: A review of the research. </w:t>
      </w:r>
      <w:r>
        <w:rPr>
          <w:i/>
          <w:iCs/>
        </w:rPr>
        <w:t xml:space="preserve">Tourism Management, 42</w:t>
      </w:r>
      <w:r>
        <w:t xml:space="preserve">, 37–49. https://doi.org/10.1016/j.tourman.2013.10.007</w:t>
      </w:r>
    </w:p>
    <w:p>
      <w:pPr>
        <w:spacing w:after="120" w:line="360"/>
        <w:ind w:left="709" w:hanging="709"/>
      </w:pPr>
      <w:r>
        <w:t xml:space="preserve">Stronza, A., &amp; Gordillo, J. (2008). Community views of ecotourism. </w:t>
      </w:r>
      <w:r>
        <w:rPr>
          <w:i/>
          <w:iCs/>
        </w:rPr>
        <w:t xml:space="preserve">Annals of Tourism Research, 35</w:t>
      </w:r>
      <w:r>
        <w:t xml:space="preserve">(2), 448–468. https://doi.org/10.1016/j.annals.2008.01.002</w:t>
      </w:r>
    </w:p>
    <w:p>
      <w:pPr>
        <w:spacing w:after="120" w:line="360"/>
        <w:ind w:left="709" w:hanging="709"/>
      </w:pPr>
      <w:r>
        <w:t xml:space="preserve">Timothy, D. J. (1999). Participatory planning: A view of tourism in Indonesia. </w:t>
      </w:r>
      <w:r>
        <w:rPr>
          <w:i/>
          <w:iCs/>
        </w:rPr>
        <w:t xml:space="preserve">Annals of Tourism Research, 26</w:t>
      </w:r>
      <w:r>
        <w:t xml:space="preserve">(2), 371–391. https://doi.org/10.1016/S0160-7383(98)00104-2</w:t>
      </w:r>
    </w:p>
    <w:p>
      <w:pPr>
        <w:spacing w:after="120" w:line="360"/>
        <w:ind w:left="709" w:hanging="709"/>
      </w:pPr>
      <w:r>
        <w:t xml:space="preserve">Tosun, C. (2000). Limits to community participation in the tourism development process in developing countries. </w:t>
      </w:r>
      <w:r>
        <w:rPr>
          <w:i/>
          <w:iCs/>
        </w:rPr>
        <w:t xml:space="preserve">Tourism Management, 21</w:t>
      </w:r>
      <w:r>
        <w:t xml:space="preserve">(6), 613–633. https://doi.org/10.1016/S0261-5177(00)00009-1</w:t>
      </w:r>
    </w:p>
    <w:p>
      <w:pPr>
        <w:spacing w:after="120" w:line="360"/>
        <w:ind w:left="709" w:hanging="709"/>
      </w:pPr>
      <w:r>
        <w:t xml:space="preserve">Velandia Bonilla, A. F., &amp; Figueroa Espinel, J. F. (2020). Turismo comunitario en Colombia como progreso en el postconflicto. </w:t>
      </w:r>
      <w:r>
        <w:rPr>
          <w:i/>
          <w:iCs/>
        </w:rPr>
        <w:t xml:space="preserve">Perspectivas, 5</w:t>
      </w:r>
      <w:r>
        <w:t xml:space="preserve">(20), 28–49. https://doi.org/10.26620/uniminuto.perspectivas.5.20.2020.28-49</w:t>
      </w:r>
    </w:p>
    <w:p>
      <w:pPr>
        <w:spacing w:after="120" w:line="360"/>
        <w:ind w:left="709" w:hanging="709"/>
      </w:pPr>
      <w:r>
        <w:t xml:space="preserve">Weaver, D. B., &amp; Lawton, L. J. (2007). Twenty years on: The state of contemporary ecotourism research. </w:t>
      </w:r>
      <w:r>
        <w:rPr>
          <w:i/>
          <w:iCs/>
        </w:rPr>
        <w:t xml:space="preserve">Tourism Management, 28</w:t>
      </w:r>
      <w:r>
        <w:t xml:space="preserve">(5), 1168–1179. https://doi.org/10.1016/j.tourman.2007.03.004</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Parque Temático El Cacique: ecoturismo y valoración del patrimonio cultural chitarero en el casco urbano de Cácota, Norte de Santander</dc:title>
  <cp:lastModifiedBy>Un-named</cp:lastModifiedBy>
  <cp:revision>1</cp:revision>
  <dcterms:created xsi:type="dcterms:W3CDTF">2026-09-30T00:04:36.002Z</dcterms:created>
  <dcterms:modified xsi:type="dcterms:W3CDTF">2026-09-30T00:04:36.004Z</dcterms:modified>
</cp:coreProperties>
</file>

<file path=docProps/custom.xml><?xml version="1.0" encoding="utf-8"?>
<Properties xmlns="http://schemas.openxmlformats.org/officeDocument/2006/custom-properties" xmlns:vt="http://schemas.openxmlformats.org/officeDocument/2006/docPropsVTypes"/>
</file>