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67B4" w:rsidRDefault="006A67B4">
      <w:pPr>
        <w:contextualSpacing w:val="0"/>
      </w:pPr>
    </w:p>
    <w:tbl>
      <w:tblPr>
        <w:tblStyle w:val="a"/>
        <w:tblW w:w="1022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290"/>
        <w:gridCol w:w="5984"/>
      </w:tblGrid>
      <w:tr w:rsidR="006A67B4">
        <w:trPr>
          <w:trHeight w:val="320"/>
        </w:trPr>
        <w:tc>
          <w:tcPr>
            <w:tcW w:w="1022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</w:tr>
      <w:tr w:rsidR="006A67B4">
        <w:trPr>
          <w:trHeight w:val="30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AFFILIATION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ATTENDING/INTEREST IN BIOCOMPUTE STANDARDS</w:t>
            </w:r>
          </w:p>
        </w:tc>
      </w:tr>
      <w:tr w:rsidR="006A67B4">
        <w:trPr>
          <w:trHeight w:val="54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Jonathon Keeney (Secretary)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George Washington University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I'm spearheading a public private partnership effort around BioCompute, and would like to formalize the standard through the IEEE process.</w:t>
            </w:r>
          </w:p>
        </w:tc>
      </w:tr>
      <w:tr w:rsidR="006A67B4">
        <w:trPr>
          <w:trHeight w:val="54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Carole Goble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University of Manchester, UK</w:t>
            </w:r>
          </w:p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ELIXIR, </w:t>
            </w:r>
            <w:proofErr w:type="spellStart"/>
            <w:r>
              <w:rPr>
                <w:sz w:val="20"/>
                <w:szCs w:val="20"/>
              </w:rPr>
              <w:t>BioExcel</w:t>
            </w:r>
            <w:proofErr w:type="spellEnd"/>
            <w:r>
              <w:rPr>
                <w:sz w:val="20"/>
                <w:szCs w:val="20"/>
              </w:rPr>
              <w:t xml:space="preserve"> and ResearchObject.org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Co-lead the Research Object initiative, responsible for driving CWL and BCO related activities for ELIXIR (the EU Research Infrastructure for Life Science Data). </w:t>
            </w:r>
          </w:p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ExCo</w:t>
            </w:r>
            <w:proofErr w:type="spellEnd"/>
            <w:r>
              <w:rPr>
                <w:sz w:val="20"/>
                <w:szCs w:val="20"/>
              </w:rPr>
              <w:t xml:space="preserve"> lead of ELIXIR Interoperability Platform and Head of Node for ELIXIR-UK Node.</w:t>
            </w:r>
          </w:p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Been involved in BioCompute since 2016 and one of the authors of the BCO paper/</w:t>
            </w:r>
            <w:proofErr w:type="spellStart"/>
            <w:r>
              <w:rPr>
                <w:sz w:val="20"/>
                <w:szCs w:val="20"/>
              </w:rPr>
              <w:t>arxiv</w:t>
            </w:r>
            <w:proofErr w:type="spellEnd"/>
            <w:r>
              <w:rPr>
                <w:sz w:val="20"/>
                <w:szCs w:val="20"/>
              </w:rPr>
              <w:t xml:space="preserve"> paper.</w:t>
            </w:r>
          </w:p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(I’ll also be presenting BCO at </w:t>
            </w:r>
            <w:proofErr w:type="gramStart"/>
            <w:r>
              <w:rPr>
                <w:sz w:val="20"/>
                <w:szCs w:val="20"/>
              </w:rPr>
              <w:t>the  Cancer</w:t>
            </w:r>
            <w:proofErr w:type="gramEnd"/>
            <w:r>
              <w:rPr>
                <w:sz w:val="20"/>
                <w:szCs w:val="20"/>
              </w:rPr>
              <w:t xml:space="preserve"> Early Detection meeting in Portland Oregon in October). Also using BCO in the EU </w:t>
            </w:r>
            <w:proofErr w:type="spellStart"/>
            <w:r>
              <w:rPr>
                <w:sz w:val="20"/>
                <w:szCs w:val="20"/>
              </w:rPr>
              <w:t>BioExcel</w:t>
            </w:r>
            <w:proofErr w:type="spellEnd"/>
            <w:r>
              <w:rPr>
                <w:sz w:val="20"/>
                <w:szCs w:val="20"/>
              </w:rPr>
              <w:t xml:space="preserve"> Centre of Excellence. ROs are also used in the NIH Data Commons projects, and Manchester are to be undertaking (subcontracted) that work. </w:t>
            </w:r>
          </w:p>
        </w:tc>
      </w:tr>
      <w:tr w:rsidR="006A67B4">
        <w:trPr>
          <w:trHeight w:val="54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Raja </w:t>
            </w:r>
            <w:proofErr w:type="spellStart"/>
            <w:r>
              <w:rPr>
                <w:sz w:val="20"/>
                <w:szCs w:val="20"/>
              </w:rPr>
              <w:t>Mazumder</w:t>
            </w:r>
            <w:proofErr w:type="spellEnd"/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BioCompute co-founder and chair of this meeting</w:t>
            </w:r>
          </w:p>
        </w:tc>
      </w:tr>
      <w:tr w:rsidR="006A67B4">
        <w:trPr>
          <w:trHeight w:val="54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Jonas Almeida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Stony Brook </w:t>
            </w:r>
            <w:proofErr w:type="spellStart"/>
            <w:r>
              <w:rPr>
                <w:sz w:val="20"/>
                <w:szCs w:val="20"/>
              </w:rPr>
              <w:t>Univ</w:t>
            </w:r>
            <w:proofErr w:type="spellEnd"/>
            <w:r>
              <w:rPr>
                <w:sz w:val="20"/>
                <w:szCs w:val="20"/>
              </w:rPr>
              <w:t xml:space="preserve"> (SUNY), Prof and CTO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of consumer-facing biomedical informatics applications, co-author of BCO paper with an eye on Web/Cloud orchestration.</w:t>
            </w:r>
          </w:p>
        </w:tc>
      </w:tr>
      <w:tr w:rsidR="006A67B4">
        <w:trPr>
          <w:trHeight w:val="54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Connor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NCBI [contractor]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Representing NCBI Virus group - general interest in bio-data standards</w:t>
            </w:r>
          </w:p>
        </w:tc>
      </w:tr>
      <w:tr w:rsidR="006A67B4">
        <w:trPr>
          <w:trHeight w:val="540"/>
        </w:trPr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Theresa </w:t>
            </w:r>
            <w:proofErr w:type="spellStart"/>
            <w:r>
              <w:rPr>
                <w:sz w:val="20"/>
                <w:szCs w:val="20"/>
              </w:rPr>
              <w:t>Wohlever</w:t>
            </w:r>
            <w:proofErr w:type="spellEnd"/>
            <w:r>
              <w:rPr>
                <w:sz w:val="20"/>
                <w:szCs w:val="20"/>
              </w:rPr>
              <w:t xml:space="preserve"> (Attending as a stand-in for Jonathan Jacobs)</w:t>
            </w:r>
          </w:p>
        </w:tc>
        <w:tc>
          <w:tcPr>
            <w:tcW w:w="2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QIAGEN</w:t>
            </w:r>
          </w:p>
        </w:tc>
        <w:tc>
          <w:tcPr>
            <w:tcW w:w="59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A67B4" w:rsidRDefault="009C1B0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Interested in aligning QIAGEN </w:t>
            </w:r>
            <w:proofErr w:type="spellStart"/>
            <w:r>
              <w:rPr>
                <w:sz w:val="20"/>
                <w:szCs w:val="20"/>
              </w:rPr>
              <w:t>Bioinformatic</w:t>
            </w:r>
            <w:proofErr w:type="spellEnd"/>
            <w:r>
              <w:rPr>
                <w:sz w:val="20"/>
                <w:szCs w:val="20"/>
              </w:rPr>
              <w:t xml:space="preserve"> software to the BCO collaboration standards.</w:t>
            </w:r>
          </w:p>
        </w:tc>
      </w:tr>
    </w:tbl>
    <w:p w:rsidR="006A67B4" w:rsidRDefault="006A67B4">
      <w:pPr>
        <w:contextualSpacing w:val="0"/>
      </w:pPr>
    </w:p>
    <w:tbl>
      <w:tblPr>
        <w:tblStyle w:val="a0"/>
        <w:tblW w:w="102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310"/>
        <w:gridCol w:w="5955"/>
      </w:tblGrid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Hiroki </w:t>
            </w:r>
            <w:proofErr w:type="spellStart"/>
            <w:r>
              <w:rPr>
                <w:sz w:val="20"/>
                <w:szCs w:val="20"/>
              </w:rPr>
              <w:t>Morizono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Childrens</w:t>
            </w:r>
            <w:proofErr w:type="spellEnd"/>
            <w:r>
              <w:rPr>
                <w:sz w:val="20"/>
                <w:szCs w:val="20"/>
              </w:rPr>
              <w:t xml:space="preserve"> National Medical Center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application of BCO for precision medicine and reproducible data processing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Simonyan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CRISPR TX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BioCompute Co-founder and co-chair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Charles Hadley King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George Washington University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 BioCompute technical lead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Jason Travis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TGen</w:t>
            </w:r>
            <w:proofErr w:type="spellEnd"/>
            <w:r>
              <w:rPr>
                <w:sz w:val="20"/>
                <w:szCs w:val="20"/>
              </w:rPr>
              <w:t xml:space="preserve"> North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Biocompute</w:t>
            </w:r>
            <w:proofErr w:type="spellEnd"/>
            <w:r>
              <w:rPr>
                <w:sz w:val="20"/>
                <w:szCs w:val="20"/>
              </w:rPr>
              <w:t xml:space="preserve"> for research organizations and developing standards compliant bioinformatics systems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Jonathan </w:t>
            </w:r>
            <w:proofErr w:type="spellStart"/>
            <w:r>
              <w:rPr>
                <w:sz w:val="20"/>
                <w:szCs w:val="20"/>
              </w:rPr>
              <w:t>LoTempio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Children’s National Medical Center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Scripted BCO, executable BCO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Janisha</w:t>
            </w:r>
            <w:proofErr w:type="spellEnd"/>
            <w:r>
              <w:rPr>
                <w:sz w:val="20"/>
                <w:szCs w:val="20"/>
              </w:rPr>
              <w:t xml:space="preserve"> Patel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George Washington University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BCO paper contributor, technical researcher 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Michaels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DNAnexus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Heavily involved in regulatory ecosystem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Stian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Soiland</w:t>
            </w:r>
            <w:proofErr w:type="spellEnd"/>
            <w:r>
              <w:rPr>
                <w:sz w:val="20"/>
                <w:szCs w:val="20"/>
              </w:rPr>
              <w:t>-Reyes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University of Manchester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Object technical lead, Common Workflow Language leadership team, W3C PROV co-author. Interested in integrations with existing community standards.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Jonathan </w:t>
            </w:r>
            <w:proofErr w:type="spellStart"/>
            <w:r>
              <w:rPr>
                <w:sz w:val="20"/>
                <w:szCs w:val="20"/>
              </w:rPr>
              <w:t>Pryke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AstraZeneca / </w:t>
            </w:r>
            <w:proofErr w:type="spellStart"/>
            <w:r>
              <w:rPr>
                <w:sz w:val="20"/>
                <w:szCs w:val="20"/>
              </w:rPr>
              <w:t>MedImmune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of BCO for precision medicine &amp; data provenance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Duncan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Merck and Co., </w:t>
            </w:r>
            <w:proofErr w:type="spellStart"/>
            <w:r>
              <w:rPr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BCO for regulated applications</w:t>
            </w:r>
          </w:p>
        </w:tc>
      </w:tr>
      <w:tr w:rsidR="006A67B4" w:rsidTr="009C1B05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Ruth </w:t>
            </w:r>
            <w:proofErr w:type="spellStart"/>
            <w:r>
              <w:rPr>
                <w:sz w:val="20"/>
                <w:szCs w:val="20"/>
              </w:rPr>
              <w:t>Bandler</w:t>
            </w:r>
            <w:proofErr w:type="spellEnd"/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FDA BCO COR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R. Crusoe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Workflow Language project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CWL co-founder &amp; CWL project lead, ResearchObject.org participant. To see BCO build upon and extend existing standards.</w:t>
            </w:r>
          </w:p>
        </w:tc>
      </w:tr>
      <w:tr w:rsidR="006A67B4" w:rsidTr="00C176ED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Carole Carey </w:t>
            </w:r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Engineering in Medicine and Biology Society &amp; Liaison to IEEE-SA (Standards Association)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Sponsoring Society for IEEE P2791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 Black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Amazon Web Services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standards for genomics and precision medicine</w:t>
            </w:r>
          </w:p>
        </w:tc>
      </w:tr>
      <w:tr w:rsidR="006A67B4" w:rsidTr="009C1B05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 Donaldson</w:t>
            </w:r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Kristy </w:t>
            </w:r>
            <w:proofErr w:type="spellStart"/>
            <w:r>
              <w:rPr>
                <w:sz w:val="20"/>
                <w:szCs w:val="20"/>
              </w:rPr>
              <w:t>Cloyd</w:t>
            </w:r>
            <w:proofErr w:type="spellEnd"/>
            <w:r>
              <w:rPr>
                <w:sz w:val="20"/>
                <w:szCs w:val="20"/>
              </w:rPr>
              <w:t>-Warwick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DNAnexus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standards for genomics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Josep</w:t>
            </w:r>
            <w:proofErr w:type="spellEnd"/>
            <w:r>
              <w:rPr>
                <w:sz w:val="20"/>
                <w:szCs w:val="20"/>
              </w:rPr>
              <w:t xml:space="preserve"> L. </w:t>
            </w:r>
            <w:proofErr w:type="spellStart"/>
            <w:r>
              <w:rPr>
                <w:sz w:val="20"/>
                <w:szCs w:val="20"/>
              </w:rPr>
              <w:t>Gelpi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Barcelona Supercomputing Centre. Univ. of Barcelona. </w:t>
            </w:r>
            <w:proofErr w:type="spellStart"/>
            <w:r>
              <w:rPr>
                <w:sz w:val="20"/>
                <w:szCs w:val="20"/>
              </w:rPr>
              <w:t>BioExcel</w:t>
            </w:r>
            <w:proofErr w:type="spellEnd"/>
            <w:r>
              <w:rPr>
                <w:sz w:val="20"/>
                <w:szCs w:val="20"/>
              </w:rPr>
              <w:t>.  ELIXIR-ES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use opportunities for BCO. Representing Spanish ELIXIR Node.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 Busby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NCBI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building reproducible tools for biological data science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Jianchao</w:t>
            </w:r>
            <w:proofErr w:type="spellEnd"/>
            <w:r>
              <w:rPr>
                <w:sz w:val="20"/>
                <w:szCs w:val="20"/>
              </w:rPr>
              <w:t xml:space="preserve"> Yao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Merck &amp; Co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Representing Merck in the BCO consortium. Working with the FDA on a mock submission of BCO.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Abaan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Seven Bridges Genomics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Making the </w:t>
            </w:r>
            <w:proofErr w:type="spellStart"/>
            <w:r>
              <w:rPr>
                <w:sz w:val="20"/>
                <w:szCs w:val="20"/>
              </w:rPr>
              <w:t>biocompute</w:t>
            </w:r>
            <w:proofErr w:type="spellEnd"/>
            <w:r>
              <w:rPr>
                <w:sz w:val="20"/>
                <w:szCs w:val="20"/>
              </w:rPr>
              <w:t xml:space="preserve"> object a standard for exchanging informa</w:t>
            </w:r>
            <w:bookmarkStart w:id="0" w:name="_GoBack"/>
            <w:bookmarkEnd w:id="0"/>
            <w:r>
              <w:rPr>
                <w:sz w:val="20"/>
                <w:szCs w:val="20"/>
              </w:rPr>
              <w:t>tion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Oudes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Genedata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Interested in ensuring compatibility of </w:t>
            </w:r>
            <w:proofErr w:type="spellStart"/>
            <w:r>
              <w:rPr>
                <w:sz w:val="20"/>
                <w:szCs w:val="20"/>
              </w:rPr>
              <w:t>Genedata</w:t>
            </w:r>
            <w:proofErr w:type="spellEnd"/>
            <w:r>
              <w:rPr>
                <w:sz w:val="20"/>
                <w:szCs w:val="20"/>
              </w:rPr>
              <w:t xml:space="preserve"> solutions with IEEE standards.</w:t>
            </w:r>
          </w:p>
        </w:tc>
      </w:tr>
      <w:tr w:rsidR="006A67B4" w:rsidTr="009C1B05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Anton </w:t>
            </w:r>
            <w:proofErr w:type="spellStart"/>
            <w:r>
              <w:rPr>
                <w:sz w:val="20"/>
                <w:szCs w:val="20"/>
              </w:rPr>
              <w:t>Golikov</w:t>
            </w:r>
            <w:proofErr w:type="spellEnd"/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BioCompute Co-founder and FDA technical lead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Amanda Bell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GWU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BCO technician and contributor </w:t>
            </w:r>
          </w:p>
        </w:tc>
      </w:tr>
      <w:tr w:rsidR="006A67B4" w:rsidTr="00C176ED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Soo Kim</w:t>
            </w:r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IEEE-SA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Staff</w:t>
            </w:r>
          </w:p>
        </w:tc>
      </w:tr>
      <w:tr w:rsidR="006A67B4" w:rsidTr="009C1B05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Alexis Norris</w:t>
            </w:r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standards for genomics datasets, from a regulatory perspective.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Megan </w:t>
            </w:r>
            <w:proofErr w:type="spellStart"/>
            <w:r>
              <w:rPr>
                <w:sz w:val="20"/>
                <w:szCs w:val="20"/>
              </w:rPr>
              <w:t>Potterbusch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GWU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BCOs for reproducibility of scientific research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E16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Dennis Dean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E16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Seven Bridges Genomics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E16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Making the </w:t>
            </w:r>
            <w:proofErr w:type="spellStart"/>
            <w:r>
              <w:rPr>
                <w:sz w:val="20"/>
                <w:szCs w:val="20"/>
              </w:rPr>
              <w:t>biocompute</w:t>
            </w:r>
            <w:proofErr w:type="spellEnd"/>
            <w:r>
              <w:rPr>
                <w:sz w:val="20"/>
                <w:szCs w:val="20"/>
              </w:rPr>
              <w:t xml:space="preserve"> object a standard for exchanging information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Payal</w:t>
            </w:r>
            <w:proofErr w:type="spellEnd"/>
            <w:r>
              <w:rPr>
                <w:sz w:val="20"/>
                <w:szCs w:val="20"/>
              </w:rPr>
              <w:t xml:space="preserve"> Banerjee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Children’s National Medical Center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BCO as reference for reproducible data processing for next generation sequencing pipelines and implementation of BCO as an executable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Surajit</w:t>
            </w:r>
            <w:proofErr w:type="spellEnd"/>
            <w:r>
              <w:rPr>
                <w:sz w:val="20"/>
                <w:szCs w:val="20"/>
              </w:rPr>
              <w:t xml:space="preserve"> Bhattacharya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Children’s National Medical Center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BCO as reference for reproducible data processing for next generation sequencing pipelines and implementation of BCO as an executable</w:t>
            </w:r>
          </w:p>
        </w:tc>
      </w:tr>
      <w:tr w:rsidR="006A67B4" w:rsidTr="009C1B05">
        <w:tc>
          <w:tcPr>
            <w:tcW w:w="19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Jizu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Zhi</w:t>
            </w:r>
            <w:proofErr w:type="spellEnd"/>
          </w:p>
        </w:tc>
        <w:tc>
          <w:tcPr>
            <w:tcW w:w="23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59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Interested in BCO and standardizations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Gil </w:t>
            </w:r>
            <w:proofErr w:type="spellStart"/>
            <w:r>
              <w:rPr>
                <w:sz w:val="20"/>
                <w:szCs w:val="20"/>
              </w:rPr>
              <w:t>Alterovitz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Harvard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9C1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 w:rsidRPr="009C1B05">
              <w:rPr>
                <w:sz w:val="20"/>
                <w:szCs w:val="20"/>
              </w:rPr>
              <w:t xml:space="preserve">To get standardized </w:t>
            </w:r>
            <w:proofErr w:type="spellStart"/>
            <w:r w:rsidRPr="009C1B05">
              <w:rPr>
                <w:sz w:val="20"/>
                <w:szCs w:val="20"/>
              </w:rPr>
              <w:t>ngs</w:t>
            </w:r>
            <w:proofErr w:type="spellEnd"/>
            <w:r w:rsidRPr="009C1B05">
              <w:rPr>
                <w:sz w:val="20"/>
                <w:szCs w:val="20"/>
              </w:rPr>
              <w:t xml:space="preserve"> workflow instances</w:t>
            </w: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6A67B4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7B4" w:rsidRDefault="006A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6A67B4" w:rsidRDefault="006A67B4">
      <w:pPr>
        <w:contextualSpacing w:val="0"/>
      </w:pPr>
    </w:p>
    <w:p w:rsidR="009C1B05" w:rsidRDefault="009C1B05">
      <w:pPr>
        <w:contextualSpacing w:val="0"/>
      </w:pPr>
      <w:r>
        <w:t xml:space="preserve">Total voting members: </w:t>
      </w:r>
      <w:r w:rsidR="00C176ED">
        <w:t>29</w:t>
      </w:r>
    </w:p>
    <w:p w:rsidR="009C1B05" w:rsidRDefault="00C176ED">
      <w:pPr>
        <w:contextualSpacing w:val="0"/>
      </w:pPr>
      <w:r>
        <w:t>Total nonvoting members: 6</w:t>
      </w:r>
    </w:p>
    <w:p w:rsidR="00C176ED" w:rsidRDefault="00C176ED">
      <w:pPr>
        <w:contextualSpacing w:val="0"/>
      </w:pPr>
    </w:p>
    <w:sectPr w:rsidR="00C176ED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67B4"/>
    <w:rsid w:val="006A67B4"/>
    <w:rsid w:val="009C1B05"/>
    <w:rsid w:val="00C176ED"/>
    <w:rsid w:val="00E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0F16"/>
  <w15:docId w15:val="{D9DF5E25-FF97-4143-976B-FE67BF4D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SMHS @ GW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Keeney, Jonathon</cp:lastModifiedBy>
  <cp:revision>3</cp:revision>
  <dcterms:created xsi:type="dcterms:W3CDTF">2018-09-13T17:31:00Z</dcterms:created>
  <dcterms:modified xsi:type="dcterms:W3CDTF">2018-12-04T23:57:00Z</dcterms:modified>
</cp:coreProperties>
</file>