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biocypher/biochatter-paper@b3e613d</w:t>
        </w:r>
      </w:hyperlink>
      <w:r>
        <w:t xml:space="preserve"> </w:t>
      </w:r>
      <w:r>
        <w:t xml:space="preserve">on January 3,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To facilitate the reproducible evaluation of LLMs, we implement a benchmarking framework that allows the comparison of models, prompt sets, and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easy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101"/>
    <w:bookmarkStart w:id="102"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and Node.js and demonstrates the use of BioChatter in a modern web app, including full customisation and scalability.</w:t>
      </w:r>
      <w:r>
        <w:t xml:space="preserve"> </w:t>
      </w:r>
      <w:r>
        <w:t xml:space="preserve">However, this comes at the cost of increased complexity and development time.</w:t>
      </w:r>
      <w:r>
        <w:t xml:space="preserve"> </w:t>
      </w:r>
      <w:r>
        <w:t xml:space="preserve">We invite all interested researchers to select the framework that best suits their needs, or use the BioChatter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 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(2024-01-03)</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(2024-01-03)</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(2024-01-02)</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b3e613d371de6db5d0f372fd28c10e4958792765/"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b3e613d371de6db5d0f372fd28c10e4958792765"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b3e613d371de6db5d0f372fd28c10e4958792765/"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b3e613d371de6db5d0f372fd28c10e4958792765"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2024-01-03T09:20:56Z</dcterms:created>
  <dcterms:modified xsi:type="dcterms:W3CDTF">2024-01-03T09:20:56Z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