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4EA3" w14:textId="64D77A87" w:rsidR="0052640D" w:rsidRPr="00FC3250" w:rsidRDefault="00325AB0" w:rsidP="00AE75F3">
      <w:pPr>
        <w:spacing w:after="0" w:line="360" w:lineRule="auto"/>
        <w:jc w:val="both"/>
        <w:rPr>
          <w:rFonts w:ascii="Times New Roman" w:hAnsi="Times New Roman" w:cs="Times New Roman"/>
          <w:lang w:val="en-US"/>
        </w:rPr>
      </w:pPr>
      <w:r w:rsidRPr="00FC3250">
        <w:rPr>
          <w:rFonts w:ascii="Times New Roman" w:hAnsi="Times New Roman" w:cs="Times New Roman"/>
          <w:lang w:val="en-US"/>
        </w:rPr>
        <w:t>Supplementary Material</w:t>
      </w:r>
    </w:p>
    <w:p w14:paraId="1FED5F1D" w14:textId="77777777" w:rsidR="00325AB0" w:rsidRPr="00FC3250" w:rsidRDefault="00325AB0" w:rsidP="00AE75F3">
      <w:pPr>
        <w:spacing w:after="0" w:line="360" w:lineRule="auto"/>
        <w:jc w:val="both"/>
        <w:rPr>
          <w:rFonts w:ascii="Times New Roman" w:hAnsi="Times New Roman" w:cs="Times New Roman"/>
        </w:rPr>
      </w:pPr>
    </w:p>
    <w:p w14:paraId="565147DD" w14:textId="7F800123" w:rsidR="00AE75F3" w:rsidRPr="00FC3250" w:rsidRDefault="00AE75F3" w:rsidP="00AE75F3">
      <w:pPr>
        <w:spacing w:after="0" w:line="360" w:lineRule="auto"/>
        <w:jc w:val="both"/>
        <w:rPr>
          <w:rFonts w:ascii="Times New Roman" w:hAnsi="Times New Roman" w:cs="Times New Roman"/>
          <w:b/>
          <w:bCs/>
        </w:rPr>
      </w:pPr>
      <w:r w:rsidRPr="00FC3250">
        <w:rPr>
          <w:rFonts w:ascii="Times New Roman" w:hAnsi="Times New Roman" w:cs="Times New Roman"/>
          <w:b/>
          <w:bCs/>
        </w:rPr>
        <w:t>Methods</w:t>
      </w:r>
    </w:p>
    <w:p w14:paraId="0DC5169B" w14:textId="2EB05602" w:rsidR="00AE75F3" w:rsidRPr="00FC3250" w:rsidRDefault="00AE75F3" w:rsidP="00AE75F3">
      <w:pPr>
        <w:spacing w:after="0" w:line="360" w:lineRule="auto"/>
        <w:jc w:val="both"/>
        <w:rPr>
          <w:rFonts w:ascii="Times New Roman" w:hAnsi="Times New Roman" w:cs="Times New Roman"/>
          <w:b/>
          <w:bCs/>
          <w:i/>
          <w:iCs/>
        </w:rPr>
      </w:pPr>
      <w:r w:rsidRPr="00FC3250">
        <w:rPr>
          <w:rFonts w:ascii="Times New Roman" w:hAnsi="Times New Roman" w:cs="Times New Roman"/>
          <w:b/>
          <w:bCs/>
          <w:i/>
          <w:iCs/>
        </w:rPr>
        <w:t xml:space="preserve">Ideological discourse and institutional performance </w:t>
      </w:r>
    </w:p>
    <w:p w14:paraId="7066AF4D" w14:textId="6B7F4D4B" w:rsidR="00325AB0" w:rsidRPr="00FC3250" w:rsidRDefault="00325AB0" w:rsidP="00AE75F3">
      <w:pPr>
        <w:spacing w:after="0" w:line="360" w:lineRule="auto"/>
        <w:jc w:val="both"/>
        <w:rPr>
          <w:rFonts w:ascii="Times New Roman" w:hAnsi="Times New Roman" w:cs="Times New Roman"/>
        </w:rPr>
      </w:pPr>
      <w:r w:rsidRPr="00FC3250">
        <w:rPr>
          <w:rFonts w:ascii="Times New Roman" w:hAnsi="Times New Roman" w:cs="Times New Roman"/>
        </w:rPr>
        <w:t xml:space="preserve">To examine the institutional context in which environmental policies are implemented, we investigated the relationship between institutional performance and the ideological bias of governments in the LACA region in recent years, based on the manipulation and visualization of data extracted from the </w:t>
      </w:r>
      <w:r w:rsidRPr="00FC3250">
        <w:rPr>
          <w:rFonts w:ascii="Times New Roman" w:hAnsi="Times New Roman" w:cs="Times New Roman"/>
          <w:i/>
          <w:iCs/>
        </w:rPr>
        <w:t xml:space="preserve">Varieties of Democracy </w:t>
      </w:r>
      <w:r w:rsidRPr="00FC3250">
        <w:rPr>
          <w:rFonts w:ascii="Times New Roman" w:hAnsi="Times New Roman" w:cs="Times New Roman"/>
        </w:rPr>
        <w:t xml:space="preserve">- V-Dem v16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{"citationID":"Bm0khDr9","properties":{"unsorted":false,"formattedCitation":"(Coppedge, 2026)","plainCitation":"(Coppedge, 2026)","noteIndex":0},"citationItems":[{"id":10565,"uris":["http://zotero.org/users/6187058/items/NLWQRCVG"],"itemData":{"id":10565,"type":"dataset","DOI":"10.23696/VDEMDS26","publisher":"Varieties of Democracy (V-Dem) Project","source":"DOI.org (Datacite)","title":"V-Dem Dataset v16","URL":"https://v-dem.net/data/dataset-archive/","author":[{"family":"Coppedge","given":"Michael"}],"accessed":{"date-parts":[["2026",10,11]]},"issued":{"date-parts":[["2026"]]}}}],"schema":"https://github.com/citation-style-language/schema/raw/master/csl-citation.json"}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(Coppedge, 2026)</w:t>
      </w:r>
      <w:r w:rsidRPr="00FC3250">
        <w:rPr>
          <w:rFonts w:ascii="Times New Roman" w:hAnsi="Times New Roman" w:cs="Times New Roman"/>
        </w:rPr>
        <w:fldChar w:fldCharType="end"/>
      </w:r>
      <w:r w:rsidRPr="00FC3250">
        <w:rPr>
          <w:rFonts w:ascii="Times New Roman" w:hAnsi="Times New Roman" w:cs="Times New Roman"/>
        </w:rPr>
        <w:t xml:space="preserve"> combined with a customized matrix of Executive Branch mandates in the region. </w:t>
      </w:r>
      <w:r w:rsidR="00AE75F3" w:rsidRPr="00FC3250">
        <w:rPr>
          <w:rFonts w:ascii="Times New Roman" w:hAnsi="Times New Roman" w:cs="Times New Roman"/>
        </w:rPr>
        <w:t xml:space="preserve">We organized recent presidential mandates across LACA countries </w:t>
      </w:r>
      <w:r w:rsidRPr="00FC3250">
        <w:rPr>
          <w:rFonts w:ascii="Times New Roman" w:hAnsi="Times New Roman" w:cs="Times New Roman"/>
        </w:rPr>
        <w:t xml:space="preserve">into a matrix detailing each country, Chief Executive, and respective administrative time frame. </w:t>
      </w:r>
      <w:r w:rsidR="00AE75F3" w:rsidRPr="00FC3250">
        <w:rPr>
          <w:rFonts w:ascii="Times New Roman" w:hAnsi="Times New Roman" w:cs="Times New Roman"/>
        </w:rPr>
        <w:t>We then cross-referenced this matrix with the V-Dem database, adjusting its temporal scope to the last two executive mandates in</w:t>
      </w:r>
      <w:r w:rsidRPr="00FC3250">
        <w:rPr>
          <w:rFonts w:ascii="Times New Roman" w:hAnsi="Times New Roman" w:cs="Times New Roman"/>
        </w:rPr>
        <w:t xml:space="preserve"> each country. The </w:t>
      </w:r>
      <w:r w:rsidR="00AE75F3" w:rsidRPr="00FC3250">
        <w:rPr>
          <w:rFonts w:ascii="Times New Roman" w:hAnsi="Times New Roman" w:cs="Times New Roman"/>
        </w:rPr>
        <w:t>data-merging procedure aligned the executive mandate with the corresponding observation year in the international database, using the year of inauguration as the effective start of the mandate</w:t>
      </w:r>
      <w:r w:rsidRPr="00FC3250">
        <w:rPr>
          <w:rFonts w:ascii="Times New Roman" w:hAnsi="Times New Roman" w:cs="Times New Roman"/>
        </w:rPr>
        <w:t xml:space="preserve">. To evaluate each administration </w:t>
      </w:r>
      <w:r w:rsidR="00AE75F3" w:rsidRPr="00FC3250">
        <w:rPr>
          <w:rFonts w:ascii="Times New Roman" w:hAnsi="Times New Roman" w:cs="Times New Roman"/>
        </w:rPr>
        <w:t>on both qualitative political traits and quantitative performance metrics, we selected variables capturing</w:t>
      </w:r>
      <w:r w:rsidRPr="00FC3250">
        <w:rPr>
          <w:rFonts w:ascii="Times New Roman" w:hAnsi="Times New Roman" w:cs="Times New Roman"/>
        </w:rPr>
        <w:t xml:space="preserve"> regime type, institutional performance, and executive ideological legitimation. </w:t>
      </w:r>
      <w:r w:rsidR="00AE75F3" w:rsidRPr="00FC3250">
        <w:rPr>
          <w:rFonts w:ascii="Times New Roman" w:hAnsi="Times New Roman" w:cs="Times New Roman"/>
        </w:rPr>
        <w:t>We classified regime type</w:t>
      </w:r>
      <w:r w:rsidRPr="00FC3250">
        <w:rPr>
          <w:rFonts w:ascii="Times New Roman" w:hAnsi="Times New Roman" w:cs="Times New Roman"/>
        </w:rPr>
        <w:t xml:space="preserve"> using the Regimes of the World index, which categorizes political systems along a continuum from Closed Autocracy to Liberal Democracy. </w:t>
      </w:r>
      <w:r w:rsidR="00AE75F3" w:rsidRPr="00FC3250">
        <w:rPr>
          <w:rFonts w:ascii="Times New Roman" w:hAnsi="Times New Roman" w:cs="Times New Roman"/>
        </w:rPr>
        <w:t>We captured institutional performance</w:t>
      </w:r>
      <w:r w:rsidRPr="00FC3250">
        <w:rPr>
          <w:rFonts w:ascii="Times New Roman" w:hAnsi="Times New Roman" w:cs="Times New Roman"/>
        </w:rPr>
        <w:t xml:space="preserve"> across four core dimensions: public goods provision, rule of law and legal predictability, state administrative capacity, and civil society space. </w:t>
      </w:r>
    </w:p>
    <w:p w14:paraId="2E602006" w14:textId="71A51864" w:rsidR="00325AB0" w:rsidRPr="00FC3250" w:rsidRDefault="00325AB0" w:rsidP="00AE75F3">
      <w:pPr>
        <w:spacing w:after="0" w:line="360" w:lineRule="auto"/>
        <w:jc w:val="both"/>
        <w:rPr>
          <w:rFonts w:ascii="Times New Roman" w:hAnsi="Times New Roman" w:cs="Times New Roman"/>
        </w:rPr>
      </w:pPr>
      <w:r w:rsidRPr="00FC3250">
        <w:rPr>
          <w:rFonts w:ascii="Times New Roman" w:hAnsi="Times New Roman" w:cs="Times New Roman"/>
        </w:rPr>
        <w:t>These indicators describe broader dimensions of institutional performance that may influence environmental governance, but do not directly measure environmental protection or enforcement. </w:t>
      </w:r>
      <w:r w:rsidR="00AE75F3" w:rsidRPr="00FC3250">
        <w:rPr>
          <w:rFonts w:ascii="Times New Roman" w:hAnsi="Times New Roman" w:cs="Times New Roman"/>
        </w:rPr>
        <w:t>We measure ideological orientation</w:t>
      </w:r>
      <w:r w:rsidRPr="00FC3250">
        <w:rPr>
          <w:rFonts w:ascii="Times New Roman" w:hAnsi="Times New Roman" w:cs="Times New Roman"/>
        </w:rPr>
        <w:t xml:space="preserve"> through executive discourse legitimation dimensions, covering nationalist, socialist/communist, conservative, autonomist, and religious narratives. </w:t>
      </w:r>
      <w:r w:rsidR="00AE75F3" w:rsidRPr="00FC3250">
        <w:rPr>
          <w:rFonts w:ascii="Times New Roman" w:hAnsi="Times New Roman" w:cs="Times New Roman"/>
        </w:rPr>
        <w:t>Because each presidential mandate spans multiple years, we aggregated annual data by averaging across the full</w:t>
      </w:r>
      <w:r w:rsidRPr="00FC3250">
        <w:rPr>
          <w:rFonts w:ascii="Times New Roman" w:hAnsi="Times New Roman" w:cs="Times New Roman"/>
        </w:rPr>
        <w:t xml:space="preserve"> duration of each government. </w:t>
      </w:r>
      <w:r w:rsidR="00AE75F3" w:rsidRPr="00FC3250">
        <w:rPr>
          <w:rFonts w:ascii="Times New Roman" w:hAnsi="Times New Roman" w:cs="Times New Roman"/>
        </w:rPr>
        <w:t>We characterized the predominant ideology using a deterministic criterion based on the aggregated average of each legitimation axis over the mandate's full duration</w:t>
      </w:r>
      <w:r w:rsidRPr="00FC3250">
        <w:rPr>
          <w:rFonts w:ascii="Times New Roman" w:hAnsi="Times New Roman" w:cs="Times New Roman"/>
        </w:rPr>
        <w:t>. The average values were rounded to one decimal place</w:t>
      </w:r>
      <w:r w:rsidR="00AE75F3" w:rsidRPr="00FC3250">
        <w:rPr>
          <w:rFonts w:ascii="Times New Roman" w:hAnsi="Times New Roman" w:cs="Times New Roman"/>
        </w:rPr>
        <w:t>; subsequently, a bias was considered predominant when its average reached or exceeded</w:t>
      </w:r>
      <w:r w:rsidRPr="00FC3250">
        <w:rPr>
          <w:rFonts w:ascii="Times New Roman" w:hAnsi="Times New Roman" w:cs="Times New Roman"/>
        </w:rPr>
        <w:t xml:space="preserve"> 0.5. This model </w:t>
      </w:r>
      <w:r w:rsidR="00AE75F3" w:rsidRPr="00FC3250">
        <w:rPr>
          <w:rFonts w:ascii="Times New Roman" w:hAnsi="Times New Roman" w:cs="Times New Roman"/>
        </w:rPr>
        <w:t>identified</w:t>
      </w:r>
      <w:r w:rsidRPr="00FC3250">
        <w:rPr>
          <w:rFonts w:ascii="Times New Roman" w:hAnsi="Times New Roman" w:cs="Times New Roman"/>
        </w:rPr>
        <w:t xml:space="preserve"> ideological overlaps, refining the classification between “pure and mixed” discourses. When only one legitimation axis met or exceeded the threshold, the executive's ideological discourse was </w:t>
      </w:r>
      <w:r w:rsidRPr="00FC3250">
        <w:rPr>
          <w:rFonts w:ascii="Times New Roman" w:hAnsi="Times New Roman" w:cs="Times New Roman"/>
        </w:rPr>
        <w:lastRenderedPageBreak/>
        <w:t xml:space="preserve">classified according to that single dominant narrative and considered a “Strict” ideological discourse (for example, Strict Left or Strict Right). Alternatively, when multiple legitimation discourses </w:t>
      </w:r>
      <w:r w:rsidR="00AE75F3" w:rsidRPr="00FC3250">
        <w:rPr>
          <w:rFonts w:ascii="Times New Roman" w:hAnsi="Times New Roman" w:cs="Times New Roman"/>
        </w:rPr>
        <w:t>met or exceeded the threshold simultaneously, the executive’s ideological discourse was classified as “Hybrid.”</w:t>
      </w:r>
      <w:r w:rsidRPr="00FC3250">
        <w:rPr>
          <w:rFonts w:ascii="Times New Roman" w:hAnsi="Times New Roman" w:cs="Times New Roman"/>
        </w:rPr>
        <w:t xml:space="preserve"> Governments that presented dominant discourses other than Socialist or Conservative (whether pure or mixed) were grouped into "Other Ideologies". Finally, mandates that </w:t>
      </w:r>
      <w:r w:rsidR="00AE75F3" w:rsidRPr="00FC3250">
        <w:rPr>
          <w:rFonts w:ascii="Times New Roman" w:hAnsi="Times New Roman" w:cs="Times New Roman"/>
        </w:rPr>
        <w:t>met or exceeded the threshold in any tested dimension formed</w:t>
      </w:r>
      <w:r w:rsidRPr="00FC3250">
        <w:rPr>
          <w:rFonts w:ascii="Times New Roman" w:hAnsi="Times New Roman" w:cs="Times New Roman"/>
        </w:rPr>
        <w:t xml:space="preserve"> the residual category "No Dominant Ideology". For recent </w:t>
      </w:r>
      <w:r w:rsidR="00AE75F3" w:rsidRPr="00FC3250">
        <w:rPr>
          <w:rFonts w:ascii="Times New Roman" w:hAnsi="Times New Roman" w:cs="Times New Roman"/>
        </w:rPr>
        <w:t>executives’ mandates, specifically Javier Milei (Argentina), Daniel Noboa (Ecuador), Bernardo Arévalo (Guatemala), and Claudia Sheinbaum (Mexico), the V-Dem database version used did not include consolidated data for calculating</w:t>
      </w:r>
      <w:r w:rsidRPr="00FC3250">
        <w:rPr>
          <w:rFonts w:ascii="Times New Roman" w:hAnsi="Times New Roman" w:cs="Times New Roman"/>
        </w:rPr>
        <w:t xml:space="preserve"> ideological legitimation. Thus, to enable comparative analysis, the ideological roots of these four leaders </w:t>
      </w:r>
      <w:r w:rsidR="00AE75F3" w:rsidRPr="00FC3250">
        <w:rPr>
          <w:rFonts w:ascii="Times New Roman" w:hAnsi="Times New Roman" w:cs="Times New Roman"/>
        </w:rPr>
        <w:t>were</w:t>
      </w:r>
      <w:r w:rsidRPr="00FC3250">
        <w:rPr>
          <w:rFonts w:ascii="Times New Roman" w:hAnsi="Times New Roman" w:cs="Times New Roman"/>
        </w:rPr>
        <w:t xml:space="preserve"> classified separately using political literature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{"citationID":"FvQGoDiZ","properties":{"unsorted":false,"formattedCitation":"(Heinisch et al., 2024; Lasso and Venegas, 2025; Schwartz, 2024; Sep\\uc0\\u250{}lveda, 2026)","plainCitation":"(Heinisch et al., 2024; Lasso and Venegas, 2025; Schwartz, 2024; Sepúlveda, 2026)","noteIndex":0},"citationItems":[{"id":10566,"uris":["http://zotero.org/users/6187058/items/HPNE4GDT"],"itemData":{"id":10566,"type":"article-journal","abstract":"This study seeks to understand the political discourse of Javier Milei and to determine which concept of populism best captures his approach. Although perceived by many as a populist, Milei is unusual in that he sees himself as a liberal libertarian and defender of the West against collectivist policies. To this end, this study analyzes selected speeches by Milei from three different periods during and after the 2024 presidential election campaign and applies a deductive coding scheme designed to identify ideational populism, populist discursive framing, populism as strategy, and populism as crisis performance. The analysis confirms that Milei is at best a partial populist, as he fails to define the core populist concept of “the people”. It concludes that the concept of crisis performance emerges as the most apt theoretical framework to classify Milei’s type of populism. By rhetorically transforming the crisis not only into an existential economic issue but also into a moral tale of corruption and failure at the highest levels, he can appeal for radical change and offer himself as the national political savior. Milei’s discourse also illustrates that, unlike ideological populism or discursive populist framing, in the performative turn, the victims of the crisis, the people, often remain a vague signifier defined by their suffering at the hands of elites.","container-title":"Social Sciences","DOI":"10.3390/socsci13110599","ISSN":"2076-0760","issue":"11","journalAbbreviation":"Social Sciences","language":"en","page":"599","source":"DOI.org (Crossref)","title":"Libertarian Populism? Making Sense of Javier Milei’s Political Discourse","title-short":"Libertarian Populism?","volume":"13","author":[{"family":"Heinisch","given":"Reinhard"},{"family":"Gracia","given":"Oscar"},{"family":"Laguna-Tapia","given":"Andrés"},{"family":"Muriel","given":"Claudia"}],"issued":{"date-parts":[["2024",11,4]]}}},{"id":10568,"uris":["http://zotero.org/users/6187058/items/D42SIM4U"],"itemData":{"id":10568,"type":"article-journal","container-title":"NACLA Report on the Americas","DOI":"10.1080/10714839.2025.2507992","ISSN":"1071-4839, 2471-2620","issue":"2","journalAbbreviation":"NACLA Report on the Americas","language":"en","page":"130-135","source":"DOI.org (Crossref)","title":"An Ecofeminist Perspective on Ecuador ’s Elections: Noboa’s victory consolidates a far-right regime that is misogynist, extractivist, and submissive to imperial power.","title-short":"An Ecofeminist Perspective on Ecuador ’s Elections","volume":"57","author":[{"family":"Lasso","given":"Geovanna"},{"family":"Venegas","given":"Melissa Moreano"}],"issued":{"date-parts":[["2025",4,3]]}}},{"id":10570,"uris":["http://zotero.org/users/6187058/items/UHELCUD6"],"itemData":{"id":10570,"type":"article-journal","abstract":"Guatemala’s 2023 was defined by the year’s most stunning and tumultuous election in all Latin America. After his shocking second-place finish in the first round, little-known anti-corruption candidate Bernardo Arévalo of the young Movimiento Semilla party won the presidency. Following years of increasing democratic decline and a vicious lawfare campaign against regime opponents, the 2023 election, which was meant to further bolster authoritarianism, became a democratic breakthrough. This article takes stock of the 2023 electoral cycle, analyzing the social, political, and international factors favorable for authoritarian consolidation alongside the surprising dynamics of democratic resilience. Guatemala’s recent anti-democratic slide was spurred not by executive aggrandizement but by prosecutorial and judicial entities on a political mission and intent on using legal instruments to criminalize dissent. However, through a combination of divisions in the ruling coalition, momentum from prior anti-corruption mobilization, and robust international backing, actors from below, namely indigenous communities and the broad-based opposition movement cultivated by Semilla, saved Guatemalan democracy. In so doing, they carved a path toward political renewal that few could have imagined a year earlier, though its promises remain fragile and uncertain.","container-title":"Revista de ciencia política (Santiago)","DOI":"10.4067/s0718-090x2024005000105","ISSN":"0718-090X","issue":"ahead","journalAbbreviation":"Rev. cienc. polít. (Santiago)","language":"en","source":"DOI.org (Crossref)","title":"Guatemala 2023: from authoritarian deepening to democratic resurgence","title-short":"GUATEMALA 2023","URL":"http://www.scielo.cl/scielo.php?script=sci_arttext&amp;pid=S0718-090X2024005000105&amp;lng=en&amp;nrm=iso&amp;tlng=en","author":[{"family":"Schwartz","given":"Rachel A"}],"accessed":{"date-parts":[["2026",10,11]]},"issued":{"date-parts":[["2024"]]}}},{"id":10572,"uris":["http://zotero.org/users/6187058/items/URAZSFZH"],"itemData":{"id":10572,"type":"article-journal","issue":"12","language":"es","source":"Zotero","title":"Cargas ideológicas: Comunicación política y propaganda en el gobierno de Claudia Sheinbaum desde la gestión ambiental","author":[{"family":"Sepúlveda","given":"Fernando Melgoza"}],"issued":{"date-parts":[["2026"]]}}}],"schema":"https://github.com/citation-style-language/schema/raw/master/csl-citation.json"}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kern w:val="0"/>
        </w:rPr>
        <w:t>(Heinisch et al., 2024; Lasso and Venegas, 2025; Schwartz, 2024; Sepúlveda, 2026)</w:t>
      </w:r>
      <w:r w:rsidRPr="00FC3250">
        <w:rPr>
          <w:rFonts w:ascii="Times New Roman" w:hAnsi="Times New Roman" w:cs="Times New Roman"/>
        </w:rPr>
        <w:fldChar w:fldCharType="end"/>
      </w:r>
      <w:r w:rsidRPr="00FC3250">
        <w:rPr>
          <w:rFonts w:ascii="Times New Roman" w:hAnsi="Times New Roman" w:cs="Times New Roman"/>
        </w:rPr>
        <w:t xml:space="preserve">. </w:t>
      </w:r>
      <w:r w:rsidR="00AE75F3" w:rsidRPr="00FC3250">
        <w:rPr>
          <w:rFonts w:ascii="Times New Roman" w:hAnsi="Times New Roman" w:cs="Times New Roman"/>
        </w:rPr>
        <w:t>We assigned the categories "Conservative" or "Socialist" based on the broad consensus in contemporary regional political literature</w:t>
      </w:r>
      <w:r w:rsidRPr="00FC3250">
        <w:rPr>
          <w:rFonts w:ascii="Times New Roman" w:hAnsi="Times New Roman" w:cs="Times New Roman"/>
        </w:rPr>
        <w:t>, replacing the automatic null classification.</w:t>
      </w:r>
    </w:p>
    <w:p w14:paraId="38B9542E" w14:textId="1D48CB08" w:rsidR="00325AB0" w:rsidRPr="00FC3250" w:rsidRDefault="00325AB0" w:rsidP="00AE75F3">
      <w:pPr>
        <w:spacing w:after="0" w:line="360" w:lineRule="auto"/>
        <w:jc w:val="both"/>
        <w:rPr>
          <w:rFonts w:ascii="Times New Roman" w:hAnsi="Times New Roman" w:cs="Times New Roman"/>
        </w:rPr>
      </w:pPr>
      <w:r w:rsidRPr="00FC3250">
        <w:rPr>
          <w:rFonts w:ascii="Times New Roman" w:hAnsi="Times New Roman" w:cs="Times New Roman"/>
        </w:rPr>
        <w:t xml:space="preserve">The final stage of data preparation </w:t>
      </w:r>
      <w:r w:rsidR="00AE75F3" w:rsidRPr="00FC3250">
        <w:rPr>
          <w:rFonts w:ascii="Times New Roman" w:hAnsi="Times New Roman" w:cs="Times New Roman"/>
        </w:rPr>
        <w:t>involved normalizing performance variables and sorting the</w:t>
      </w:r>
      <w:r w:rsidRPr="00FC3250">
        <w:rPr>
          <w:rFonts w:ascii="Times New Roman" w:hAnsi="Times New Roman" w:cs="Times New Roman"/>
        </w:rPr>
        <w:t xml:space="preserve"> data. The variables </w:t>
      </w:r>
      <w:r w:rsidR="00AE75F3" w:rsidRPr="00FC3250">
        <w:rPr>
          <w:rFonts w:ascii="Times New Roman" w:hAnsi="Times New Roman" w:cs="Times New Roman"/>
        </w:rPr>
        <w:t>on public goods provision, law enforcement, and state capacity, whose original standardized ordinal scales (OSP) theoretically range from 0 to 4, were rescaled to a continuous interval from 0 to 1 to match</w:t>
      </w:r>
      <w:r w:rsidRPr="00FC3250">
        <w:rPr>
          <w:rFonts w:ascii="Times New Roman" w:hAnsi="Times New Roman" w:cs="Times New Roman"/>
        </w:rPr>
        <w:t xml:space="preserve"> the civil society indicator. The governments were hierarchically ordered in the database prioritizing, in descending order, the alphabetical order of the countries and the chronology of the mandate. </w:t>
      </w:r>
    </w:p>
    <w:p w14:paraId="00A342D3" w14:textId="77777777" w:rsidR="00AE75F3" w:rsidRPr="00FC3250" w:rsidRDefault="00AE75F3" w:rsidP="00AE75F3">
      <w:pPr>
        <w:spacing w:after="0" w:line="360" w:lineRule="auto"/>
        <w:jc w:val="both"/>
        <w:rPr>
          <w:rFonts w:ascii="Times New Roman" w:hAnsi="Times New Roman" w:cs="Times New Roman"/>
          <w:b/>
          <w:bCs/>
        </w:rPr>
      </w:pPr>
    </w:p>
    <w:p w14:paraId="336943BE" w14:textId="762EE8BB" w:rsidR="00AE75F3" w:rsidRPr="00FC3250" w:rsidRDefault="00AE75F3" w:rsidP="00AE75F3">
      <w:pPr>
        <w:spacing w:after="0" w:line="360" w:lineRule="auto"/>
        <w:jc w:val="both"/>
        <w:rPr>
          <w:rFonts w:ascii="Times New Roman" w:hAnsi="Times New Roman" w:cs="Times New Roman"/>
          <w:i/>
          <w:iCs/>
        </w:rPr>
      </w:pPr>
      <w:r w:rsidRPr="00FC3250">
        <w:rPr>
          <w:rFonts w:ascii="Times New Roman" w:hAnsi="Times New Roman" w:cs="Times New Roman"/>
          <w:b/>
          <w:bCs/>
          <w:i/>
          <w:iCs/>
        </w:rPr>
        <w:t>Temporal Dynamics and Multidimensional Analysis</w:t>
      </w:r>
    </w:p>
    <w:p w14:paraId="68589242" w14:textId="5024B9AB" w:rsidR="00AE75F3" w:rsidRPr="00FC3250" w:rsidRDefault="00AE75F3" w:rsidP="00AE75F3">
      <w:pPr>
        <w:spacing w:after="0" w:line="360" w:lineRule="auto"/>
        <w:jc w:val="both"/>
        <w:rPr>
          <w:rFonts w:ascii="Times New Roman" w:hAnsi="Times New Roman" w:cs="Times New Roman"/>
        </w:rPr>
      </w:pPr>
      <w:r w:rsidRPr="00FC3250">
        <w:rPr>
          <w:rFonts w:ascii="Times New Roman" w:hAnsi="Times New Roman" w:cs="Times New Roman"/>
        </w:rPr>
        <w:t xml:space="preserve">To assess the relationship between natural climate fluctuations and fire occurrence between 2001 and 2023, the total burned area, extracted from spatial data in Collection 8 of the MapBiomas Project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{"citationID":"G0ULuWxw","properties":{"unsorted":false,"formattedCitation":"(MAPBIOMAS, 2026)","plainCitation":"(MAPBIOMAS, 2026)","noteIndex":0},"citationItems":[{"id":10540,"uris":["http://zotero.org/users/6187058/items/9LU9LWW8"],"itemData":{"id":10540,"type":"software","title":"Projeto MapBiomas - Coleção 8 da Série Anual de Mapas de Cicatrizes de Fogo do Brasil.","URL":"https://mapbiomas.org","author":[{"family":"MAPBIOMAS","given":""}],"accessed":{"date-parts":[["2026",10,9]]},"issued":{"date-parts":[["2026"]]}}}],"schema":"https://github.com/citation-style-language/schema/raw/master/csl-citation.json"}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(MAPBIOMAS, 2026)</w:t>
      </w:r>
      <w:r w:rsidRPr="00FC3250">
        <w:rPr>
          <w:rFonts w:ascii="Times New Roman" w:hAnsi="Times New Roman" w:cs="Times New Roman"/>
        </w:rPr>
        <w:fldChar w:fldCharType="end"/>
      </w:r>
      <w:r w:rsidRPr="00FC3250">
        <w:rPr>
          <w:rFonts w:ascii="Times New Roman" w:hAnsi="Times New Roman" w:cs="Times New Roman"/>
        </w:rPr>
        <w:t xml:space="preserve"> </w:t>
      </w:r>
      <w:r w:rsidRPr="00FC3250">
        <w:rPr>
          <w:rFonts w:ascii="Times New Roman" w:hAnsi="Times New Roman" w:cs="Times New Roman"/>
        </w:rPr>
        <w:t xml:space="preserve">was cross-referenced with the Oceanic Niño Index (ONI). Historical data for this climate index were obtained from the Climate Prediction </w:t>
      </w:r>
      <w:proofErr w:type="spellStart"/>
      <w:r w:rsidRPr="00FC3250">
        <w:rPr>
          <w:rFonts w:ascii="Times New Roman" w:hAnsi="Times New Roman" w:cs="Times New Roman"/>
        </w:rPr>
        <w:t>Center</w:t>
      </w:r>
      <w:proofErr w:type="spellEnd"/>
      <w:r w:rsidRPr="00FC3250">
        <w:rPr>
          <w:rFonts w:ascii="Times New Roman" w:hAnsi="Times New Roman" w:cs="Times New Roman"/>
        </w:rPr>
        <w:t xml:space="preserve"> of the National Oceanic and Atmospheric Administration (NOAA) through automated extraction in the R environment using the </w:t>
      </w:r>
      <w:proofErr w:type="spellStart"/>
      <w:r w:rsidRPr="00FC3250">
        <w:rPr>
          <w:rFonts w:ascii="Times New Roman" w:hAnsi="Times New Roman" w:cs="Times New Roman"/>
          <w:i/>
          <w:iCs/>
        </w:rPr>
        <w:t>rsoi</w:t>
      </w:r>
      <w:proofErr w:type="spellEnd"/>
      <w:r w:rsidRPr="00FC3250">
        <w:rPr>
          <w:rFonts w:ascii="Times New Roman" w:hAnsi="Times New Roman" w:cs="Times New Roman"/>
        </w:rPr>
        <w:t xml:space="preserve"> package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{"citationID":"PmnbvJ0T","properties":{"unsorted":false,"formattedCitation":"(Albers, 2020; R Core Team, 2022)","plainCitation":"(Albers, 2020; R Core Team, 2022)","noteIndex":0},"citationItems":[{"id":10589,"uris":["http://zotero.org/users/6187058/items/DAF4GBBE"],"itemData":{"id":10589,"type":"software","DOI":"https://CRAN.R-project.org/package=rsoi","title":"rsoi: Import Various Northern and Southern Hemisphere Climate Indices","version":"R package version 0.5.3","author":[{"family":"Albers","given":"Sam"}],"issued":{"date-parts":[["2020"]]}}},{"id":63,"uris":["http://zotero.org/users/6187058/items/5VRA765B"],"itemData":{"id":63,"type":"software","publisher":"R Foundation for Statistical Computing","publisher-place":"Vienna, Austria","title":"R: A Language and Environment for Statistical Computing","version":"4.2.1","author":[{"family":"R Core Team","given":""}],"issued":{"date-parts":[["2022"]]}}}],"schema":"https://github.com/citation-style-language/schema/raw/master/csl-citation.json"}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(Albers, 2020; R Core Team, 2022)</w:t>
      </w:r>
      <w:r w:rsidRPr="00FC3250">
        <w:rPr>
          <w:rFonts w:ascii="Times New Roman" w:hAnsi="Times New Roman" w:cs="Times New Roman"/>
        </w:rPr>
        <w:fldChar w:fldCharType="end"/>
      </w:r>
      <w:r w:rsidRPr="00FC3250">
        <w:rPr>
          <w:rFonts w:ascii="Times New Roman" w:hAnsi="Times New Roman" w:cs="Times New Roman"/>
        </w:rPr>
        <w:t>.</w:t>
      </w:r>
      <w:r w:rsidRPr="00FC3250">
        <w:rPr>
          <w:rFonts w:ascii="Times New Roman" w:hAnsi="Times New Roman" w:cs="Times New Roman"/>
        </w:rPr>
        <w:t xml:space="preserve"> The inclusion of this thermal metric aims to isolate the influence of severe El Niño events, which are historically associated with precipitation deficits in the region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{"citationID":"FYCWaxXS","properties":{"unsorted":false,"formattedCitation":"(Mataveli et al., 2021)","plainCitation":"(Mataveli et al., 2021)","noteIndex":0},"citationItems":[{"id":3148,"uris":["http://zotero.org/users/6187058/items/STJ648TR"],"itemData":{"id":3148,"type":"article-journal","container-title":"Perspectives in Ecology and Conservation","DOI":"10.1016/j.pecon.2021.01.002","ISSN":"25300644","issue":"1","journalAbbreviation":"Perspectives in Ecology and Conservation","language":"en","page":"33-36","source":"DOI.org (Crossref)","title":"The emergence of a new deforestation hotspot in Amazonia","volume":"19","author":[{"family":"Mataveli","given":"Guilherme A.V."},{"family":"Chaves","given":"Michel E.D."},{"family":"Brunsell","given":"Nathaniel A."},{"family":"Aragão","given":"Luiz E.O.C."}],"issued":{"date-parts":[["2021",1]]}}}],"schema":"https://github.com/citation-style-language/schema/raw/master/csl-citation.json"}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w:t>
      </w:r>
      <w:proofErr w:type="spellStart"/>
      <w:r w:rsidRPr="00FC3250">
        <w:rPr>
          <w:rFonts w:ascii="Times New Roman" w:hAnsi="Times New Roman" w:cs="Times New Roman"/>
        </w:rPr>
        <w:t>Mataveli</w:t>
      </w:r>
      <w:proofErr w:type="spellEnd"/>
      <w:r w:rsidRPr="00FC3250">
        <w:rPr>
          <w:rFonts w:ascii="Times New Roman" w:hAnsi="Times New Roman" w:cs="Times New Roman"/>
        </w:rPr>
        <w:t xml:space="preserve"> et al., 2021)</w:t>
      </w:r>
      <w:r w:rsidRPr="00FC3250">
        <w:rPr>
          <w:rFonts w:ascii="Times New Roman" w:hAnsi="Times New Roman" w:cs="Times New Roman"/>
        </w:rPr>
        <w:fldChar w:fldCharType="end"/>
      </w:r>
      <w:r w:rsidRPr="00FC3250">
        <w:rPr>
          <w:rFonts w:ascii="Times New Roman" w:hAnsi="Times New Roman" w:cs="Times New Roman"/>
        </w:rPr>
        <w:t>.</w:t>
      </w:r>
    </w:p>
    <w:p w14:paraId="3CC3CEEF" w14:textId="6CEE90AA" w:rsidR="00AE75F3" w:rsidRPr="00FC3250" w:rsidRDefault="00AE75F3" w:rsidP="00AE75F3">
      <w:pPr>
        <w:spacing w:after="0" w:line="360" w:lineRule="auto"/>
        <w:jc w:val="both"/>
        <w:rPr>
          <w:rFonts w:ascii="Times New Roman" w:hAnsi="Times New Roman" w:cs="Times New Roman"/>
        </w:rPr>
      </w:pPr>
      <w:r w:rsidRPr="00FC3250">
        <w:rPr>
          <w:rFonts w:ascii="Times New Roman" w:hAnsi="Times New Roman" w:cs="Times New Roman"/>
        </w:rPr>
        <w:lastRenderedPageBreak/>
        <w:t>We evaluated institutional performance</w:t>
      </w:r>
      <w:r w:rsidRPr="00FC3250">
        <w:rPr>
          <w:rFonts w:ascii="Times New Roman" w:hAnsi="Times New Roman" w:cs="Times New Roman"/>
        </w:rPr>
        <w:t xml:space="preserve"> using the Rule of Law Index (variable v2cltrnslw_osp) from the Varieties of Democracy database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{"citationID":"jKDKTBSb","properties":{"unsorted":false,"formattedCitation":"(Coppedge, 2026)","plainCitation":"(Coppedge, 2026)","noteIndex":0},"citationItems":[{"id":10565,"uris":["http://zotero.org/users/6187058/items/NLWQRCVG"],"itemData":{"id":10565,"type":"dataset","DOI":"10.23696/VDEMDS26","publisher":"Varieties of Democracy (V-Dem) Project","source":"DOI.org (Datacite)","title":"V-Dem Dataset v16","URL":"https://v-dem.net/data/dataset-archive/","author":[{"family":"Coppedge","given":"Michael"}],"accessed":{"date-parts":[["2026",10,11]]},"issued":{"date-parts":[["2026"]]}}}],"schema":"https://github.com/citation-style-language/schema/raw/master/csl-citation.json"}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(Coppedge, 2026)</w:t>
      </w:r>
      <w:r w:rsidRPr="00FC3250">
        <w:rPr>
          <w:rFonts w:ascii="Times New Roman" w:hAnsi="Times New Roman" w:cs="Times New Roman"/>
        </w:rPr>
        <w:fldChar w:fldCharType="end"/>
      </w:r>
      <w:r w:rsidRPr="00FC3250">
        <w:rPr>
          <w:rFonts w:ascii="Times New Roman" w:hAnsi="Times New Roman" w:cs="Times New Roman"/>
        </w:rPr>
        <w:t xml:space="preserve">. The use of this indicator is supported by the ecological governance literature, which correlates the weakening of the rule of law, impunity, and the loss of institutional capacity with an increase in environmental crimes, including deforestation and illegal ignitions linked to land grabbing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{"citationID":"VzHfOhfG","properties":{"unsorted":false,"formattedCitation":"(B\\uc0\\u246{}rner et al., 2014; Pellegrini and Gerlagh, 2006)","plainCitation":"(Börner et al., 2014; Pellegrini and Gerlagh, 2006)","noteIndex":0},"citationItems":[{"id":10587,"uris":["http://zotero.org/users/6187058/items/2MQJCRN9"],"itemData":{"id":10587,"type":"article-journal","container-title":"Global Environmental Change","DOI":"10.1016/j.gloenvcha.2014.04.021","ISSN":"09593780","journalAbbreviation":"Global Environmental Change","language":"en","page":"294-305","source":"DOI.org (Crossref)","title":"Forest law enforcement in the Brazilian Amazon: Costs and income effects","title-short":"Forest law enforcement in the Brazilian Amazon","volume":"29","author":[{"family":"Börner","given":"J."},{"family":"Wunder","given":"S."},{"family":"Wertz-Kanounnikoff","given":"S."},{"family":"Hyman","given":"G."},{"family":"Nascimento","given":"N."}],"issued":{"date-parts":[["2014",11]]}}},{"id":10588,"uris":["http://zotero.org/users/6187058/items/KER7BZBL"],"itemData":{"id":10588,"type":"article-journal","abstract":"Theoretical and empirical studies have shown that democracy and corruption influence environmental policies. In this article, the authors empirically analyze the relative importance of these determinants of environmental policy. When these variables are jointly included as explanatory variables in a multiple regression analysis, the authors found that corruption stands out as a substantial and significant determinant of environmental policies, while proxies for democracy have an insignificant impact. Nevertheless, democracy could affect environmental policy stringency given that countries with a history of democratic rule tend to be less corrupted. The authors argue that improving environmental quality following increasing income is less probable in developing countries with institutional disarray. Finally, and more optimistically, when considering the results in the context of institutions and growth, the authors conclude that there is scope for reaping a double dividend, when institutional improvements and reductions in corruption induce higher economic growth rates and stricter environmental policies.","container-title":"The Journal of Environment &amp; Development","DOI":"10.1177/1070496506290960","ISSN":"1070-4965, 1552-5465","issue":"3","journalAbbreviation":"The Journal of Environment &amp; Development","language":"en","license":"https://journals.sagepub.com/page/policies/text-and-data-mining-license","page":"332-354","source":"DOI.org (Crossref)","title":"Corruption, Democracy, and Environmental Policy: An Empirical Contribution to the Debate","title-short":"Corruption, Democracy, and Environmental Policy","volume":"15","author":[{"family":"Pellegrini","given":"Lorenzo"},{"family":"Gerlagh","given":"Reyer"}],"issued":{"date-parts":[["2006",9]]}}}],"schema":"https://github.com/citation-style-language/schema/raw/master/csl-citation.json"}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kern w:val="0"/>
        </w:rPr>
        <w:t xml:space="preserve">(Börner et al., 2014; Pellegrini and </w:t>
      </w:r>
      <w:proofErr w:type="spellStart"/>
      <w:r w:rsidRPr="00FC3250">
        <w:rPr>
          <w:rFonts w:ascii="Times New Roman" w:hAnsi="Times New Roman" w:cs="Times New Roman"/>
          <w:kern w:val="0"/>
        </w:rPr>
        <w:t>Gerlagh</w:t>
      </w:r>
      <w:proofErr w:type="spellEnd"/>
      <w:r w:rsidRPr="00FC3250">
        <w:rPr>
          <w:rFonts w:ascii="Times New Roman" w:hAnsi="Times New Roman" w:cs="Times New Roman"/>
          <w:kern w:val="0"/>
        </w:rPr>
        <w:t>, 2006)</w:t>
      </w:r>
      <w:r w:rsidRPr="00FC3250">
        <w:rPr>
          <w:rFonts w:ascii="Times New Roman" w:hAnsi="Times New Roman" w:cs="Times New Roman"/>
        </w:rPr>
        <w:fldChar w:fldCharType="end"/>
      </w:r>
      <w:r w:rsidRPr="00FC3250">
        <w:rPr>
          <w:rFonts w:ascii="Times New Roman" w:hAnsi="Times New Roman" w:cs="Times New Roman"/>
        </w:rPr>
        <w:t xml:space="preserve">. </w:t>
      </w:r>
      <w:r w:rsidRPr="00FC3250">
        <w:rPr>
          <w:rFonts w:ascii="Times New Roman" w:hAnsi="Times New Roman" w:cs="Times New Roman"/>
        </w:rPr>
        <w:t xml:space="preserve">The </w:t>
      </w:r>
      <w:r w:rsidRPr="00FC3250">
        <w:rPr>
          <w:rFonts w:ascii="Times New Roman" w:hAnsi="Times New Roman" w:cs="Times New Roman"/>
        </w:rPr>
        <w:t>index's absolute and disaggregated scores were used</w:t>
      </w:r>
      <w:r w:rsidRPr="00FC3250">
        <w:rPr>
          <w:rFonts w:ascii="Times New Roman" w:hAnsi="Times New Roman" w:cs="Times New Roman"/>
        </w:rPr>
        <w:t xml:space="preserve">. </w:t>
      </w:r>
      <w:r w:rsidRPr="00FC3250">
        <w:rPr>
          <w:rFonts w:ascii="Times New Roman" w:hAnsi="Times New Roman" w:cs="Times New Roman"/>
        </w:rPr>
        <w:t>Not applying</w:t>
      </w:r>
      <w:r w:rsidRPr="00FC3250">
        <w:rPr>
          <w:rFonts w:ascii="Times New Roman" w:hAnsi="Times New Roman" w:cs="Times New Roman"/>
        </w:rPr>
        <w:t xml:space="preserve"> averages or composite indices preserves the integrity of the analysis and avoids statistical bias that could mask the retraction of specific state capacities and the inaction of command and control during political dismantling processes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{"citationID":"Ja7aemVq","properties":{"unsorted":false,"formattedCitation":"(Bermeo, 2016)","plainCitation":"(Bermeo, 2016)","noteIndex":0},"citationItems":[{"id":10403,"uris":["http://zotero.org/users/6187058/items/NWFXVZYJ"],"itemData":{"id":10403,"type":"article-journal","abstract":"Democratic backsliding (meaning the state-led debilitation or elimination of the political institutions sustaining an existing democracy) has changed dramatically since the Cold War. Open-ended coups d’état, executive coups, and blatant election-day vote fraud are declining while promissory coups, executive aggrandizement and strategic electoral manipulation and harassment are increasing. Contemporary forms of backsliding are especially vexing because they are legitimated by the very institutions democracy promoters prioritize but, overall, backsliding today reflects democracy’s advance and not its retreat. The current mix of backsliding is more easily reversible than the past mix and successor dictatorships are shorter-lived and less authoritarian.","container-title":"Journal of Democracy","DOI":"10.1353/jod.2016.0012","ISSN":"1086-3214","issue":"1","journalAbbreviation":"jod","language":"en","page":"5-19","source":"DOI.org (Crossref)","title":"On Democratic Backsliding","volume":"27","author":[{"family":"Bermeo","given":"Nancy"}],"issued":{"date-parts":[["2016",1]]}}}],"schema":"https://github.com/citation-style-language/schema/raw/master/csl-citation.json"}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(Bermeo, 2016)</w:t>
      </w:r>
      <w:r w:rsidRPr="00FC3250">
        <w:rPr>
          <w:rFonts w:ascii="Times New Roman" w:hAnsi="Times New Roman" w:cs="Times New Roman"/>
        </w:rPr>
        <w:fldChar w:fldCharType="end"/>
      </w:r>
      <w:r w:rsidRPr="00FC3250">
        <w:rPr>
          <w:rFonts w:ascii="Times New Roman" w:hAnsi="Times New Roman" w:cs="Times New Roman"/>
        </w:rPr>
        <w:t>.</w:t>
      </w:r>
    </w:p>
    <w:p w14:paraId="3CB47A40" w14:textId="77777777" w:rsidR="00AE75F3" w:rsidRPr="00FC3250" w:rsidRDefault="00AE75F3" w:rsidP="00AE75F3">
      <w:pPr>
        <w:spacing w:after="0" w:line="360" w:lineRule="auto"/>
        <w:jc w:val="both"/>
        <w:rPr>
          <w:rFonts w:ascii="Times New Roman" w:hAnsi="Times New Roman" w:cs="Times New Roman"/>
          <w:b/>
          <w:bCs/>
        </w:rPr>
      </w:pPr>
    </w:p>
    <w:p w14:paraId="1518C8D6" w14:textId="3C34483B" w:rsidR="00AE75F3" w:rsidRPr="00FC3250" w:rsidRDefault="00AE75F3" w:rsidP="00AE75F3">
      <w:pPr>
        <w:spacing w:after="0" w:line="360" w:lineRule="auto"/>
        <w:jc w:val="both"/>
        <w:rPr>
          <w:rFonts w:ascii="Times New Roman" w:hAnsi="Times New Roman" w:cs="Times New Roman"/>
          <w:i/>
          <w:iCs/>
        </w:rPr>
      </w:pPr>
      <w:r w:rsidRPr="00FC3250">
        <w:rPr>
          <w:rFonts w:ascii="Times New Roman" w:hAnsi="Times New Roman" w:cs="Times New Roman"/>
          <w:b/>
          <w:bCs/>
          <w:i/>
          <w:iCs/>
        </w:rPr>
        <w:t>Spatial and Proportional Distribution of Fire Scars</w:t>
      </w:r>
    </w:p>
    <w:p w14:paraId="72DD850B" w14:textId="40F26B77" w:rsidR="00AE75F3" w:rsidRPr="00FC3250" w:rsidRDefault="00AE75F3" w:rsidP="00AE75F3">
      <w:pPr>
        <w:spacing w:after="0" w:line="360" w:lineRule="auto"/>
        <w:jc w:val="both"/>
        <w:rPr>
          <w:rFonts w:ascii="Times New Roman" w:hAnsi="Times New Roman" w:cs="Times New Roman"/>
        </w:rPr>
      </w:pPr>
      <w:r w:rsidRPr="00FC3250">
        <w:rPr>
          <w:rFonts w:ascii="Times New Roman" w:hAnsi="Times New Roman" w:cs="Times New Roman"/>
        </w:rPr>
        <w:t xml:space="preserve">Data regarding the geometry and extent of burned area polygons (2015-2023) were extracted from Collection 8 of the MapBiomas Project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{"citationID":"U1mNW95N","properties":{"unsorted":false,"formattedCitation":"(MAPBIOMAS, 2026)","plainCitation":"(MAPBIOMAS, 2026)","noteIndex":0},"citationItems":[{"id":10540,"uris":["http://zotero.org/users/6187058/items/9LU9LWW8"],"itemData":{"id":10540,"type":"software","title":"Projeto MapBiomas - Coleção 8 da Série Anual de Mapas de Cicatrizes de Fogo do Brasil.","URL":"https://mapbiomas.org","author":[{"family":"MAPBIOMAS","given":""}],"accessed":{"date-parts":[["2026",10,9]]},"issued":{"date-parts":[["2026"]]}}}],"schema":"https://github.com/citation-style-language/schema/raw/master/csl-citation.json"}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(MAPBIOMAS, 2026)</w:t>
      </w:r>
      <w:r w:rsidRPr="00FC3250">
        <w:rPr>
          <w:rFonts w:ascii="Times New Roman" w:hAnsi="Times New Roman" w:cs="Times New Roman"/>
        </w:rPr>
        <w:fldChar w:fldCharType="end"/>
      </w:r>
      <w:r w:rsidRPr="00FC3250">
        <w:rPr>
          <w:rFonts w:ascii="Times New Roman" w:hAnsi="Times New Roman" w:cs="Times New Roman"/>
        </w:rPr>
        <w:t xml:space="preserve">. For this analysis, </w:t>
      </w:r>
      <w:r w:rsidRPr="00FC3250">
        <w:rPr>
          <w:rFonts w:ascii="Times New Roman" w:hAnsi="Times New Roman" w:cs="Times New Roman"/>
        </w:rPr>
        <w:t xml:space="preserve">we recategorized the platform's original scar size classes into </w:t>
      </w:r>
      <w:proofErr w:type="gramStart"/>
      <w:r w:rsidRPr="00FC3250">
        <w:rPr>
          <w:rFonts w:ascii="Times New Roman" w:hAnsi="Times New Roman" w:cs="Times New Roman"/>
        </w:rPr>
        <w:t xml:space="preserve">three </w:t>
      </w:r>
      <w:r w:rsidRPr="00FC3250">
        <w:rPr>
          <w:rFonts w:ascii="Times New Roman" w:hAnsi="Times New Roman" w:cs="Times New Roman"/>
        </w:rPr>
        <w:t>dimensional</w:t>
      </w:r>
      <w:proofErr w:type="gramEnd"/>
      <w:r w:rsidRPr="00FC3250">
        <w:rPr>
          <w:rFonts w:ascii="Times New Roman" w:hAnsi="Times New Roman" w:cs="Times New Roman"/>
        </w:rPr>
        <w:t xml:space="preserve"> limits: up to 50 hectares, 50 to 500 hectares, and greater than 500 hectares.</w:t>
      </w:r>
    </w:p>
    <w:p w14:paraId="3745E5E4" w14:textId="60B49128" w:rsidR="00AE75F3" w:rsidRPr="00FC3250" w:rsidRDefault="00AE75F3" w:rsidP="00AE75F3">
      <w:pPr>
        <w:spacing w:after="0" w:line="360" w:lineRule="auto"/>
        <w:jc w:val="both"/>
        <w:rPr>
          <w:rFonts w:ascii="Times New Roman" w:hAnsi="Times New Roman" w:cs="Times New Roman"/>
        </w:rPr>
      </w:pPr>
      <w:r w:rsidRPr="00FC3250">
        <w:rPr>
          <w:rFonts w:ascii="Times New Roman" w:hAnsi="Times New Roman" w:cs="Times New Roman"/>
        </w:rPr>
        <w:t xml:space="preserve">This recategorization follows the theoretical distinction between logistical and economic ignition profiles. Scars smaller than 50 hectares </w:t>
      </w:r>
      <w:r w:rsidRPr="00FC3250">
        <w:rPr>
          <w:rFonts w:ascii="Times New Roman" w:hAnsi="Times New Roman" w:cs="Times New Roman"/>
        </w:rPr>
        <w:t>typically reflect</w:t>
      </w:r>
      <w:r w:rsidRPr="00FC3250">
        <w:rPr>
          <w:rFonts w:ascii="Times New Roman" w:hAnsi="Times New Roman" w:cs="Times New Roman"/>
        </w:rPr>
        <w:t xml:space="preserve"> traditional management, subsistence agriculture, and localized prescribed burns. In contrast, fire polygons larger than 500 hectares require a high degree of mechanization, chaining, and intensive capital injection for contiguous biomass suppression, serving as primary spatial markers of large-scale deforestation, land grabbing, and speculative land appropriation </w:t>
      </w:r>
      <w:r w:rsidRPr="00FC3250">
        <w:rPr>
          <w:rFonts w:ascii="Times New Roman" w:hAnsi="Times New Roman" w:cs="Times New Roman"/>
        </w:rPr>
        <w:fldChar w:fldCharType="begin"/>
      </w:r>
      <w:r w:rsidRPr="00FC3250">
        <w:rPr>
          <w:rFonts w:ascii="Times New Roman" w:hAnsi="Times New Roman" w:cs="Times New Roman"/>
        </w:rPr>
        <w:instrText xml:space="preserve"> ADDIN ZOTERO_ITEM CSL_CITATION {"citationID":"OdVxpowV","properties":{"unsorted":false,"formattedCitation":"(Alencar et al., 2015; Brando et al., 2020)","plainCitation":"(Alencar et al., 2015; Brando et al., 2020)","noteIndex":0},"citationItems":[{"id":10585,"uris":["http://zotero.org/users/6187058/items/P4VM8RIF"],"itemData":{"id":10585,"type":"article-journal","abstract":"Changes in weather and land use are transforming the spatial and temporal characteristics of fire regimes in Amazonia, with important effects on the functioning of dense (i.e., closed‐canopy), open‐canopy, and transitional forests across the Basin. To quantify, document, and describe the characteristics and recent changes in forest fire regimes, we sampled 6 million ha of these three representative forests of the eastern and southern edges of the Amazon using 24 years (1983–2007) of satellite‐derived annual forest fire scar maps and 16 years of monthly hot pixel information (1992–2007). Our results reveal that changes in forest fire regime properties differentially affected these three forest types in terms of area burned and fire scar size, frequency, and seasonality. During the study period, forest fires burned 15% (0.3 million ha), 44% (1 million ha), and 46% (0.6 million ha) of dense, open, and transitional forests, respectively. Total forest area burned and fire scar size tended to increase over time (even in years of average rainfall in open canopy and transitional forests). In dense forests, most of the temporal variability in fire regime properties was linked to El Nino Southern Oscillation (ENSO)‐related droughts. Compared with dense forests, transitional and open forests experienced fires twice as frequently, with at least 20% of these forests' areas burning two or more times during the 24‐year study period. Open and transitional forests also experienced higher deforestation rates than dense forests. During drier years, the end of the dry season was delayed by about a month, which resulted in larger burn scars and increases in overall area burned later in the season. These observations suggest that climate‐mediated forest flammability is enhanced by landscape fragmentation caused by deforestation, as observed for open and transitional forests in the Eastern portion of the Amazon Basin.","container-title":"Ecological Applications","DOI":"10.1890/14-1528.1","ISSN":"1051-0761, 1939-5582","issue":"6","journalAbbreviation":"Ecological Applications","language":"en","license":"http://onlinelibrary.wiley.com/termsAndConditions#vor","page":"1493-1505","source":"DOI.org (Crossref)","title":"Landscape fragmentation, severe drought, and the new Amazon forest fire regime","volume":"25","author":[{"family":"Alencar","given":"Ane A."},{"family":"Brando","given":"Paulo M."},{"family":"Asner","given":"Gregory P."},{"family":"Putz","given":"Francis E."}],"issued":{"date-parts":[["2015",9]]}}},{"id":10586,"uris":["http://zotero.org/users/6187058/items/8HTX778Y"],"itemData":{"id":10586,"type":"article-journal","abstract":"Amazon wildfires could emit 17.0 Pg of CO\n              2\n              by 2050, and avoiding new deforestation could cut associated net emissions by half.\n            \n          , \n            \n              Wildfires, exacerbated by extreme weather events and land use, threaten to change the Amazon from a net carbon sink to a net carbon source. Here, we develop and apply a coupled ecosystem-fire model to quantify how greenhouse gas–driven drying and warming would affect wildfires and associated CO\n              2\n              emissions in the southern Brazilian Amazon. Regional climate projections suggest that Amazon fire regimes will intensify under both low- and high-emission scenarios. Our results indicate that projected climatic changes will double the area burned by wildfires, affecting up to 16% of the region’s forests by 2050. Although these fires could emit as much as 17.0 Pg of CO\n              2\n              equivalent to the atmosphere, avoiding new deforestation could cut total net fire emissions in half and help prevent fires from escaping into protected areas and indigenous lands. Aggressive efforts to eliminate ignition sources and suppress wildfires will be critical to conserve southern Amazon forests.","container-title":"Science Advances","DOI":"10.1126/sciadv.aay1632","ISSN":"2375-2548","issue":"2","journalAbbreviation":"Sci. Adv.","language":"en","page":"eaay1632","source":"DOI.org (Crossref)","title":"The gathering firestorm in southern Amazonia","volume":"6","author":[{"family":"Brando","given":"P. M."},{"family":"Soares-Filho","given":"B."},{"family":"Rodrigues","given":"L."},{"family":"Assunção","given":"A."},{"family":"Morton","given":"D."},{"family":"Tuchschneider","given":"D."},{"family":"Fernandes","given":"E. C. M."},{"family":"Macedo","given":"M. N."},{"family":"Oliveira","given":"U."},{"family":"Coe","given":"M. T."}],"issued":{"date-parts":[["2020",1,10]]}}}],"schema":"https://github.com/citation-style-language/schema/raw/master/csl-citation.json"} </w:instrText>
      </w:r>
      <w:r w:rsidRPr="00FC3250">
        <w:rPr>
          <w:rFonts w:ascii="Times New Roman" w:hAnsi="Times New Roman" w:cs="Times New Roman"/>
        </w:rPr>
        <w:fldChar w:fldCharType="separate"/>
      </w:r>
      <w:r w:rsidRPr="00FC3250">
        <w:rPr>
          <w:rFonts w:ascii="Times New Roman" w:hAnsi="Times New Roman" w:cs="Times New Roman"/>
        </w:rPr>
        <w:t>(Alencar et al., 2015; Brando et al., 2020)</w:t>
      </w:r>
      <w:r w:rsidRPr="00FC3250">
        <w:rPr>
          <w:rFonts w:ascii="Times New Roman" w:hAnsi="Times New Roman" w:cs="Times New Roman"/>
        </w:rPr>
        <w:fldChar w:fldCharType="end"/>
      </w:r>
      <w:r w:rsidRPr="00FC3250">
        <w:rPr>
          <w:rFonts w:ascii="Times New Roman" w:hAnsi="Times New Roman" w:cs="Times New Roman"/>
        </w:rPr>
        <w:t xml:space="preserve">. </w:t>
      </w:r>
      <w:r w:rsidRPr="00FC3250">
        <w:rPr>
          <w:rFonts w:ascii="Times New Roman" w:hAnsi="Times New Roman" w:cs="Times New Roman"/>
        </w:rPr>
        <w:t xml:space="preserve">A 100% stacked bar chart format was adopted for visualization. This methodological choice aims to reduce </w:t>
      </w:r>
      <w:r w:rsidRPr="00FC3250">
        <w:rPr>
          <w:rFonts w:ascii="Times New Roman" w:hAnsi="Times New Roman" w:cs="Times New Roman"/>
        </w:rPr>
        <w:t>noise from variation in the total burned area each year, allowing the structural shift</w:t>
      </w:r>
      <w:r w:rsidRPr="00FC3250">
        <w:rPr>
          <w:rFonts w:ascii="Times New Roman" w:hAnsi="Times New Roman" w:cs="Times New Roman"/>
        </w:rPr>
        <w:t xml:space="preserve"> in the ignition profile to be isolated and statistically demonstrated.</w:t>
      </w:r>
    </w:p>
    <w:p w14:paraId="2A47BDED" w14:textId="77777777" w:rsidR="00AE75F3" w:rsidRPr="00FC3250" w:rsidRDefault="00AE75F3" w:rsidP="00AE75F3">
      <w:pPr>
        <w:spacing w:after="0" w:line="360" w:lineRule="auto"/>
        <w:jc w:val="both"/>
        <w:rPr>
          <w:rFonts w:ascii="Times New Roman" w:hAnsi="Times New Roman" w:cs="Times New Roman"/>
          <w:b/>
          <w:bCs/>
        </w:rPr>
      </w:pPr>
    </w:p>
    <w:p w14:paraId="3BBBE055" w14:textId="77777777" w:rsidR="00325AB0" w:rsidRPr="00FC3250" w:rsidRDefault="00325AB0" w:rsidP="00AE75F3">
      <w:pPr>
        <w:spacing w:after="0" w:line="360" w:lineRule="auto"/>
        <w:jc w:val="both"/>
        <w:rPr>
          <w:rFonts w:ascii="Times New Roman" w:hAnsi="Times New Roman" w:cs="Times New Roman"/>
          <w:lang w:val="en-US"/>
        </w:rPr>
      </w:pPr>
    </w:p>
    <w:p w14:paraId="770B8B82" w14:textId="21CC6F96" w:rsidR="00325AB0" w:rsidRPr="00FC3250" w:rsidRDefault="00325AB0" w:rsidP="00AE75F3">
      <w:pPr>
        <w:spacing w:after="0" w:line="360" w:lineRule="auto"/>
        <w:jc w:val="both"/>
        <w:rPr>
          <w:rFonts w:ascii="Times New Roman" w:hAnsi="Times New Roman" w:cs="Times New Roman"/>
          <w:b/>
          <w:bCs/>
          <w:lang w:val="en-US"/>
        </w:rPr>
      </w:pPr>
      <w:r w:rsidRPr="00FC3250">
        <w:rPr>
          <w:rFonts w:ascii="Times New Roman" w:hAnsi="Times New Roman" w:cs="Times New Roman"/>
          <w:b/>
          <w:bCs/>
          <w:lang w:val="en-US"/>
        </w:rPr>
        <w:t>References</w:t>
      </w:r>
    </w:p>
    <w:p w14:paraId="4A2A2942" w14:textId="77777777" w:rsidR="00AE75F3" w:rsidRPr="00FC3250" w:rsidRDefault="00325AB0" w:rsidP="00AE75F3">
      <w:pPr>
        <w:pStyle w:val="Bibliography"/>
        <w:rPr>
          <w:rFonts w:ascii="Times New Roman" w:hAnsi="Times New Roman" w:cs="Times New Roman"/>
        </w:rPr>
      </w:pPr>
      <w:r w:rsidRPr="00FC3250">
        <w:rPr>
          <w:rFonts w:ascii="Times New Roman" w:hAnsi="Times New Roman" w:cs="Times New Roman"/>
          <w:lang w:val="en-US"/>
        </w:rPr>
        <w:fldChar w:fldCharType="begin"/>
      </w:r>
      <w:r w:rsidRPr="00FC3250">
        <w:rPr>
          <w:rFonts w:ascii="Times New Roman" w:hAnsi="Times New Roman" w:cs="Times New Roman"/>
          <w:lang w:val="en-US"/>
        </w:rPr>
        <w:instrText xml:space="preserve"> ADDIN ZOTERO_BIBL {"uncited":[],"omitted":[],"custom":[]} CSL_BIBLIOGRAPHY </w:instrText>
      </w:r>
      <w:r w:rsidRPr="00FC3250">
        <w:rPr>
          <w:rFonts w:ascii="Times New Roman" w:hAnsi="Times New Roman" w:cs="Times New Roman"/>
          <w:lang w:val="en-US"/>
        </w:rPr>
        <w:fldChar w:fldCharType="separate"/>
      </w:r>
      <w:r w:rsidR="00AE75F3" w:rsidRPr="00FC3250">
        <w:rPr>
          <w:rFonts w:ascii="Times New Roman" w:hAnsi="Times New Roman" w:cs="Times New Roman"/>
        </w:rPr>
        <w:t xml:space="preserve">Albers, S., 2020. </w:t>
      </w:r>
      <w:proofErr w:type="spellStart"/>
      <w:r w:rsidR="00AE75F3" w:rsidRPr="00FC3250">
        <w:rPr>
          <w:rFonts w:ascii="Times New Roman" w:hAnsi="Times New Roman" w:cs="Times New Roman"/>
        </w:rPr>
        <w:t>rsoi</w:t>
      </w:r>
      <w:proofErr w:type="spellEnd"/>
      <w:r w:rsidR="00AE75F3" w:rsidRPr="00FC3250">
        <w:rPr>
          <w:rFonts w:ascii="Times New Roman" w:hAnsi="Times New Roman" w:cs="Times New Roman"/>
        </w:rPr>
        <w:t>: Import Various Northern and Southern Hemisphere Climate Indices. https://doi.org/https://CRAN.R-project.org/package=rsoi</w:t>
      </w:r>
    </w:p>
    <w:p w14:paraId="4E7DA404" w14:textId="77777777" w:rsidR="00AE75F3" w:rsidRPr="00FC3250" w:rsidRDefault="00AE75F3" w:rsidP="00AE75F3">
      <w:pPr>
        <w:pStyle w:val="Bibliography"/>
        <w:rPr>
          <w:rFonts w:ascii="Times New Roman" w:hAnsi="Times New Roman" w:cs="Times New Roman"/>
        </w:rPr>
      </w:pPr>
      <w:r w:rsidRPr="00FC3250">
        <w:rPr>
          <w:rFonts w:ascii="Times New Roman" w:hAnsi="Times New Roman" w:cs="Times New Roman"/>
        </w:rPr>
        <w:t>Alencar, A.A., Brando, P.M., Asner, G.P., Putz, F.E., 2015. Landscape fragmentation, severe drought, and the new Amazon forest fire regime. Ecological Applications 25, 1493–1505. https://doi.org/10.1890/14-1528.1</w:t>
      </w:r>
    </w:p>
    <w:p w14:paraId="4509FB87" w14:textId="77777777" w:rsidR="00AE75F3" w:rsidRPr="00FC3250" w:rsidRDefault="00AE75F3" w:rsidP="00AE75F3">
      <w:pPr>
        <w:pStyle w:val="Bibliography"/>
        <w:rPr>
          <w:rFonts w:ascii="Times New Roman" w:hAnsi="Times New Roman" w:cs="Times New Roman"/>
        </w:rPr>
      </w:pPr>
      <w:r w:rsidRPr="00FC3250">
        <w:rPr>
          <w:rFonts w:ascii="Times New Roman" w:hAnsi="Times New Roman" w:cs="Times New Roman"/>
        </w:rPr>
        <w:lastRenderedPageBreak/>
        <w:t xml:space="preserve">Bermeo, N., 2016. On Democratic Backsliding. </w:t>
      </w:r>
      <w:proofErr w:type="spellStart"/>
      <w:r w:rsidRPr="00FC3250">
        <w:rPr>
          <w:rFonts w:ascii="Times New Roman" w:hAnsi="Times New Roman" w:cs="Times New Roman"/>
        </w:rPr>
        <w:t>jod</w:t>
      </w:r>
      <w:proofErr w:type="spellEnd"/>
      <w:r w:rsidRPr="00FC3250">
        <w:rPr>
          <w:rFonts w:ascii="Times New Roman" w:hAnsi="Times New Roman" w:cs="Times New Roman"/>
        </w:rPr>
        <w:t xml:space="preserve"> 27, 5–19. https://doi.org/10.1353/jod.2016.0012</w:t>
      </w:r>
    </w:p>
    <w:p w14:paraId="2B034E39" w14:textId="77777777" w:rsidR="00AE75F3" w:rsidRPr="00FC3250" w:rsidRDefault="00AE75F3" w:rsidP="00AE75F3">
      <w:pPr>
        <w:pStyle w:val="Bibliography"/>
        <w:rPr>
          <w:rFonts w:ascii="Times New Roman" w:hAnsi="Times New Roman" w:cs="Times New Roman"/>
          <w:lang w:val="pt-BR"/>
        </w:rPr>
      </w:pPr>
      <w:r w:rsidRPr="00FC3250">
        <w:rPr>
          <w:rFonts w:ascii="Times New Roman" w:hAnsi="Times New Roman" w:cs="Times New Roman"/>
        </w:rPr>
        <w:t>Börner, J., Wunder, S., Wertz-</w:t>
      </w:r>
      <w:proofErr w:type="spellStart"/>
      <w:r w:rsidRPr="00FC3250">
        <w:rPr>
          <w:rFonts w:ascii="Times New Roman" w:hAnsi="Times New Roman" w:cs="Times New Roman"/>
        </w:rPr>
        <w:t>Kanounnikoff</w:t>
      </w:r>
      <w:proofErr w:type="spellEnd"/>
      <w:r w:rsidRPr="00FC3250">
        <w:rPr>
          <w:rFonts w:ascii="Times New Roman" w:hAnsi="Times New Roman" w:cs="Times New Roman"/>
        </w:rPr>
        <w:t xml:space="preserve">, S., Hyman, G., Nascimento, N., 2014. Forest law enforcement in the Brazilian Amazon: Costs and income effects. </w:t>
      </w:r>
      <w:r w:rsidRPr="00FC3250">
        <w:rPr>
          <w:rFonts w:ascii="Times New Roman" w:hAnsi="Times New Roman" w:cs="Times New Roman"/>
          <w:lang w:val="pt-BR"/>
        </w:rPr>
        <w:t>Global Environmental Change 29, 294–305. https://doi.org/10.1016/j.gloenvcha.2014.04.021</w:t>
      </w:r>
    </w:p>
    <w:p w14:paraId="38DCB4ED" w14:textId="77777777" w:rsidR="00AE75F3" w:rsidRPr="00FC3250" w:rsidRDefault="00AE75F3" w:rsidP="00AE75F3">
      <w:pPr>
        <w:pStyle w:val="Bibliography"/>
        <w:rPr>
          <w:rFonts w:ascii="Times New Roman" w:hAnsi="Times New Roman" w:cs="Times New Roman"/>
        </w:rPr>
      </w:pPr>
      <w:r w:rsidRPr="00FC3250">
        <w:rPr>
          <w:rFonts w:ascii="Times New Roman" w:hAnsi="Times New Roman" w:cs="Times New Roman"/>
          <w:lang w:val="pt-BR"/>
        </w:rPr>
        <w:t xml:space="preserve">Brando, P.M., Soares-Filho, B., Rodrigues, L., Assunção, A., Morton, D., Tuchschneider, D., Fernandes, E.C.M., Macedo, M.N., Oliveira, U., Coe, M.T., 2020. </w:t>
      </w:r>
      <w:r w:rsidRPr="00FC3250">
        <w:rPr>
          <w:rFonts w:ascii="Times New Roman" w:hAnsi="Times New Roman" w:cs="Times New Roman"/>
        </w:rPr>
        <w:t>The gathering firestorm in southern Amazonia. Sci. Adv. 6, eaay1632. https://doi.org/10.1126/sciadv.aay1632</w:t>
      </w:r>
    </w:p>
    <w:p w14:paraId="0615C83C" w14:textId="77777777" w:rsidR="00AE75F3" w:rsidRPr="00FC3250" w:rsidRDefault="00AE75F3" w:rsidP="00AE75F3">
      <w:pPr>
        <w:pStyle w:val="Bibliography"/>
        <w:rPr>
          <w:rFonts w:ascii="Times New Roman" w:hAnsi="Times New Roman" w:cs="Times New Roman"/>
          <w:lang w:val="pt-BR"/>
        </w:rPr>
      </w:pPr>
      <w:r w:rsidRPr="00FC3250">
        <w:rPr>
          <w:rFonts w:ascii="Times New Roman" w:hAnsi="Times New Roman" w:cs="Times New Roman"/>
          <w:lang w:val="pt-BR"/>
        </w:rPr>
        <w:t>Coppedge, M., 2026. V-Dem Dataset v16. https://doi.org/10.23696/VDEMDS26</w:t>
      </w:r>
    </w:p>
    <w:p w14:paraId="0CAF5B00" w14:textId="77777777" w:rsidR="00AE75F3" w:rsidRPr="00FC3250" w:rsidRDefault="00AE75F3" w:rsidP="00AE75F3">
      <w:pPr>
        <w:pStyle w:val="Bibliography"/>
        <w:rPr>
          <w:rFonts w:ascii="Times New Roman" w:hAnsi="Times New Roman" w:cs="Times New Roman"/>
        </w:rPr>
      </w:pPr>
      <w:r w:rsidRPr="00FC3250">
        <w:rPr>
          <w:rFonts w:ascii="Times New Roman" w:hAnsi="Times New Roman" w:cs="Times New Roman"/>
          <w:lang w:val="pt-BR"/>
        </w:rPr>
        <w:t xml:space="preserve">Heinisch, R., Gracia, O., Laguna-Tapia, A., Muriel, C., 2024. </w:t>
      </w:r>
      <w:r w:rsidRPr="00FC3250">
        <w:rPr>
          <w:rFonts w:ascii="Times New Roman" w:hAnsi="Times New Roman" w:cs="Times New Roman"/>
        </w:rPr>
        <w:t>Libertarian Populism? Making Sense of Javier Milei’s Political Discourse. Social Sciences 13, 599. https://doi.org/10.3390/socsci13110599</w:t>
      </w:r>
    </w:p>
    <w:p w14:paraId="3E42C121" w14:textId="77777777" w:rsidR="00AE75F3" w:rsidRPr="00FC3250" w:rsidRDefault="00AE75F3" w:rsidP="00AE75F3">
      <w:pPr>
        <w:pStyle w:val="Bibliography"/>
        <w:rPr>
          <w:rFonts w:ascii="Times New Roman" w:hAnsi="Times New Roman" w:cs="Times New Roman"/>
          <w:lang w:val="pt-BR"/>
        </w:rPr>
      </w:pPr>
      <w:r w:rsidRPr="00FC3250">
        <w:rPr>
          <w:rFonts w:ascii="Times New Roman" w:hAnsi="Times New Roman" w:cs="Times New Roman"/>
        </w:rPr>
        <w:t xml:space="preserve">Lasso, G., Venegas, M.M., 2025. An Ecofeminist Perspective on Ecuador ’s Elections: Noboa’s victory consolidates a far-right regime that is misogynist, </w:t>
      </w:r>
      <w:proofErr w:type="spellStart"/>
      <w:r w:rsidRPr="00FC3250">
        <w:rPr>
          <w:rFonts w:ascii="Times New Roman" w:hAnsi="Times New Roman" w:cs="Times New Roman"/>
        </w:rPr>
        <w:t>extractivist</w:t>
      </w:r>
      <w:proofErr w:type="spellEnd"/>
      <w:r w:rsidRPr="00FC3250">
        <w:rPr>
          <w:rFonts w:ascii="Times New Roman" w:hAnsi="Times New Roman" w:cs="Times New Roman"/>
        </w:rPr>
        <w:t xml:space="preserve">, and submissive to imperial power. </w:t>
      </w:r>
      <w:r w:rsidRPr="00FC3250">
        <w:rPr>
          <w:rFonts w:ascii="Times New Roman" w:hAnsi="Times New Roman" w:cs="Times New Roman"/>
          <w:lang w:val="pt-BR"/>
        </w:rPr>
        <w:t>NACLA Report on the Americas 57, 130–135. https://doi.org/10.1080/10714839.2025.2507992</w:t>
      </w:r>
    </w:p>
    <w:p w14:paraId="21F7D652" w14:textId="77777777" w:rsidR="00AE75F3" w:rsidRPr="00FC3250" w:rsidRDefault="00AE75F3" w:rsidP="00AE75F3">
      <w:pPr>
        <w:pStyle w:val="Bibliography"/>
        <w:rPr>
          <w:rFonts w:ascii="Times New Roman" w:hAnsi="Times New Roman" w:cs="Times New Roman"/>
          <w:lang w:val="pt-BR"/>
        </w:rPr>
      </w:pPr>
      <w:r w:rsidRPr="00FC3250">
        <w:rPr>
          <w:rFonts w:ascii="Times New Roman" w:hAnsi="Times New Roman" w:cs="Times New Roman"/>
          <w:lang w:val="pt-BR"/>
        </w:rPr>
        <w:t>MAPBIOMAS, 2026. Projeto MapBiomas - Coleção 8 da Série Anual de Mapas de Cicatrizes de Fogo do Brasil.</w:t>
      </w:r>
    </w:p>
    <w:p w14:paraId="3BE5DEA2" w14:textId="77777777" w:rsidR="00AE75F3" w:rsidRPr="00FC3250" w:rsidRDefault="00AE75F3" w:rsidP="00AE75F3">
      <w:pPr>
        <w:pStyle w:val="Bibliography"/>
        <w:rPr>
          <w:rFonts w:ascii="Times New Roman" w:hAnsi="Times New Roman" w:cs="Times New Roman"/>
        </w:rPr>
      </w:pPr>
      <w:r w:rsidRPr="00FC3250">
        <w:rPr>
          <w:rFonts w:ascii="Times New Roman" w:hAnsi="Times New Roman" w:cs="Times New Roman"/>
          <w:lang w:val="pt-BR"/>
        </w:rPr>
        <w:t xml:space="preserve">Mataveli, G.A.V., Chaves, M.E.D., Brunsell, N.A., Aragão, L.E.O.C., 2021. </w:t>
      </w:r>
      <w:r w:rsidRPr="00FC3250">
        <w:rPr>
          <w:rFonts w:ascii="Times New Roman" w:hAnsi="Times New Roman" w:cs="Times New Roman"/>
        </w:rPr>
        <w:t>The emergence of a new deforestation hotspot in Amazonia. Perspectives in Ecology and Conservation 19, 33–36. https://doi.org/10.1016/j.pecon.2021.01.002</w:t>
      </w:r>
    </w:p>
    <w:p w14:paraId="7C9AB454" w14:textId="77777777" w:rsidR="00AE75F3" w:rsidRPr="00FC3250" w:rsidRDefault="00AE75F3" w:rsidP="00AE75F3">
      <w:pPr>
        <w:pStyle w:val="Bibliography"/>
        <w:rPr>
          <w:rFonts w:ascii="Times New Roman" w:hAnsi="Times New Roman" w:cs="Times New Roman"/>
        </w:rPr>
      </w:pPr>
      <w:r w:rsidRPr="00FC3250">
        <w:rPr>
          <w:rFonts w:ascii="Times New Roman" w:hAnsi="Times New Roman" w:cs="Times New Roman"/>
        </w:rPr>
        <w:t xml:space="preserve">Pellegrini, L., </w:t>
      </w:r>
      <w:proofErr w:type="spellStart"/>
      <w:r w:rsidRPr="00FC3250">
        <w:rPr>
          <w:rFonts w:ascii="Times New Roman" w:hAnsi="Times New Roman" w:cs="Times New Roman"/>
        </w:rPr>
        <w:t>Gerlagh</w:t>
      </w:r>
      <w:proofErr w:type="spellEnd"/>
      <w:r w:rsidRPr="00FC3250">
        <w:rPr>
          <w:rFonts w:ascii="Times New Roman" w:hAnsi="Times New Roman" w:cs="Times New Roman"/>
        </w:rPr>
        <w:t>, R., 2006. Corruption, Democracy, and Environmental Policy: An Empirical Contribution to the Debate. The Journal of Environment &amp; Development 15, 332–354. https://doi.org/10.1177/1070496506290960</w:t>
      </w:r>
    </w:p>
    <w:p w14:paraId="560505A8" w14:textId="77777777" w:rsidR="00AE75F3" w:rsidRPr="00FC3250" w:rsidRDefault="00AE75F3" w:rsidP="00AE75F3">
      <w:pPr>
        <w:pStyle w:val="Bibliography"/>
        <w:rPr>
          <w:rFonts w:ascii="Times New Roman" w:hAnsi="Times New Roman" w:cs="Times New Roman"/>
        </w:rPr>
      </w:pPr>
      <w:r w:rsidRPr="00FC3250">
        <w:rPr>
          <w:rFonts w:ascii="Times New Roman" w:hAnsi="Times New Roman" w:cs="Times New Roman"/>
        </w:rPr>
        <w:t>R Core Team, 2022. R: A Language and Environment for Statistical Computing.</w:t>
      </w:r>
    </w:p>
    <w:p w14:paraId="19B6E3B6" w14:textId="77777777" w:rsidR="00AE75F3" w:rsidRPr="00FC3250" w:rsidRDefault="00AE75F3" w:rsidP="00AE75F3">
      <w:pPr>
        <w:pStyle w:val="Bibliography"/>
        <w:rPr>
          <w:rFonts w:ascii="Times New Roman" w:hAnsi="Times New Roman" w:cs="Times New Roman"/>
          <w:lang w:val="pt-BR"/>
        </w:rPr>
      </w:pPr>
      <w:r w:rsidRPr="00FC3250">
        <w:rPr>
          <w:rFonts w:ascii="Times New Roman" w:hAnsi="Times New Roman" w:cs="Times New Roman"/>
        </w:rPr>
        <w:t xml:space="preserve">Schwartz, R.A., 2024. Guatemala 2023: from authoritarian deepening to democratic resurgence. </w:t>
      </w:r>
      <w:r w:rsidRPr="00FC3250">
        <w:rPr>
          <w:rFonts w:ascii="Times New Roman" w:hAnsi="Times New Roman" w:cs="Times New Roman"/>
          <w:lang w:val="pt-BR"/>
        </w:rPr>
        <w:t>Rev. cienc. polít. (Santiago). https://doi.org/10.4067/s0718-090x2024005000105</w:t>
      </w:r>
    </w:p>
    <w:p w14:paraId="184A8341" w14:textId="77777777" w:rsidR="00AE75F3" w:rsidRPr="00FC3250" w:rsidRDefault="00AE75F3" w:rsidP="00AE75F3">
      <w:pPr>
        <w:pStyle w:val="Bibliography"/>
        <w:rPr>
          <w:rFonts w:ascii="Times New Roman" w:hAnsi="Times New Roman" w:cs="Times New Roman"/>
          <w:lang w:val="pt-BR"/>
        </w:rPr>
      </w:pPr>
      <w:r w:rsidRPr="00FC3250">
        <w:rPr>
          <w:rFonts w:ascii="Times New Roman" w:hAnsi="Times New Roman" w:cs="Times New Roman"/>
          <w:lang w:val="pt-BR"/>
        </w:rPr>
        <w:t>Sepúlveda, F.M., 2026. Cargas ideológicas: Comunicación política y propaganda en el gobierno de Claudia Sheinbaum desde la gestión ambiental.</w:t>
      </w:r>
    </w:p>
    <w:p w14:paraId="7817BC05" w14:textId="194C2AFF" w:rsidR="00325AB0" w:rsidRPr="00FC3250" w:rsidRDefault="00325AB0" w:rsidP="00AE75F3">
      <w:pPr>
        <w:spacing w:after="0" w:line="360" w:lineRule="auto"/>
        <w:jc w:val="both"/>
        <w:rPr>
          <w:rFonts w:ascii="Times New Roman" w:hAnsi="Times New Roman" w:cs="Times New Roman"/>
          <w:lang w:val="en-US"/>
        </w:rPr>
      </w:pPr>
      <w:r w:rsidRPr="00FC3250">
        <w:rPr>
          <w:rFonts w:ascii="Times New Roman" w:hAnsi="Times New Roman" w:cs="Times New Roman"/>
          <w:lang w:val="en-US"/>
        </w:rPr>
        <w:fldChar w:fldCharType="end"/>
      </w:r>
    </w:p>
    <w:sectPr w:rsidR="00325AB0" w:rsidRPr="00FC3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7C0"/>
    <w:rsid w:val="000D73BB"/>
    <w:rsid w:val="00106FD1"/>
    <w:rsid w:val="00247477"/>
    <w:rsid w:val="00325AB0"/>
    <w:rsid w:val="0052640D"/>
    <w:rsid w:val="00AE75F3"/>
    <w:rsid w:val="00C020B1"/>
    <w:rsid w:val="00DE2E99"/>
    <w:rsid w:val="00E77EEA"/>
    <w:rsid w:val="00FC3250"/>
    <w:rsid w:val="00FC5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39D35"/>
  <w15:chartTrackingRefBased/>
  <w15:docId w15:val="{796D58CA-4277-4421-A37F-163A7C44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7C0"/>
    <w:rPr>
      <w:rFonts w:eastAsiaTheme="majorEastAsia" w:cstheme="majorBidi"/>
      <w:color w:val="272727" w:themeColor="text1" w:themeTint="D8"/>
    </w:rPr>
  </w:style>
  <w:style w:type="paragraph" w:styleId="Title">
    <w:name w:val="Title"/>
    <w:basedOn w:val="Normal"/>
    <w:next w:val="Normal"/>
    <w:link w:val="TitleChar"/>
    <w:uiPriority w:val="10"/>
    <w:qFormat/>
    <w:rsid w:val="00FC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7C0"/>
    <w:pPr>
      <w:spacing w:before="160"/>
      <w:jc w:val="center"/>
    </w:pPr>
    <w:rPr>
      <w:i/>
      <w:iCs/>
      <w:color w:val="404040" w:themeColor="text1" w:themeTint="BF"/>
    </w:rPr>
  </w:style>
  <w:style w:type="character" w:customStyle="1" w:styleId="QuoteChar">
    <w:name w:val="Quote Char"/>
    <w:basedOn w:val="DefaultParagraphFont"/>
    <w:link w:val="Quote"/>
    <w:uiPriority w:val="29"/>
    <w:rsid w:val="00FC57C0"/>
    <w:rPr>
      <w:i/>
      <w:iCs/>
      <w:color w:val="404040" w:themeColor="text1" w:themeTint="BF"/>
    </w:rPr>
  </w:style>
  <w:style w:type="paragraph" w:styleId="ListParagraph">
    <w:name w:val="List Paragraph"/>
    <w:basedOn w:val="Normal"/>
    <w:uiPriority w:val="34"/>
    <w:qFormat/>
    <w:rsid w:val="00FC57C0"/>
    <w:pPr>
      <w:ind w:left="720"/>
      <w:contextualSpacing/>
    </w:pPr>
  </w:style>
  <w:style w:type="character" w:styleId="IntenseEmphasis">
    <w:name w:val="Intense Emphasis"/>
    <w:basedOn w:val="DefaultParagraphFont"/>
    <w:uiPriority w:val="21"/>
    <w:qFormat/>
    <w:rsid w:val="00FC57C0"/>
    <w:rPr>
      <w:i/>
      <w:iCs/>
      <w:color w:val="0F4761" w:themeColor="accent1" w:themeShade="BF"/>
    </w:rPr>
  </w:style>
  <w:style w:type="paragraph" w:styleId="IntenseQuote">
    <w:name w:val="Intense Quote"/>
    <w:basedOn w:val="Normal"/>
    <w:next w:val="Normal"/>
    <w:link w:val="IntenseQuoteChar"/>
    <w:uiPriority w:val="30"/>
    <w:qFormat/>
    <w:rsid w:val="00FC5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7C0"/>
    <w:rPr>
      <w:i/>
      <w:iCs/>
      <w:color w:val="0F4761" w:themeColor="accent1" w:themeShade="BF"/>
    </w:rPr>
  </w:style>
  <w:style w:type="character" w:styleId="IntenseReference">
    <w:name w:val="Intense Reference"/>
    <w:basedOn w:val="DefaultParagraphFont"/>
    <w:uiPriority w:val="32"/>
    <w:qFormat/>
    <w:rsid w:val="00FC57C0"/>
    <w:rPr>
      <w:b/>
      <w:bCs/>
      <w:smallCaps/>
      <w:color w:val="0F4761" w:themeColor="accent1" w:themeShade="BF"/>
      <w:spacing w:val="5"/>
    </w:rPr>
  </w:style>
  <w:style w:type="paragraph" w:styleId="Bibliography">
    <w:name w:val="Bibliography"/>
    <w:basedOn w:val="Normal"/>
    <w:next w:val="Normal"/>
    <w:uiPriority w:val="37"/>
    <w:unhideWhenUsed/>
    <w:rsid w:val="00325AB0"/>
    <w:pPr>
      <w:spacing w:after="0" w:line="240" w:lineRule="auto"/>
      <w:ind w:left="720" w:hanging="720"/>
    </w:pPr>
  </w:style>
  <w:style w:type="character" w:styleId="Hyperlink">
    <w:name w:val="Hyperlink"/>
    <w:basedOn w:val="DefaultParagraphFont"/>
    <w:uiPriority w:val="99"/>
    <w:unhideWhenUsed/>
    <w:rsid w:val="00AE75F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4448</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Maria Diele-Viegas</dc:creator>
  <cp:keywords/>
  <dc:description/>
  <cp:lastModifiedBy>Luisa Maria Diele-Viegas</cp:lastModifiedBy>
  <cp:revision>5</cp:revision>
  <dcterms:created xsi:type="dcterms:W3CDTF">2026-10-11T22:17:00Z</dcterms:created>
  <dcterms:modified xsi:type="dcterms:W3CDTF">2026-10-12T16:31:00Z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id="MvGNQWVe"/&gt;&lt;style id="http://www.zotero.org/styles/elsevier-harvard" hasBibliography="1" bibliographyStyleHasBeenSet="1"/&gt;&lt;prefs&gt;&lt;pref name="fieldType" value="Field"/&gt;&lt;/prefs&gt;&lt;/data&gt;</vt:lpwstr>
  </property>
  <property fmtid="{D5CDD505-2E9C-101B-9397-08002B2CF9AE}" pid="3" name="GrammarlyDocumentId">
    <vt:lpwstr>47f281a3d5b4581d23642dcbecd8184a6b005588e6d7e9f49f86218bcefa3e25</vt:lpwstr>
  </property>
</Properties>
</file>