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46C2" w:rsidRDefault="009B754E" w:rsidP="00B7578E">
      <w:pPr>
        <w:pStyle w:val="Heading1"/>
        <w:widowControl w:val="0"/>
        <w:pBdr>
          <w:top w:val="nil"/>
          <w:left w:val="nil"/>
          <w:bottom w:val="nil"/>
          <w:right w:val="nil"/>
          <w:between w:val="nil"/>
        </w:pBdr>
        <w:spacing w:before="480" w:after="120"/>
        <w:jc w:val="both"/>
        <w:rPr>
          <w:b/>
        </w:rPr>
      </w:pPr>
      <w:r>
        <w:rPr>
          <w:b/>
        </w:rPr>
        <w:t>Sequence submission</w:t>
      </w:r>
      <w:r w:rsidR="001E76CE">
        <w:rPr>
          <w:b/>
        </w:rPr>
        <w:t xml:space="preserve"> tutorial</w:t>
      </w:r>
    </w:p>
    <w:p w:rsidR="001E76CE" w:rsidRPr="00E05FC9" w:rsidRDefault="00262D1D" w:rsidP="00E05FC9">
      <w:pPr>
        <w:rPr>
          <w:rFonts w:ascii="Trebuchet MS" w:eastAsia="Trebuchet MS" w:hAnsi="Trebuchet MS" w:cs="Trebuchet MS"/>
        </w:rPr>
      </w:pPr>
      <w:r>
        <w:rPr>
          <w:rFonts w:ascii="Trebuchet MS" w:eastAsia="Trebuchet MS" w:hAnsi="Trebuchet MS" w:cs="Trebuchet MS"/>
        </w:rPr>
        <w:t xml:space="preserve">Last update: </w:t>
      </w:r>
      <w:r w:rsidR="009B754E">
        <w:rPr>
          <w:rFonts w:ascii="Trebuchet MS" w:eastAsia="Trebuchet MS" w:hAnsi="Trebuchet MS" w:cs="Trebuchet MS"/>
        </w:rPr>
        <w:t>August</w:t>
      </w:r>
      <w:r w:rsidR="001E76CE" w:rsidRPr="00E05FC9">
        <w:rPr>
          <w:rFonts w:ascii="Trebuchet MS" w:eastAsia="Trebuchet MS" w:hAnsi="Trebuchet MS" w:cs="Trebuchet MS"/>
        </w:rPr>
        <w:t xml:space="preserve"> 201</w:t>
      </w:r>
      <w:r w:rsidR="009B754E">
        <w:rPr>
          <w:rFonts w:ascii="Trebuchet MS" w:eastAsia="Trebuchet MS" w:hAnsi="Trebuchet MS" w:cs="Trebuchet MS"/>
        </w:rPr>
        <w:t>9</w:t>
      </w:r>
    </w:p>
    <w:p w:rsidR="001E76CE" w:rsidRPr="00E05FC9" w:rsidRDefault="001E76CE" w:rsidP="00E05FC9">
      <w:pPr>
        <w:rPr>
          <w:rFonts w:ascii="Trebuchet MS" w:eastAsia="Trebuchet MS" w:hAnsi="Trebuchet MS" w:cs="Trebuchet MS"/>
        </w:rPr>
      </w:pPr>
    </w:p>
    <w:p w:rsidR="00962902" w:rsidRDefault="009B754E" w:rsidP="00E05FC9">
      <w:pPr>
        <w:rPr>
          <w:rFonts w:ascii="Trebuchet MS" w:eastAsia="Trebuchet MS" w:hAnsi="Trebuchet MS" w:cs="Trebuchet MS"/>
        </w:rPr>
      </w:pPr>
      <w:r>
        <w:rPr>
          <w:rFonts w:ascii="Trebuchet MS" w:eastAsia="Trebuchet MS" w:hAnsi="Trebuchet MS" w:cs="Trebuchet MS"/>
        </w:rPr>
        <w:t>High</w:t>
      </w:r>
      <w:r w:rsidR="001F5066">
        <w:rPr>
          <w:rFonts w:ascii="Trebuchet MS" w:eastAsia="Trebuchet MS" w:hAnsi="Trebuchet MS" w:cs="Trebuchet MS"/>
        </w:rPr>
        <w:t xml:space="preserve"> </w:t>
      </w:r>
      <w:r>
        <w:rPr>
          <w:rFonts w:ascii="Trebuchet MS" w:eastAsia="Trebuchet MS" w:hAnsi="Trebuchet MS" w:cs="Trebuchet MS"/>
        </w:rPr>
        <w:t xml:space="preserve">throughput sequencing </w:t>
      </w:r>
      <w:proofErr w:type="gramStart"/>
      <w:r w:rsidR="001F5066">
        <w:rPr>
          <w:rFonts w:ascii="Trebuchet MS" w:eastAsia="Trebuchet MS" w:hAnsi="Trebuchet MS" w:cs="Trebuchet MS"/>
        </w:rPr>
        <w:t>have</w:t>
      </w:r>
      <w:proofErr w:type="gramEnd"/>
      <w:r w:rsidR="001F5066">
        <w:rPr>
          <w:rFonts w:ascii="Trebuchet MS" w:eastAsia="Trebuchet MS" w:hAnsi="Trebuchet MS" w:cs="Trebuchet MS"/>
        </w:rPr>
        <w:t xml:space="preserve"> revolutionized the way </w:t>
      </w:r>
      <w:r w:rsidR="00FF0151">
        <w:rPr>
          <w:rFonts w:ascii="Trebuchet MS" w:eastAsia="Trebuchet MS" w:hAnsi="Trebuchet MS" w:cs="Trebuchet MS"/>
        </w:rPr>
        <w:t>w</w:t>
      </w:r>
      <w:r w:rsidR="001F5066">
        <w:rPr>
          <w:rFonts w:ascii="Trebuchet MS" w:eastAsia="Trebuchet MS" w:hAnsi="Trebuchet MS" w:cs="Trebuchet MS"/>
        </w:rPr>
        <w:t xml:space="preserve">e study natural microbial communities, and typically generates large amounts of data at relatively </w:t>
      </w:r>
      <w:r w:rsidR="00962902">
        <w:rPr>
          <w:rFonts w:ascii="Trebuchet MS" w:eastAsia="Trebuchet MS" w:hAnsi="Trebuchet MS" w:cs="Trebuchet MS"/>
        </w:rPr>
        <w:t>low cost and limited time investment</w:t>
      </w:r>
      <w:r w:rsidR="001F5066">
        <w:rPr>
          <w:rFonts w:ascii="Trebuchet MS" w:eastAsia="Trebuchet MS" w:hAnsi="Trebuchet MS" w:cs="Trebuchet MS"/>
        </w:rPr>
        <w:t>.</w:t>
      </w:r>
      <w:r w:rsidR="00962902">
        <w:rPr>
          <w:rFonts w:ascii="Trebuchet MS" w:eastAsia="Trebuchet MS" w:hAnsi="Trebuchet MS" w:cs="Trebuchet MS"/>
        </w:rPr>
        <w:t xml:space="preserve"> </w:t>
      </w:r>
      <w:r w:rsidR="00FF0151">
        <w:rPr>
          <w:rFonts w:ascii="Trebuchet MS" w:eastAsia="Trebuchet MS" w:hAnsi="Trebuchet MS" w:cs="Trebuchet MS"/>
        </w:rPr>
        <w:t>Even</w:t>
      </w:r>
      <w:r w:rsidR="00962902">
        <w:rPr>
          <w:rFonts w:ascii="Trebuchet MS" w:eastAsia="Trebuchet MS" w:hAnsi="Trebuchet MS" w:cs="Trebuchet MS"/>
        </w:rPr>
        <w:t xml:space="preserve"> after </w:t>
      </w:r>
      <w:r w:rsidR="00FF0151">
        <w:rPr>
          <w:rFonts w:ascii="Trebuchet MS" w:eastAsia="Trebuchet MS" w:hAnsi="Trebuchet MS" w:cs="Trebuchet MS"/>
        </w:rPr>
        <w:t>the data has been</w:t>
      </w:r>
      <w:r w:rsidR="00962902">
        <w:rPr>
          <w:rFonts w:ascii="Trebuchet MS" w:eastAsia="Trebuchet MS" w:hAnsi="Trebuchet MS" w:cs="Trebuchet MS"/>
        </w:rPr>
        <w:t xml:space="preserve"> thoroughly analyzed and </w:t>
      </w:r>
      <w:r w:rsidR="00FF0151">
        <w:rPr>
          <w:rFonts w:ascii="Trebuchet MS" w:eastAsia="Trebuchet MS" w:hAnsi="Trebuchet MS" w:cs="Trebuchet MS"/>
        </w:rPr>
        <w:t xml:space="preserve">the findings </w:t>
      </w:r>
      <w:r w:rsidR="00962902">
        <w:rPr>
          <w:rFonts w:ascii="Trebuchet MS" w:eastAsia="Trebuchet MS" w:hAnsi="Trebuchet MS" w:cs="Trebuchet MS"/>
        </w:rPr>
        <w:t>published, it still remains highly valuable to the rest of the scientific community, to e.g. compare results with, use as a reference for species’ geographic occurrence, or help to answer all sorts of questions related to time and space that is not achievable within a single study.</w:t>
      </w:r>
      <w:r w:rsidR="001D2213">
        <w:rPr>
          <w:rFonts w:ascii="Trebuchet MS" w:eastAsia="Trebuchet MS" w:hAnsi="Trebuchet MS" w:cs="Trebuchet MS"/>
        </w:rPr>
        <w:t xml:space="preserve"> </w:t>
      </w:r>
      <w:r>
        <w:rPr>
          <w:rFonts w:ascii="Trebuchet MS" w:eastAsia="Trebuchet MS" w:hAnsi="Trebuchet MS" w:cs="Trebuchet MS"/>
        </w:rPr>
        <w:t xml:space="preserve">In the spirit of </w:t>
      </w:r>
      <w:r w:rsidR="00962902">
        <w:rPr>
          <w:rFonts w:ascii="Trebuchet MS" w:eastAsia="Trebuchet MS" w:hAnsi="Trebuchet MS" w:cs="Trebuchet MS"/>
        </w:rPr>
        <w:t xml:space="preserve">transparency and collaborative science, the DNA sequences can be made openly available in the public sequence repositories of the </w:t>
      </w:r>
      <w:r w:rsidR="00962902" w:rsidRPr="00FF0151">
        <w:rPr>
          <w:rFonts w:ascii="Trebuchet MS" w:eastAsia="Trebuchet MS" w:hAnsi="Trebuchet MS" w:cs="Trebuchet MS"/>
          <w:b/>
          <w:bCs/>
        </w:rPr>
        <w:t>International Nucleotide Sequence Database Collaborative (INSDC)</w:t>
      </w:r>
      <w:r w:rsidR="00962902">
        <w:rPr>
          <w:rFonts w:ascii="Trebuchet MS" w:eastAsia="Trebuchet MS" w:hAnsi="Trebuchet MS" w:cs="Trebuchet MS"/>
        </w:rPr>
        <w:t xml:space="preserve">, which is the joint venture of the </w:t>
      </w:r>
      <w:r w:rsidR="00962902" w:rsidRPr="00FF0151">
        <w:rPr>
          <w:rFonts w:ascii="Trebuchet MS" w:eastAsia="Trebuchet MS" w:hAnsi="Trebuchet MS" w:cs="Trebuchet MS"/>
          <w:b/>
          <w:bCs/>
        </w:rPr>
        <w:t xml:space="preserve">European </w:t>
      </w:r>
      <w:r w:rsidR="001D2213" w:rsidRPr="00FF0151">
        <w:rPr>
          <w:rFonts w:ascii="Trebuchet MS" w:eastAsia="Trebuchet MS" w:hAnsi="Trebuchet MS" w:cs="Trebuchet MS"/>
          <w:b/>
          <w:bCs/>
        </w:rPr>
        <w:t>Nucleotide Archive (</w:t>
      </w:r>
      <w:r w:rsidR="00962902" w:rsidRPr="00FF0151">
        <w:rPr>
          <w:rFonts w:ascii="Trebuchet MS" w:eastAsia="Trebuchet MS" w:hAnsi="Trebuchet MS" w:cs="Trebuchet MS"/>
          <w:b/>
          <w:bCs/>
        </w:rPr>
        <w:t>ENA</w:t>
      </w:r>
      <w:r w:rsidR="001D2213" w:rsidRPr="00FF0151">
        <w:rPr>
          <w:rFonts w:ascii="Trebuchet MS" w:eastAsia="Trebuchet MS" w:hAnsi="Trebuchet MS" w:cs="Trebuchet MS"/>
          <w:b/>
          <w:bCs/>
        </w:rPr>
        <w:t>)</w:t>
      </w:r>
      <w:r w:rsidR="00962902">
        <w:rPr>
          <w:rFonts w:ascii="Trebuchet MS" w:eastAsia="Trebuchet MS" w:hAnsi="Trebuchet MS" w:cs="Trebuchet MS"/>
        </w:rPr>
        <w:t xml:space="preserve">, the </w:t>
      </w:r>
      <w:r w:rsidR="00962902" w:rsidRPr="00FF0151">
        <w:rPr>
          <w:rFonts w:ascii="Trebuchet MS" w:eastAsia="Trebuchet MS" w:hAnsi="Trebuchet MS" w:cs="Trebuchet MS"/>
          <w:b/>
          <w:bCs/>
        </w:rPr>
        <w:t xml:space="preserve">American </w:t>
      </w:r>
      <w:r w:rsidR="001D2213" w:rsidRPr="00FF0151">
        <w:rPr>
          <w:rFonts w:ascii="Trebuchet MS" w:eastAsia="Trebuchet MS" w:hAnsi="Trebuchet MS" w:cs="Trebuchet MS"/>
          <w:b/>
          <w:bCs/>
        </w:rPr>
        <w:t>National Center for Biotechnology Information (</w:t>
      </w:r>
      <w:r w:rsidR="00962902" w:rsidRPr="00FF0151">
        <w:rPr>
          <w:rFonts w:ascii="Trebuchet MS" w:eastAsia="Trebuchet MS" w:hAnsi="Trebuchet MS" w:cs="Trebuchet MS"/>
          <w:b/>
          <w:bCs/>
        </w:rPr>
        <w:t>NCBI</w:t>
      </w:r>
      <w:r w:rsidR="001D2213" w:rsidRPr="00FF0151">
        <w:rPr>
          <w:rFonts w:ascii="Trebuchet MS" w:eastAsia="Trebuchet MS" w:hAnsi="Trebuchet MS" w:cs="Trebuchet MS"/>
          <w:b/>
          <w:bCs/>
        </w:rPr>
        <w:t>)</w:t>
      </w:r>
      <w:r w:rsidR="00962902">
        <w:rPr>
          <w:rFonts w:ascii="Trebuchet MS" w:eastAsia="Trebuchet MS" w:hAnsi="Trebuchet MS" w:cs="Trebuchet MS"/>
        </w:rPr>
        <w:t xml:space="preserve"> and the </w:t>
      </w:r>
      <w:r w:rsidR="00962902" w:rsidRPr="00FF0151">
        <w:rPr>
          <w:rFonts w:ascii="Trebuchet MS" w:eastAsia="Trebuchet MS" w:hAnsi="Trebuchet MS" w:cs="Trebuchet MS"/>
          <w:b/>
          <w:bCs/>
        </w:rPr>
        <w:t xml:space="preserve">Japanese </w:t>
      </w:r>
      <w:r w:rsidR="001D2213" w:rsidRPr="00FF0151">
        <w:rPr>
          <w:rFonts w:ascii="Trebuchet MS" w:eastAsia="Trebuchet MS" w:hAnsi="Trebuchet MS" w:cs="Trebuchet MS"/>
          <w:b/>
          <w:bCs/>
        </w:rPr>
        <w:t>DNA Databank of Japan (</w:t>
      </w:r>
      <w:r w:rsidR="00962902" w:rsidRPr="00FF0151">
        <w:rPr>
          <w:rFonts w:ascii="Trebuchet MS" w:eastAsia="Trebuchet MS" w:hAnsi="Trebuchet MS" w:cs="Trebuchet MS"/>
          <w:b/>
          <w:bCs/>
        </w:rPr>
        <w:t>DD</w:t>
      </w:r>
      <w:r w:rsidR="001D2213" w:rsidRPr="00FF0151">
        <w:rPr>
          <w:rFonts w:ascii="Trebuchet MS" w:eastAsia="Trebuchet MS" w:hAnsi="Trebuchet MS" w:cs="Trebuchet MS"/>
          <w:b/>
          <w:bCs/>
        </w:rPr>
        <w:t>BJ)</w:t>
      </w:r>
      <w:r w:rsidR="00962902">
        <w:rPr>
          <w:rFonts w:ascii="Trebuchet MS" w:eastAsia="Trebuchet MS" w:hAnsi="Trebuchet MS" w:cs="Trebuchet MS"/>
        </w:rPr>
        <w:t xml:space="preserve"> databases.</w:t>
      </w:r>
      <w:r w:rsidR="001D2213">
        <w:rPr>
          <w:rFonts w:ascii="Trebuchet MS" w:eastAsia="Trebuchet MS" w:hAnsi="Trebuchet MS" w:cs="Trebuchet MS"/>
        </w:rPr>
        <w:t xml:space="preserve"> Since all three databases daily exchange their information, su</w:t>
      </w:r>
      <w:r w:rsidR="00FF0151">
        <w:rPr>
          <w:rFonts w:ascii="Trebuchet MS" w:eastAsia="Trebuchet MS" w:hAnsi="Trebuchet MS" w:cs="Trebuchet MS"/>
        </w:rPr>
        <w:t>b</w:t>
      </w:r>
      <w:r w:rsidR="001D2213">
        <w:rPr>
          <w:rFonts w:ascii="Trebuchet MS" w:eastAsia="Trebuchet MS" w:hAnsi="Trebuchet MS" w:cs="Trebuchet MS"/>
        </w:rPr>
        <w:t>mitting sequences to one database makes them available on all three.</w:t>
      </w:r>
    </w:p>
    <w:p w:rsidR="00FF0151" w:rsidRDefault="00FF0151" w:rsidP="00E05FC9">
      <w:pPr>
        <w:rPr>
          <w:rFonts w:ascii="Trebuchet MS" w:eastAsia="Trebuchet MS" w:hAnsi="Trebuchet MS" w:cs="Trebuchet MS"/>
        </w:rPr>
      </w:pPr>
    </w:p>
    <w:p w:rsidR="00FF0151" w:rsidRDefault="00FF0151" w:rsidP="00E05FC9">
      <w:pPr>
        <w:rPr>
          <w:rFonts w:ascii="Trebuchet MS" w:eastAsia="Trebuchet MS" w:hAnsi="Trebuchet MS" w:cs="Trebuchet MS"/>
        </w:rPr>
      </w:pPr>
      <w:r>
        <w:rPr>
          <w:rFonts w:ascii="Trebuchet MS" w:eastAsia="Trebuchet MS" w:hAnsi="Trebuchet MS" w:cs="Trebuchet MS"/>
        </w:rPr>
        <w:t xml:space="preserve">Having the sequences of a study publicly available is </w:t>
      </w:r>
      <w:r>
        <w:rPr>
          <w:rFonts w:ascii="Trebuchet MS" w:eastAsia="Trebuchet MS" w:hAnsi="Trebuchet MS" w:cs="Trebuchet MS"/>
        </w:rPr>
        <w:t xml:space="preserve">commonly </w:t>
      </w:r>
      <w:r>
        <w:rPr>
          <w:rFonts w:ascii="Trebuchet MS" w:eastAsia="Trebuchet MS" w:hAnsi="Trebuchet MS" w:cs="Trebuchet MS"/>
        </w:rPr>
        <w:t xml:space="preserve">a minimal requirement to publish in most journals, and to register a dataset on the </w:t>
      </w:r>
      <w:r w:rsidRPr="00FF0151">
        <w:rPr>
          <w:rFonts w:ascii="Trebuchet MS" w:eastAsia="Trebuchet MS" w:hAnsi="Trebuchet MS" w:cs="Trebuchet MS"/>
          <w:b/>
          <w:bCs/>
        </w:rPr>
        <w:t>microbial Antarctic Resource System (</w:t>
      </w:r>
      <w:proofErr w:type="spellStart"/>
      <w:r w:rsidRPr="00FF0151">
        <w:rPr>
          <w:rFonts w:ascii="Trebuchet MS" w:eastAsia="Trebuchet MS" w:hAnsi="Trebuchet MS" w:cs="Trebuchet MS"/>
          <w:b/>
          <w:bCs/>
        </w:rPr>
        <w:t>mARS</w:t>
      </w:r>
      <w:proofErr w:type="spellEnd"/>
      <w:r w:rsidRPr="00FF0151">
        <w:rPr>
          <w:rFonts w:ascii="Trebuchet MS" w:eastAsia="Trebuchet MS" w:hAnsi="Trebuchet MS" w:cs="Trebuchet MS"/>
          <w:b/>
          <w:bCs/>
        </w:rPr>
        <w:t>)</w:t>
      </w:r>
      <w:r>
        <w:rPr>
          <w:rFonts w:ascii="Trebuchet MS" w:eastAsia="Trebuchet MS" w:hAnsi="Trebuchet MS" w:cs="Trebuchet MS"/>
        </w:rPr>
        <w:t>.</w:t>
      </w:r>
    </w:p>
    <w:p w:rsidR="009B754E" w:rsidRDefault="009B754E" w:rsidP="00E05FC9">
      <w:pPr>
        <w:rPr>
          <w:rFonts w:ascii="Trebuchet MS" w:eastAsia="Trebuchet MS" w:hAnsi="Trebuchet MS" w:cs="Trebuchet MS"/>
        </w:rPr>
      </w:pPr>
    </w:p>
    <w:p w:rsidR="001E76CE" w:rsidRDefault="009B754E" w:rsidP="00E05FC9">
      <w:pPr>
        <w:rPr>
          <w:rFonts w:ascii="Trebuchet MS" w:eastAsia="Trebuchet MS" w:hAnsi="Trebuchet MS" w:cs="Trebuchet MS"/>
        </w:rPr>
      </w:pPr>
      <w:r>
        <w:rPr>
          <w:rFonts w:ascii="Trebuchet MS" w:eastAsia="Trebuchet MS" w:hAnsi="Trebuchet MS" w:cs="Trebuchet MS"/>
        </w:rPr>
        <w:t xml:space="preserve">However, uploading those sequences to one of the INSDC databases is not </w:t>
      </w:r>
      <w:r w:rsidR="001D2213">
        <w:rPr>
          <w:rFonts w:ascii="Trebuchet MS" w:eastAsia="Trebuchet MS" w:hAnsi="Trebuchet MS" w:cs="Trebuchet MS"/>
        </w:rPr>
        <w:t xml:space="preserve">always </w:t>
      </w:r>
      <w:r>
        <w:rPr>
          <w:rFonts w:ascii="Trebuchet MS" w:eastAsia="Trebuchet MS" w:hAnsi="Trebuchet MS" w:cs="Trebuchet MS"/>
        </w:rPr>
        <w:t xml:space="preserve">straightforward, and </w:t>
      </w:r>
      <w:r w:rsidR="001D2213">
        <w:rPr>
          <w:rFonts w:ascii="Trebuchet MS" w:eastAsia="Trebuchet MS" w:hAnsi="Trebuchet MS" w:cs="Trebuchet MS"/>
        </w:rPr>
        <w:t>can be</w:t>
      </w:r>
      <w:r>
        <w:rPr>
          <w:rFonts w:ascii="Trebuchet MS" w:eastAsia="Trebuchet MS" w:hAnsi="Trebuchet MS" w:cs="Trebuchet MS"/>
        </w:rPr>
        <w:t xml:space="preserve"> complicated and confusing for </w:t>
      </w:r>
      <w:r w:rsidR="001D2213">
        <w:rPr>
          <w:rFonts w:ascii="Trebuchet MS" w:eastAsia="Trebuchet MS" w:hAnsi="Trebuchet MS" w:cs="Trebuchet MS"/>
        </w:rPr>
        <w:t>new users because it requires a basic understanding of data formats, specific terminology and standardized data vocabularies</w:t>
      </w:r>
      <w:r>
        <w:rPr>
          <w:rFonts w:ascii="Trebuchet MS" w:eastAsia="Trebuchet MS" w:hAnsi="Trebuchet MS" w:cs="Trebuchet MS"/>
        </w:rPr>
        <w:t>.</w:t>
      </w:r>
      <w:r w:rsidR="001D2213">
        <w:rPr>
          <w:rFonts w:ascii="Trebuchet MS" w:eastAsia="Trebuchet MS" w:hAnsi="Trebuchet MS" w:cs="Trebuchet MS"/>
        </w:rPr>
        <w:t xml:space="preserve"> </w:t>
      </w:r>
    </w:p>
    <w:p w:rsidR="001D2213" w:rsidRDefault="001D2213" w:rsidP="00E05FC9">
      <w:pPr>
        <w:rPr>
          <w:rFonts w:ascii="Trebuchet MS" w:eastAsia="Trebuchet MS" w:hAnsi="Trebuchet MS" w:cs="Trebuchet MS"/>
        </w:rPr>
      </w:pPr>
    </w:p>
    <w:p w:rsidR="001D2213" w:rsidRDefault="001D2213" w:rsidP="00E05FC9">
      <w:pPr>
        <w:rPr>
          <w:rFonts w:ascii="Trebuchet MS" w:eastAsia="Trebuchet MS" w:hAnsi="Trebuchet MS" w:cs="Trebuchet MS"/>
        </w:rPr>
      </w:pPr>
      <w:r>
        <w:rPr>
          <w:rFonts w:ascii="Trebuchet MS" w:eastAsia="Trebuchet MS" w:hAnsi="Trebuchet MS" w:cs="Trebuchet MS"/>
        </w:rPr>
        <w:t>This tutorial will guide you through the steps of submitting sequence data to INSDC.</w:t>
      </w:r>
      <w:r w:rsidR="00FF0151">
        <w:rPr>
          <w:rFonts w:ascii="Trebuchet MS" w:eastAsia="Trebuchet MS" w:hAnsi="Trebuchet MS" w:cs="Trebuchet MS"/>
        </w:rPr>
        <w:t xml:space="preserve"> More specifically, we will focus on short read data, generated by high throughput sequencing, like </w:t>
      </w:r>
      <w:proofErr w:type="spellStart"/>
      <w:r w:rsidR="00FF0151">
        <w:rPr>
          <w:rFonts w:ascii="Trebuchet MS" w:eastAsia="Trebuchet MS" w:hAnsi="Trebuchet MS" w:cs="Trebuchet MS"/>
        </w:rPr>
        <w:t>metabarcode</w:t>
      </w:r>
      <w:proofErr w:type="spellEnd"/>
      <w:r w:rsidR="00FF0151">
        <w:rPr>
          <w:rFonts w:ascii="Trebuchet MS" w:eastAsia="Trebuchet MS" w:hAnsi="Trebuchet MS" w:cs="Trebuchet MS"/>
        </w:rPr>
        <w:t xml:space="preserve"> sequencing (synonym: amplicon or marker sequencing) and whole genome shotgun sequencing.</w:t>
      </w:r>
      <w:r w:rsidR="00AB6AFF">
        <w:rPr>
          <w:rFonts w:ascii="Trebuchet MS" w:eastAsia="Trebuchet MS" w:hAnsi="Trebuchet MS" w:cs="Trebuchet MS"/>
        </w:rPr>
        <w:t xml:space="preserve"> We will focus on submitting data to the SRA database on NCBI (see </w:t>
      </w:r>
      <w:proofErr w:type="spellStart"/>
      <w:r w:rsidR="00AB6AFF">
        <w:rPr>
          <w:rFonts w:ascii="Trebuchet MS" w:eastAsia="Trebuchet MS" w:hAnsi="Trebuchet MS" w:cs="Trebuchet MS"/>
        </w:rPr>
        <w:t>therminology</w:t>
      </w:r>
      <w:proofErr w:type="spellEnd"/>
      <w:r w:rsidR="00AB6AFF">
        <w:rPr>
          <w:rFonts w:ascii="Trebuchet MS" w:eastAsia="Trebuchet MS" w:hAnsi="Trebuchet MS" w:cs="Trebuchet MS"/>
        </w:rPr>
        <w:t>).</w:t>
      </w:r>
    </w:p>
    <w:p w:rsidR="009A4E89" w:rsidRDefault="009A4E89" w:rsidP="00880F99">
      <w:pPr>
        <w:widowControl w:val="0"/>
        <w:pBdr>
          <w:top w:val="nil"/>
          <w:left w:val="nil"/>
          <w:bottom w:val="nil"/>
          <w:right w:val="nil"/>
          <w:between w:val="nil"/>
        </w:pBdr>
        <w:jc w:val="both"/>
        <w:rPr>
          <w:rFonts w:ascii="Trebuchet MS" w:eastAsia="Trebuchet MS" w:hAnsi="Trebuchet MS" w:cs="Trebuchet MS"/>
        </w:rPr>
      </w:pPr>
    </w:p>
    <w:p w:rsidR="009A4E89" w:rsidRPr="009A4E89" w:rsidRDefault="009A4E89" w:rsidP="00880F99">
      <w:pPr>
        <w:widowControl w:val="0"/>
        <w:pBdr>
          <w:top w:val="nil"/>
          <w:left w:val="nil"/>
          <w:bottom w:val="nil"/>
          <w:right w:val="nil"/>
          <w:between w:val="nil"/>
        </w:pBdr>
        <w:jc w:val="both"/>
        <w:rPr>
          <w:rFonts w:ascii="Trebuchet MS" w:eastAsia="Trebuchet MS" w:hAnsi="Trebuchet MS" w:cs="Trebuchet MS"/>
          <w:b/>
          <w:sz w:val="32"/>
          <w:szCs w:val="32"/>
        </w:rPr>
      </w:pPr>
      <w:r w:rsidRPr="009A4E89">
        <w:rPr>
          <w:rFonts w:ascii="Trebuchet MS" w:eastAsia="Trebuchet MS" w:hAnsi="Trebuchet MS" w:cs="Trebuchet MS"/>
          <w:b/>
          <w:sz w:val="32"/>
          <w:szCs w:val="32"/>
        </w:rPr>
        <w:t>How to use th</w:t>
      </w:r>
      <w:r w:rsidR="00FF0151">
        <w:rPr>
          <w:rFonts w:ascii="Trebuchet MS" w:eastAsia="Trebuchet MS" w:hAnsi="Trebuchet MS" w:cs="Trebuchet MS"/>
          <w:b/>
          <w:sz w:val="32"/>
          <w:szCs w:val="32"/>
        </w:rPr>
        <w:t>is</w:t>
      </w:r>
      <w:r w:rsidRPr="009A4E89">
        <w:rPr>
          <w:rFonts w:ascii="Trebuchet MS" w:eastAsia="Trebuchet MS" w:hAnsi="Trebuchet MS" w:cs="Trebuchet MS"/>
          <w:b/>
          <w:sz w:val="32"/>
          <w:szCs w:val="32"/>
        </w:rPr>
        <w:t xml:space="preserve"> tutorial</w:t>
      </w:r>
    </w:p>
    <w:p w:rsidR="00B870F4" w:rsidRDefault="009A4E89" w:rsidP="00880F99">
      <w:pPr>
        <w:widowControl w:val="0"/>
        <w:pBdr>
          <w:top w:val="nil"/>
          <w:left w:val="nil"/>
          <w:bottom w:val="nil"/>
          <w:right w:val="nil"/>
          <w:between w:val="nil"/>
        </w:pBdr>
        <w:jc w:val="both"/>
        <w:rPr>
          <w:rFonts w:ascii="Trebuchet MS" w:eastAsia="Trebuchet MS" w:hAnsi="Trebuchet MS" w:cs="Trebuchet MS"/>
        </w:rPr>
      </w:pPr>
      <w:r>
        <w:rPr>
          <w:rFonts w:ascii="Trebuchet MS" w:eastAsia="Trebuchet MS" w:hAnsi="Trebuchet MS" w:cs="Trebuchet MS"/>
        </w:rPr>
        <w:t>The best way to use th</w:t>
      </w:r>
      <w:r w:rsidR="00FF0151">
        <w:rPr>
          <w:rFonts w:ascii="Trebuchet MS" w:eastAsia="Trebuchet MS" w:hAnsi="Trebuchet MS" w:cs="Trebuchet MS"/>
        </w:rPr>
        <w:t>is</w:t>
      </w:r>
      <w:r>
        <w:rPr>
          <w:rFonts w:ascii="Trebuchet MS" w:eastAsia="Trebuchet MS" w:hAnsi="Trebuchet MS" w:cs="Trebuchet MS"/>
        </w:rPr>
        <w:t xml:space="preserve"> tutorial, is to</w:t>
      </w:r>
      <w:r w:rsidR="00FF0151">
        <w:rPr>
          <w:rFonts w:ascii="Trebuchet MS" w:eastAsia="Trebuchet MS" w:hAnsi="Trebuchet MS" w:cs="Trebuchet MS"/>
        </w:rPr>
        <w:t xml:space="preserve"> have a quick read-through before you start, and then</w:t>
      </w:r>
      <w:r>
        <w:rPr>
          <w:rFonts w:ascii="Trebuchet MS" w:eastAsia="Trebuchet MS" w:hAnsi="Trebuchet MS" w:cs="Trebuchet MS"/>
        </w:rPr>
        <w:t xml:space="preserve"> follow </w:t>
      </w:r>
      <w:r w:rsidR="00FF0151">
        <w:rPr>
          <w:rFonts w:ascii="Trebuchet MS" w:eastAsia="Trebuchet MS" w:hAnsi="Trebuchet MS" w:cs="Trebuchet MS"/>
        </w:rPr>
        <w:t>it</w:t>
      </w:r>
      <w:r>
        <w:rPr>
          <w:rFonts w:ascii="Trebuchet MS" w:eastAsia="Trebuchet MS" w:hAnsi="Trebuchet MS" w:cs="Trebuchet MS"/>
        </w:rPr>
        <w:t xml:space="preserve"> step by step while </w:t>
      </w:r>
      <w:r w:rsidR="00BE1E65">
        <w:rPr>
          <w:rFonts w:ascii="Trebuchet MS" w:eastAsia="Trebuchet MS" w:hAnsi="Trebuchet MS" w:cs="Trebuchet MS"/>
        </w:rPr>
        <w:t>simultaneously running through the protocol with your own dataset</w:t>
      </w:r>
      <w:r w:rsidR="003C6F48">
        <w:rPr>
          <w:rFonts w:ascii="Trebuchet MS" w:eastAsia="Trebuchet MS" w:hAnsi="Trebuchet MS" w:cs="Trebuchet MS"/>
        </w:rPr>
        <w:t>.</w:t>
      </w:r>
    </w:p>
    <w:p w:rsidR="003C6F48" w:rsidRDefault="003C6F48" w:rsidP="00880F99">
      <w:pPr>
        <w:widowControl w:val="0"/>
        <w:pBdr>
          <w:top w:val="nil"/>
          <w:left w:val="nil"/>
          <w:bottom w:val="nil"/>
          <w:right w:val="nil"/>
          <w:between w:val="nil"/>
        </w:pBdr>
        <w:jc w:val="both"/>
        <w:rPr>
          <w:rFonts w:ascii="Trebuchet MS" w:eastAsia="Trebuchet MS" w:hAnsi="Trebuchet MS" w:cs="Trebuchet MS"/>
        </w:rPr>
      </w:pPr>
    </w:p>
    <w:p w:rsidR="003C6F48" w:rsidRDefault="003C6F48" w:rsidP="00880F99">
      <w:pPr>
        <w:widowControl w:val="0"/>
        <w:pBdr>
          <w:top w:val="nil"/>
          <w:left w:val="nil"/>
          <w:bottom w:val="nil"/>
          <w:right w:val="nil"/>
          <w:between w:val="nil"/>
        </w:pBdr>
        <w:jc w:val="both"/>
        <w:rPr>
          <w:rFonts w:ascii="Trebuchet MS" w:eastAsia="Trebuchet MS" w:hAnsi="Trebuchet MS" w:cs="Trebuchet MS"/>
        </w:rPr>
      </w:pPr>
      <w:r>
        <w:rPr>
          <w:rFonts w:ascii="Trebuchet MS" w:eastAsia="Trebuchet MS" w:hAnsi="Trebuchet MS" w:cs="Trebuchet MS"/>
        </w:rPr>
        <w:t xml:space="preserve">Disclaimer: </w:t>
      </w:r>
    </w:p>
    <w:p w:rsidR="003C6F48" w:rsidRPr="003C6F48" w:rsidRDefault="003C6F48" w:rsidP="003C6F48">
      <w:pPr>
        <w:pStyle w:val="ListParagraph"/>
        <w:widowControl w:val="0"/>
        <w:numPr>
          <w:ilvl w:val="0"/>
          <w:numId w:val="12"/>
        </w:numPr>
        <w:pBdr>
          <w:top w:val="nil"/>
          <w:left w:val="nil"/>
          <w:bottom w:val="nil"/>
          <w:right w:val="nil"/>
          <w:between w:val="nil"/>
        </w:pBdr>
        <w:jc w:val="both"/>
        <w:rPr>
          <w:rFonts w:ascii="Trebuchet MS" w:eastAsia="Trebuchet MS" w:hAnsi="Trebuchet MS" w:cs="Trebuchet MS"/>
        </w:rPr>
      </w:pPr>
      <w:r w:rsidRPr="003C6F48">
        <w:rPr>
          <w:rFonts w:ascii="Trebuchet MS" w:eastAsia="Trebuchet MS" w:hAnsi="Trebuchet MS" w:cs="Trebuchet MS"/>
        </w:rPr>
        <w:t xml:space="preserve">This tutorial was made by the </w:t>
      </w:r>
      <w:proofErr w:type="spellStart"/>
      <w:r w:rsidRPr="003C6F48">
        <w:rPr>
          <w:rFonts w:ascii="Trebuchet MS" w:eastAsia="Trebuchet MS" w:hAnsi="Trebuchet MS" w:cs="Trebuchet MS"/>
        </w:rPr>
        <w:t>mARS</w:t>
      </w:r>
      <w:proofErr w:type="spellEnd"/>
      <w:r w:rsidRPr="003C6F48">
        <w:rPr>
          <w:rFonts w:ascii="Trebuchet MS" w:eastAsia="Trebuchet MS" w:hAnsi="Trebuchet MS" w:cs="Trebuchet MS"/>
        </w:rPr>
        <w:t xml:space="preserve"> team of the Royal Belgian Institute of Natural </w:t>
      </w:r>
      <w:proofErr w:type="gramStart"/>
      <w:r w:rsidRPr="003C6F48">
        <w:rPr>
          <w:rFonts w:ascii="Trebuchet MS" w:eastAsia="Trebuchet MS" w:hAnsi="Trebuchet MS" w:cs="Trebuchet MS"/>
        </w:rPr>
        <w:t>Sciences, and</w:t>
      </w:r>
      <w:proofErr w:type="gramEnd"/>
      <w:r w:rsidRPr="003C6F48">
        <w:rPr>
          <w:rFonts w:ascii="Trebuchet MS" w:eastAsia="Trebuchet MS" w:hAnsi="Trebuchet MS" w:cs="Trebuchet MS"/>
        </w:rPr>
        <w:t xml:space="preserve"> is not an official INSDC document.</w:t>
      </w:r>
    </w:p>
    <w:p w:rsidR="003C6F48" w:rsidRPr="003C6F48" w:rsidRDefault="003C6F48" w:rsidP="003C6F48">
      <w:pPr>
        <w:pStyle w:val="ListParagraph"/>
        <w:widowControl w:val="0"/>
        <w:numPr>
          <w:ilvl w:val="0"/>
          <w:numId w:val="12"/>
        </w:numPr>
        <w:pBdr>
          <w:top w:val="nil"/>
          <w:left w:val="nil"/>
          <w:bottom w:val="nil"/>
          <w:right w:val="nil"/>
          <w:between w:val="nil"/>
        </w:pBdr>
        <w:jc w:val="both"/>
        <w:rPr>
          <w:rFonts w:ascii="Trebuchet MS" w:eastAsia="Trebuchet MS" w:hAnsi="Trebuchet MS" w:cs="Trebuchet MS"/>
        </w:rPr>
      </w:pPr>
      <w:r w:rsidRPr="003C6F48">
        <w:rPr>
          <w:rFonts w:ascii="Trebuchet MS" w:eastAsia="Trebuchet MS" w:hAnsi="Trebuchet MS" w:cs="Trebuchet MS"/>
        </w:rPr>
        <w:t xml:space="preserve">NCBI and GSC continuously develop their websites and standards to meet the present needs of the scientific community. This means that topics discussed in </w:t>
      </w:r>
      <w:r w:rsidRPr="003C6F48">
        <w:rPr>
          <w:rFonts w:ascii="Trebuchet MS" w:eastAsia="Trebuchet MS" w:hAnsi="Trebuchet MS" w:cs="Trebuchet MS"/>
        </w:rPr>
        <w:lastRenderedPageBreak/>
        <w:t>this tutorial may become outdated. If so, please contact us (</w:t>
      </w:r>
      <w:hyperlink r:id="rId5" w:history="1">
        <w:r w:rsidRPr="003C6F48">
          <w:rPr>
            <w:rStyle w:val="Hyperlink"/>
            <w:rFonts w:ascii="Trebuchet MS" w:eastAsia="Trebuchet MS" w:hAnsi="Trebuchet MS" w:cs="Trebuchet MS"/>
          </w:rPr>
          <w:t>msweetlove@naturalsciences.be</w:t>
        </w:r>
      </w:hyperlink>
      <w:r w:rsidRPr="003C6F48">
        <w:rPr>
          <w:rFonts w:ascii="Trebuchet MS" w:eastAsia="Trebuchet MS" w:hAnsi="Trebuchet MS" w:cs="Trebuchet MS"/>
        </w:rPr>
        <w:t xml:space="preserve"> or </w:t>
      </w:r>
      <w:hyperlink r:id="rId6" w:history="1">
        <w:r w:rsidRPr="003C6F48">
          <w:rPr>
            <w:rStyle w:val="Hyperlink"/>
            <w:rFonts w:ascii="Trebuchet MS" w:eastAsia="Trebuchet MS" w:hAnsi="Trebuchet MS" w:cs="Trebuchet MS"/>
          </w:rPr>
          <w:t>avandeputte@naturalsciences.be</w:t>
        </w:r>
      </w:hyperlink>
      <w:r w:rsidRPr="003C6F48">
        <w:rPr>
          <w:rFonts w:ascii="Trebuchet MS" w:eastAsia="Trebuchet MS" w:hAnsi="Trebuchet MS" w:cs="Trebuchet MS"/>
        </w:rPr>
        <w:t>) so we can update the tutorial.</w:t>
      </w:r>
    </w:p>
    <w:p w:rsidR="009B754E" w:rsidRDefault="009B754E" w:rsidP="00880F99">
      <w:pPr>
        <w:widowControl w:val="0"/>
        <w:pBdr>
          <w:top w:val="nil"/>
          <w:left w:val="nil"/>
          <w:bottom w:val="nil"/>
          <w:right w:val="nil"/>
          <w:between w:val="nil"/>
        </w:pBdr>
        <w:jc w:val="both"/>
        <w:rPr>
          <w:rFonts w:ascii="Trebuchet MS" w:eastAsia="Trebuchet MS" w:hAnsi="Trebuchet MS" w:cs="Trebuchet MS"/>
        </w:rPr>
      </w:pPr>
    </w:p>
    <w:p w:rsidR="00FD6F2A" w:rsidRDefault="00FD6F2A" w:rsidP="00FD6F2A">
      <w:pPr>
        <w:widowControl w:val="0"/>
        <w:pBdr>
          <w:top w:val="nil"/>
          <w:left w:val="nil"/>
          <w:bottom w:val="nil"/>
          <w:right w:val="nil"/>
          <w:between w:val="nil"/>
        </w:pBdr>
        <w:jc w:val="both"/>
        <w:rPr>
          <w:rFonts w:ascii="Trebuchet MS" w:eastAsia="Trebuchet MS" w:hAnsi="Trebuchet MS" w:cs="Trebuchet MS"/>
        </w:rPr>
      </w:pPr>
    </w:p>
    <w:p w:rsidR="00D23BF5" w:rsidRDefault="00D23BF5" w:rsidP="00D23BF5">
      <w:pPr>
        <w:widowControl w:val="0"/>
        <w:pBdr>
          <w:top w:val="nil"/>
          <w:left w:val="nil"/>
          <w:bottom w:val="nil"/>
          <w:right w:val="nil"/>
          <w:between w:val="nil"/>
        </w:pBdr>
        <w:jc w:val="both"/>
        <w:rPr>
          <w:rFonts w:ascii="Trebuchet MS" w:eastAsia="Trebuchet MS" w:hAnsi="Trebuchet MS" w:cs="Trebuchet MS"/>
          <w:b/>
          <w:sz w:val="32"/>
          <w:szCs w:val="32"/>
        </w:rPr>
      </w:pPr>
      <w:r>
        <w:rPr>
          <w:rFonts w:ascii="Trebuchet MS" w:eastAsia="Trebuchet MS" w:hAnsi="Trebuchet MS" w:cs="Trebuchet MS"/>
          <w:b/>
          <w:sz w:val="32"/>
          <w:szCs w:val="32"/>
        </w:rPr>
        <w:t>Important terminology</w:t>
      </w:r>
    </w:p>
    <w:p w:rsidR="00FF0151" w:rsidRPr="00B86A11" w:rsidRDefault="00FF0151" w:rsidP="00FF0151">
      <w:pPr>
        <w:pStyle w:val="ListParagraph"/>
        <w:widowControl w:val="0"/>
        <w:numPr>
          <w:ilvl w:val="0"/>
          <w:numId w:val="11"/>
        </w:numPr>
        <w:pBdr>
          <w:top w:val="nil"/>
          <w:left w:val="nil"/>
          <w:bottom w:val="nil"/>
          <w:right w:val="nil"/>
          <w:between w:val="nil"/>
        </w:pBdr>
        <w:jc w:val="both"/>
        <w:rPr>
          <w:rFonts w:ascii="Trebuchet MS" w:eastAsia="Trebuchet MS" w:hAnsi="Trebuchet MS" w:cs="Trebuchet MS"/>
        </w:rPr>
      </w:pPr>
      <w:proofErr w:type="spellStart"/>
      <w:r w:rsidRPr="00754A1B">
        <w:rPr>
          <w:rFonts w:ascii="Trebuchet MS" w:eastAsia="Trebuchet MS" w:hAnsi="Trebuchet MS" w:cs="Trebuchet MS"/>
          <w:b/>
          <w:bCs/>
        </w:rPr>
        <w:t>BioProject</w:t>
      </w:r>
      <w:proofErr w:type="spellEnd"/>
      <w:r w:rsidRPr="00B86A11">
        <w:rPr>
          <w:rFonts w:ascii="Trebuchet MS" w:eastAsia="Trebuchet MS" w:hAnsi="Trebuchet MS" w:cs="Trebuchet MS"/>
        </w:rPr>
        <w:t xml:space="preserve">: A </w:t>
      </w:r>
      <w:proofErr w:type="spellStart"/>
      <w:r w:rsidRPr="00B86A11">
        <w:rPr>
          <w:rFonts w:ascii="Trebuchet MS" w:eastAsia="Trebuchet MS" w:hAnsi="Trebuchet MS" w:cs="Trebuchet MS"/>
        </w:rPr>
        <w:t>BioProject</w:t>
      </w:r>
      <w:proofErr w:type="spellEnd"/>
      <w:r w:rsidRPr="00B86A11">
        <w:rPr>
          <w:rFonts w:ascii="Trebuchet MS" w:eastAsia="Trebuchet MS" w:hAnsi="Trebuchet MS" w:cs="Trebuchet MS"/>
        </w:rPr>
        <w:t xml:space="preserve"> (represented by a unique </w:t>
      </w:r>
      <w:proofErr w:type="spellStart"/>
      <w:r w:rsidRPr="00B86A11">
        <w:rPr>
          <w:rFonts w:ascii="Trebuchet MS" w:eastAsia="Trebuchet MS" w:hAnsi="Trebuchet MS" w:cs="Trebuchet MS"/>
        </w:rPr>
        <w:t>BioProject</w:t>
      </w:r>
      <w:proofErr w:type="spellEnd"/>
      <w:r w:rsidRPr="00B86A11">
        <w:rPr>
          <w:rFonts w:ascii="Trebuchet MS" w:eastAsia="Trebuchet MS" w:hAnsi="Trebuchet MS" w:cs="Trebuchet MS"/>
        </w:rPr>
        <w:t xml:space="preserve"> number, starting with “PRJ”) is the highest level of the </w:t>
      </w:r>
      <w:proofErr w:type="spellStart"/>
      <w:r w:rsidRPr="00B86A11">
        <w:rPr>
          <w:rFonts w:ascii="Trebuchet MS" w:eastAsia="Trebuchet MS" w:hAnsi="Trebuchet MS" w:cs="Trebuchet MS"/>
        </w:rPr>
        <w:t>datastructure</w:t>
      </w:r>
      <w:proofErr w:type="spellEnd"/>
      <w:r w:rsidRPr="00B86A11">
        <w:rPr>
          <w:rFonts w:ascii="Trebuchet MS" w:eastAsia="Trebuchet MS" w:hAnsi="Trebuchet MS" w:cs="Trebuchet MS"/>
        </w:rPr>
        <w:t xml:space="preserve"> of NCBI. It represents a collection of biological data related to a single initiative, originating from a single organization. </w:t>
      </w:r>
      <w:r>
        <w:rPr>
          <w:rFonts w:ascii="Trebuchet MS" w:eastAsia="Trebuchet MS" w:hAnsi="Trebuchet MS" w:cs="Trebuchet MS"/>
        </w:rPr>
        <w:t xml:space="preserve">As such, a </w:t>
      </w:r>
      <w:proofErr w:type="spellStart"/>
      <w:r>
        <w:rPr>
          <w:rFonts w:ascii="Trebuchet MS" w:eastAsia="Trebuchet MS" w:hAnsi="Trebuchet MS" w:cs="Trebuchet MS"/>
        </w:rPr>
        <w:t>BioProject</w:t>
      </w:r>
      <w:proofErr w:type="spellEnd"/>
      <w:r>
        <w:rPr>
          <w:rFonts w:ascii="Trebuchet MS" w:eastAsia="Trebuchet MS" w:hAnsi="Trebuchet MS" w:cs="Trebuchet MS"/>
        </w:rPr>
        <w:t xml:space="preserve"> number represents a single identifier that links </w:t>
      </w:r>
      <w:r w:rsidRPr="00B86A11">
        <w:rPr>
          <w:rFonts w:ascii="Trebuchet MS" w:eastAsia="Trebuchet MS" w:hAnsi="Trebuchet MS" w:cs="Trebuchet MS"/>
        </w:rPr>
        <w:t xml:space="preserve">all </w:t>
      </w:r>
      <w:r>
        <w:rPr>
          <w:rFonts w:ascii="Trebuchet MS" w:eastAsia="Trebuchet MS" w:hAnsi="Trebuchet MS" w:cs="Trebuchet MS"/>
        </w:rPr>
        <w:t xml:space="preserve">diverse </w:t>
      </w:r>
      <w:r w:rsidRPr="00B86A11">
        <w:rPr>
          <w:rFonts w:ascii="Trebuchet MS" w:eastAsia="Trebuchet MS" w:hAnsi="Trebuchet MS" w:cs="Trebuchet MS"/>
        </w:rPr>
        <w:t xml:space="preserve">molecular data from different samples in a research </w:t>
      </w:r>
      <w:proofErr w:type="gramStart"/>
      <w:r w:rsidRPr="00B86A11">
        <w:rPr>
          <w:rFonts w:ascii="Trebuchet MS" w:eastAsia="Trebuchet MS" w:hAnsi="Trebuchet MS" w:cs="Trebuchet MS"/>
        </w:rPr>
        <w:t>project,</w:t>
      </w:r>
      <w:r>
        <w:rPr>
          <w:rFonts w:ascii="Trebuchet MS" w:eastAsia="Trebuchet MS" w:hAnsi="Trebuchet MS" w:cs="Trebuchet MS"/>
        </w:rPr>
        <w:t xml:space="preserve"> </w:t>
      </w:r>
      <w:r w:rsidRPr="00B86A11">
        <w:rPr>
          <w:rFonts w:ascii="Trebuchet MS" w:eastAsia="Trebuchet MS" w:hAnsi="Trebuchet MS" w:cs="Trebuchet MS"/>
        </w:rPr>
        <w:t>and</w:t>
      </w:r>
      <w:proofErr w:type="gramEnd"/>
      <w:r w:rsidRPr="00B86A11">
        <w:rPr>
          <w:rFonts w:ascii="Trebuchet MS" w:eastAsia="Trebuchet MS" w:hAnsi="Trebuchet MS" w:cs="Trebuchet MS"/>
        </w:rPr>
        <w:t xml:space="preserve"> can include data generated with different techniques (e.g. amplicon sequencing and metagenome shotgun sequencing). </w:t>
      </w:r>
    </w:p>
    <w:p w:rsidR="00FF0151" w:rsidRPr="00FF0151" w:rsidRDefault="00FF0151" w:rsidP="00FF0151">
      <w:pPr>
        <w:pStyle w:val="ListParagraph"/>
        <w:widowControl w:val="0"/>
        <w:numPr>
          <w:ilvl w:val="0"/>
          <w:numId w:val="11"/>
        </w:numPr>
        <w:pBdr>
          <w:top w:val="nil"/>
          <w:left w:val="nil"/>
          <w:bottom w:val="nil"/>
          <w:right w:val="nil"/>
          <w:between w:val="nil"/>
        </w:pBdr>
        <w:jc w:val="both"/>
        <w:rPr>
          <w:rFonts w:ascii="Trebuchet MS" w:eastAsia="Trebuchet MS" w:hAnsi="Trebuchet MS" w:cs="Trebuchet MS"/>
        </w:rPr>
      </w:pPr>
      <w:proofErr w:type="spellStart"/>
      <w:r w:rsidRPr="00754A1B">
        <w:rPr>
          <w:rFonts w:ascii="Trebuchet MS" w:eastAsia="Trebuchet MS" w:hAnsi="Trebuchet MS" w:cs="Trebuchet MS"/>
          <w:b/>
          <w:bCs/>
        </w:rPr>
        <w:t>BioSample</w:t>
      </w:r>
      <w:proofErr w:type="spellEnd"/>
      <w:r>
        <w:rPr>
          <w:rFonts w:ascii="Trebuchet MS" w:eastAsia="Trebuchet MS" w:hAnsi="Trebuchet MS" w:cs="Trebuchet MS"/>
        </w:rPr>
        <w:t xml:space="preserve">: The </w:t>
      </w:r>
      <w:proofErr w:type="spellStart"/>
      <w:r>
        <w:rPr>
          <w:rFonts w:ascii="Trebuchet MS" w:eastAsia="Trebuchet MS" w:hAnsi="Trebuchet MS" w:cs="Trebuchet MS"/>
        </w:rPr>
        <w:t>BioSample</w:t>
      </w:r>
      <w:proofErr w:type="spellEnd"/>
      <w:r>
        <w:rPr>
          <w:rFonts w:ascii="Trebuchet MS" w:eastAsia="Trebuchet MS" w:hAnsi="Trebuchet MS" w:cs="Trebuchet MS"/>
        </w:rPr>
        <w:t xml:space="preserve"> refers to a database that contains </w:t>
      </w:r>
      <w:r>
        <w:rPr>
          <w:rFonts w:ascii="Trebuchet MS" w:eastAsia="Trebuchet MS" w:hAnsi="Trebuchet MS" w:cs="Trebuchet MS"/>
        </w:rPr>
        <w:t>descriptions</w:t>
      </w:r>
      <w:r>
        <w:rPr>
          <w:rFonts w:ascii="Trebuchet MS" w:eastAsia="Trebuchet MS" w:hAnsi="Trebuchet MS" w:cs="Trebuchet MS"/>
        </w:rPr>
        <w:t xml:space="preserve"> of the biological source material</w:t>
      </w:r>
      <w:r>
        <w:rPr>
          <w:rFonts w:ascii="Trebuchet MS" w:eastAsia="Trebuchet MS" w:hAnsi="Trebuchet MS" w:cs="Trebuchet MS"/>
        </w:rPr>
        <w:t>, including lab protocol metadata and environmental measurements.</w:t>
      </w:r>
    </w:p>
    <w:p w:rsidR="00D23BF5" w:rsidRPr="00CB4A35" w:rsidRDefault="00D23BF5" w:rsidP="00CB4A35">
      <w:pPr>
        <w:pStyle w:val="ListParagraph"/>
        <w:numPr>
          <w:ilvl w:val="0"/>
          <w:numId w:val="11"/>
        </w:numPr>
        <w:rPr>
          <w:rFonts w:ascii="Trebuchet MS" w:eastAsia="Trebuchet MS" w:hAnsi="Trebuchet MS" w:cs="Trebuchet MS"/>
        </w:rPr>
      </w:pPr>
      <w:proofErr w:type="spellStart"/>
      <w:r w:rsidRPr="00754A1B">
        <w:rPr>
          <w:rFonts w:ascii="Trebuchet MS" w:eastAsia="Trebuchet MS" w:hAnsi="Trebuchet MS" w:cs="Trebuchet MS"/>
          <w:b/>
          <w:bCs/>
        </w:rPr>
        <w:t>mARS</w:t>
      </w:r>
      <w:proofErr w:type="spellEnd"/>
      <w:r w:rsidRPr="00CB4A35">
        <w:rPr>
          <w:rFonts w:ascii="Trebuchet MS" w:eastAsia="Trebuchet MS" w:hAnsi="Trebuchet MS" w:cs="Trebuchet MS"/>
        </w:rPr>
        <w:t xml:space="preserve">: </w:t>
      </w:r>
      <w:r w:rsidR="00CB4A35" w:rsidRPr="00CB4A35">
        <w:rPr>
          <w:rFonts w:ascii="Trebuchet MS" w:eastAsia="Trebuchet MS" w:hAnsi="Trebuchet MS" w:cs="Trebuchet MS"/>
        </w:rPr>
        <w:t>The microbial Antarctic Resource System (</w:t>
      </w:r>
      <w:proofErr w:type="spellStart"/>
      <w:r w:rsidR="00CB4A35" w:rsidRPr="00CB4A35">
        <w:rPr>
          <w:rFonts w:ascii="Trebuchet MS" w:eastAsia="Trebuchet MS" w:hAnsi="Trebuchet MS" w:cs="Trebuchet MS"/>
        </w:rPr>
        <w:t>mARS</w:t>
      </w:r>
      <w:proofErr w:type="spellEnd"/>
      <w:r w:rsidR="00CB4A35" w:rsidRPr="00CB4A35">
        <w:rPr>
          <w:rFonts w:ascii="Trebuchet MS" w:eastAsia="Trebuchet MS" w:hAnsi="Trebuchet MS" w:cs="Trebuchet MS"/>
        </w:rPr>
        <w:t>) is an online platform where Antarctic (or other polar/alpine) microbial datasets of research projects are archived and made discoverable for</w:t>
      </w:r>
      <w:r w:rsidR="00CB4A35" w:rsidRPr="00CB4A35">
        <w:rPr>
          <w:rFonts w:ascii="Trebuchet MS" w:eastAsia="Trebuchet MS" w:hAnsi="Trebuchet MS" w:cs="Trebuchet MS"/>
          <w:highlight w:val="white"/>
        </w:rPr>
        <w:t xml:space="preserve"> the scientific community</w:t>
      </w:r>
      <w:r w:rsidR="00CB4A35" w:rsidRPr="00CB4A35">
        <w:rPr>
          <w:rFonts w:ascii="Trebuchet MS" w:eastAsia="Trebuchet MS" w:hAnsi="Trebuchet MS" w:cs="Trebuchet MS"/>
        </w:rPr>
        <w:t xml:space="preserve">. </w:t>
      </w:r>
      <w:r w:rsidR="00FF0151">
        <w:rPr>
          <w:rFonts w:ascii="Trebuchet MS" w:eastAsia="Trebuchet MS" w:hAnsi="Trebuchet MS" w:cs="Trebuchet MS"/>
        </w:rPr>
        <w:t>It also tries to enrich datasets by linking sequence data to environmental measurement data.</w:t>
      </w:r>
    </w:p>
    <w:p w:rsidR="00D23BF5" w:rsidRPr="002015E9" w:rsidRDefault="00D23BF5" w:rsidP="002015E9">
      <w:pPr>
        <w:pStyle w:val="ListParagraph"/>
        <w:widowControl w:val="0"/>
        <w:numPr>
          <w:ilvl w:val="0"/>
          <w:numId w:val="11"/>
        </w:numPr>
        <w:pBdr>
          <w:top w:val="nil"/>
          <w:left w:val="nil"/>
          <w:bottom w:val="nil"/>
          <w:right w:val="nil"/>
          <w:between w:val="nil"/>
        </w:pBdr>
        <w:jc w:val="both"/>
        <w:rPr>
          <w:rFonts w:ascii="Trebuchet MS" w:eastAsia="Trebuchet MS" w:hAnsi="Trebuchet MS" w:cs="Trebuchet MS"/>
        </w:rPr>
      </w:pPr>
      <w:proofErr w:type="spellStart"/>
      <w:r w:rsidRPr="00754A1B">
        <w:rPr>
          <w:rFonts w:ascii="Trebuchet MS" w:eastAsia="Trebuchet MS" w:hAnsi="Trebuchet MS" w:cs="Trebuchet MS"/>
          <w:b/>
          <w:bCs/>
        </w:rPr>
        <w:t>MiMARKS</w:t>
      </w:r>
      <w:proofErr w:type="spellEnd"/>
      <w:r w:rsidRPr="00D23BF5">
        <w:rPr>
          <w:rFonts w:ascii="Trebuchet MS" w:eastAsia="Trebuchet MS" w:hAnsi="Trebuchet MS" w:cs="Trebuchet MS"/>
        </w:rPr>
        <w:t xml:space="preserve"> and </w:t>
      </w:r>
      <w:proofErr w:type="spellStart"/>
      <w:r w:rsidRPr="00754A1B">
        <w:rPr>
          <w:rFonts w:ascii="Trebuchet MS" w:eastAsia="Trebuchet MS" w:hAnsi="Trebuchet MS" w:cs="Trebuchet MS"/>
          <w:b/>
          <w:bCs/>
        </w:rPr>
        <w:t>MIxS</w:t>
      </w:r>
      <w:proofErr w:type="spellEnd"/>
      <w:r>
        <w:rPr>
          <w:rFonts w:ascii="Trebuchet MS" w:eastAsia="Trebuchet MS" w:hAnsi="Trebuchet MS" w:cs="Trebuchet MS"/>
        </w:rPr>
        <w:t xml:space="preserve">: </w:t>
      </w:r>
      <w:r w:rsidR="00CB4A35" w:rsidRPr="002015E9">
        <w:rPr>
          <w:rFonts w:ascii="Trebuchet MS" w:eastAsia="Trebuchet MS" w:hAnsi="Trebuchet MS" w:cs="Trebuchet MS"/>
        </w:rPr>
        <w:t xml:space="preserve">the minimum information about a marker gene sequence (MIMARKS) is </w:t>
      </w:r>
      <w:r w:rsidR="002015E9" w:rsidRPr="002015E9">
        <w:rPr>
          <w:rFonts w:ascii="Trebuchet MS" w:eastAsia="Trebuchet MS" w:hAnsi="Trebuchet MS" w:cs="Trebuchet MS"/>
        </w:rPr>
        <w:t xml:space="preserve">a standardized vocabulary to report about marker gene </w:t>
      </w:r>
      <w:proofErr w:type="gramStart"/>
      <w:r w:rsidR="002015E9" w:rsidRPr="002015E9">
        <w:rPr>
          <w:rFonts w:ascii="Trebuchet MS" w:eastAsia="Trebuchet MS" w:hAnsi="Trebuchet MS" w:cs="Trebuchet MS"/>
        </w:rPr>
        <w:t>sequences, an</w:t>
      </w:r>
      <w:r w:rsidR="00FF0151">
        <w:rPr>
          <w:rFonts w:ascii="Trebuchet MS" w:eastAsia="Trebuchet MS" w:hAnsi="Trebuchet MS" w:cs="Trebuchet MS"/>
        </w:rPr>
        <w:t>d</w:t>
      </w:r>
      <w:proofErr w:type="gramEnd"/>
      <w:r w:rsidR="002015E9" w:rsidRPr="002015E9">
        <w:rPr>
          <w:rFonts w:ascii="Trebuchet MS" w:eastAsia="Trebuchet MS" w:hAnsi="Trebuchet MS" w:cs="Trebuchet MS"/>
        </w:rPr>
        <w:t xml:space="preserve"> was</w:t>
      </w:r>
      <w:r w:rsidR="00CB4A35" w:rsidRPr="002015E9">
        <w:rPr>
          <w:rFonts w:ascii="Trebuchet MS" w:eastAsia="Trebuchet MS" w:hAnsi="Trebuchet MS" w:cs="Trebuchet MS"/>
        </w:rPr>
        <w:t xml:space="preserve"> developed by the Genomic Standards Consortium (GSC)</w:t>
      </w:r>
      <w:r w:rsidR="002015E9" w:rsidRPr="002015E9">
        <w:rPr>
          <w:rFonts w:ascii="Trebuchet MS" w:eastAsia="Trebuchet MS" w:hAnsi="Trebuchet MS" w:cs="Trebuchet MS"/>
        </w:rPr>
        <w:t>. This also includes a</w:t>
      </w:r>
      <w:r w:rsidR="00CB4A35" w:rsidRPr="002015E9">
        <w:rPr>
          <w:rFonts w:ascii="Trebuchet MS" w:eastAsia="Trebuchet MS" w:hAnsi="Trebuchet MS" w:cs="Trebuchet MS"/>
        </w:rPr>
        <w:t xml:space="preserve"> system for describing the environment from which a biological sample originates. </w:t>
      </w:r>
      <w:r w:rsidR="002015E9" w:rsidRPr="002015E9">
        <w:rPr>
          <w:rFonts w:ascii="Trebuchet MS" w:eastAsia="Trebuchet MS" w:hAnsi="Trebuchet MS" w:cs="Trebuchet MS"/>
        </w:rPr>
        <w:t>T</w:t>
      </w:r>
      <w:r w:rsidRPr="002015E9">
        <w:rPr>
          <w:rFonts w:ascii="Trebuchet MS" w:eastAsia="Trebuchet MS" w:hAnsi="Trebuchet MS" w:cs="Trebuchet MS"/>
        </w:rPr>
        <w:t>he minimal information on any (x) sequence (</w:t>
      </w:r>
      <w:proofErr w:type="spellStart"/>
      <w:r w:rsidRPr="002015E9">
        <w:rPr>
          <w:rFonts w:ascii="Trebuchet MS" w:eastAsia="Trebuchet MS" w:hAnsi="Trebuchet MS" w:cs="Trebuchet MS"/>
        </w:rPr>
        <w:t>MIxS</w:t>
      </w:r>
      <w:proofErr w:type="spellEnd"/>
      <w:r w:rsidRPr="002015E9">
        <w:rPr>
          <w:rFonts w:ascii="Trebuchet MS" w:eastAsia="Trebuchet MS" w:hAnsi="Trebuchet MS" w:cs="Trebuchet MS"/>
        </w:rPr>
        <w:t xml:space="preserve">) is an extended version of </w:t>
      </w:r>
      <w:proofErr w:type="spellStart"/>
      <w:r w:rsidRPr="002015E9">
        <w:rPr>
          <w:rFonts w:ascii="Trebuchet MS" w:eastAsia="Trebuchet MS" w:hAnsi="Trebuchet MS" w:cs="Trebuchet MS"/>
        </w:rPr>
        <w:t>MiMARKS</w:t>
      </w:r>
      <w:proofErr w:type="spellEnd"/>
      <w:r w:rsidRPr="002015E9">
        <w:rPr>
          <w:rFonts w:ascii="Trebuchet MS" w:eastAsia="Trebuchet MS" w:hAnsi="Trebuchet MS" w:cs="Trebuchet MS"/>
        </w:rPr>
        <w:t>, using the same vocabulary, but is aimed to be more inclusive of other types of data</w:t>
      </w:r>
      <w:r w:rsidR="00FF0151">
        <w:rPr>
          <w:rFonts w:ascii="Trebuchet MS" w:eastAsia="Trebuchet MS" w:hAnsi="Trebuchet MS" w:cs="Trebuchet MS"/>
        </w:rPr>
        <w:t>.</w:t>
      </w:r>
    </w:p>
    <w:p w:rsidR="00D23BF5" w:rsidRDefault="00D23BF5" w:rsidP="00D23BF5">
      <w:pPr>
        <w:pStyle w:val="ListParagraph"/>
        <w:widowControl w:val="0"/>
        <w:numPr>
          <w:ilvl w:val="0"/>
          <w:numId w:val="11"/>
        </w:numPr>
        <w:pBdr>
          <w:top w:val="nil"/>
          <w:left w:val="nil"/>
          <w:bottom w:val="nil"/>
          <w:right w:val="nil"/>
          <w:between w:val="nil"/>
        </w:pBdr>
        <w:jc w:val="both"/>
        <w:rPr>
          <w:rFonts w:ascii="Trebuchet MS" w:eastAsia="Trebuchet MS" w:hAnsi="Trebuchet MS" w:cs="Trebuchet MS"/>
        </w:rPr>
      </w:pPr>
      <w:r w:rsidRPr="00754A1B">
        <w:rPr>
          <w:rFonts w:ascii="Trebuchet MS" w:eastAsia="Trebuchet MS" w:hAnsi="Trebuchet MS" w:cs="Trebuchet MS"/>
          <w:b/>
          <w:bCs/>
        </w:rPr>
        <w:t>SRA</w:t>
      </w:r>
      <w:r w:rsidR="002015E9">
        <w:rPr>
          <w:rFonts w:ascii="Trebuchet MS" w:eastAsia="Trebuchet MS" w:hAnsi="Trebuchet MS" w:cs="Trebuchet MS"/>
        </w:rPr>
        <w:t xml:space="preserve">: The </w:t>
      </w:r>
      <w:r w:rsidR="00FF0151">
        <w:rPr>
          <w:rFonts w:ascii="Trebuchet MS" w:eastAsia="Trebuchet MS" w:hAnsi="Trebuchet MS" w:cs="Trebuchet MS"/>
        </w:rPr>
        <w:t>S</w:t>
      </w:r>
      <w:r w:rsidR="002015E9">
        <w:rPr>
          <w:rFonts w:ascii="Trebuchet MS" w:eastAsia="Trebuchet MS" w:hAnsi="Trebuchet MS" w:cs="Trebuchet MS"/>
        </w:rPr>
        <w:t>equence Read Archive (SRA) is the designated database of INSDC to store short read DNA sequence datasets, like amplicon/</w:t>
      </w:r>
      <w:proofErr w:type="spellStart"/>
      <w:r w:rsidR="002015E9">
        <w:rPr>
          <w:rFonts w:ascii="Trebuchet MS" w:eastAsia="Trebuchet MS" w:hAnsi="Trebuchet MS" w:cs="Trebuchet MS"/>
        </w:rPr>
        <w:t>metabarcode</w:t>
      </w:r>
      <w:proofErr w:type="spellEnd"/>
      <w:r w:rsidR="002015E9">
        <w:rPr>
          <w:rFonts w:ascii="Trebuchet MS" w:eastAsia="Trebuchet MS" w:hAnsi="Trebuchet MS" w:cs="Trebuchet MS"/>
        </w:rPr>
        <w:t xml:space="preserve"> and whole genome shotgun sequence datasets</w:t>
      </w:r>
    </w:p>
    <w:p w:rsidR="00D23BF5" w:rsidRDefault="00D23BF5" w:rsidP="00D23BF5">
      <w:pPr>
        <w:pStyle w:val="ListParagraph"/>
        <w:widowControl w:val="0"/>
        <w:numPr>
          <w:ilvl w:val="0"/>
          <w:numId w:val="11"/>
        </w:numPr>
        <w:pBdr>
          <w:top w:val="nil"/>
          <w:left w:val="nil"/>
          <w:bottom w:val="nil"/>
          <w:right w:val="nil"/>
          <w:between w:val="nil"/>
        </w:pBdr>
        <w:jc w:val="both"/>
        <w:rPr>
          <w:rFonts w:ascii="Trebuchet MS" w:eastAsia="Trebuchet MS" w:hAnsi="Trebuchet MS" w:cs="Trebuchet MS"/>
        </w:rPr>
      </w:pPr>
      <w:proofErr w:type="spellStart"/>
      <w:r w:rsidRPr="00754A1B">
        <w:rPr>
          <w:rFonts w:ascii="Trebuchet MS" w:eastAsia="Trebuchet MS" w:hAnsi="Trebuchet MS" w:cs="Trebuchet MS"/>
          <w:b/>
          <w:bCs/>
        </w:rPr>
        <w:t>Fasta</w:t>
      </w:r>
      <w:proofErr w:type="spellEnd"/>
      <w:r>
        <w:rPr>
          <w:rFonts w:ascii="Trebuchet MS" w:eastAsia="Trebuchet MS" w:hAnsi="Trebuchet MS" w:cs="Trebuchet MS"/>
        </w:rPr>
        <w:t xml:space="preserve"> and </w:t>
      </w:r>
      <w:proofErr w:type="spellStart"/>
      <w:r w:rsidRPr="00754A1B">
        <w:rPr>
          <w:rFonts w:ascii="Trebuchet MS" w:eastAsia="Trebuchet MS" w:hAnsi="Trebuchet MS" w:cs="Trebuchet MS"/>
          <w:b/>
          <w:bCs/>
        </w:rPr>
        <w:t>fastq</w:t>
      </w:r>
      <w:proofErr w:type="spellEnd"/>
      <w:r w:rsidR="002015E9">
        <w:rPr>
          <w:rFonts w:ascii="Trebuchet MS" w:eastAsia="Trebuchet MS" w:hAnsi="Trebuchet MS" w:cs="Trebuchet MS"/>
        </w:rPr>
        <w:t xml:space="preserve">: </w:t>
      </w:r>
      <w:proofErr w:type="spellStart"/>
      <w:r w:rsidR="002015E9">
        <w:rPr>
          <w:rFonts w:ascii="Trebuchet MS" w:eastAsia="Trebuchet MS" w:hAnsi="Trebuchet MS" w:cs="Trebuchet MS"/>
        </w:rPr>
        <w:t>Fasta</w:t>
      </w:r>
      <w:proofErr w:type="spellEnd"/>
      <w:r w:rsidR="002015E9">
        <w:rPr>
          <w:rFonts w:ascii="Trebuchet MS" w:eastAsia="Trebuchet MS" w:hAnsi="Trebuchet MS" w:cs="Trebuchet MS"/>
        </w:rPr>
        <w:t xml:space="preserve"> is a standard format to store DNA sequence information. Every read is represented by two lines, the first one starts with “&gt;” and contains the header (sometimes with additional info in a text format), followed by the second line with the DNA sequence. </w:t>
      </w:r>
      <w:proofErr w:type="spellStart"/>
      <w:r w:rsidR="002015E9">
        <w:rPr>
          <w:rFonts w:ascii="Trebuchet MS" w:eastAsia="Trebuchet MS" w:hAnsi="Trebuchet MS" w:cs="Trebuchet MS"/>
        </w:rPr>
        <w:t>Fastq</w:t>
      </w:r>
      <w:proofErr w:type="spellEnd"/>
      <w:r w:rsidR="002015E9">
        <w:rPr>
          <w:rFonts w:ascii="Trebuchet MS" w:eastAsia="Trebuchet MS" w:hAnsi="Trebuchet MS" w:cs="Trebuchet MS"/>
        </w:rPr>
        <w:t xml:space="preserve"> is an extended version of </w:t>
      </w:r>
      <w:proofErr w:type="spellStart"/>
      <w:r w:rsidR="002015E9">
        <w:rPr>
          <w:rFonts w:ascii="Trebuchet MS" w:eastAsia="Trebuchet MS" w:hAnsi="Trebuchet MS" w:cs="Trebuchet MS"/>
        </w:rPr>
        <w:t>fasta</w:t>
      </w:r>
      <w:proofErr w:type="spellEnd"/>
      <w:r w:rsidR="002015E9">
        <w:rPr>
          <w:rFonts w:ascii="Trebuchet MS" w:eastAsia="Trebuchet MS" w:hAnsi="Trebuchet MS" w:cs="Trebuchet MS"/>
        </w:rPr>
        <w:t xml:space="preserve"> that contains 2 additional lines, one starting with “@” and has the header repeated, the other containing the per-base quality score.</w:t>
      </w:r>
    </w:p>
    <w:p w:rsidR="0081233E" w:rsidRDefault="0081233E" w:rsidP="009B78EE">
      <w:pPr>
        <w:widowControl w:val="0"/>
        <w:pBdr>
          <w:top w:val="nil"/>
          <w:left w:val="nil"/>
          <w:bottom w:val="nil"/>
          <w:right w:val="nil"/>
          <w:between w:val="nil"/>
        </w:pBdr>
        <w:jc w:val="both"/>
        <w:rPr>
          <w:rFonts w:ascii="Trebuchet MS" w:eastAsia="Trebuchet MS" w:hAnsi="Trebuchet MS" w:cs="Trebuchet MS"/>
        </w:rPr>
      </w:pPr>
    </w:p>
    <w:p w:rsidR="00FD6F2A" w:rsidRDefault="00FD6F2A" w:rsidP="00FD6F2A">
      <w:pPr>
        <w:widowControl w:val="0"/>
        <w:pBdr>
          <w:top w:val="nil"/>
          <w:left w:val="nil"/>
          <w:bottom w:val="nil"/>
          <w:right w:val="nil"/>
          <w:between w:val="nil"/>
        </w:pBdr>
        <w:jc w:val="both"/>
        <w:rPr>
          <w:rFonts w:ascii="Arial" w:hAnsi="Arial" w:cs="Arial"/>
          <w:color w:val="F7F7F7"/>
          <w:sz w:val="21"/>
          <w:szCs w:val="21"/>
          <w:shd w:val="clear" w:color="auto" w:fill="141927"/>
        </w:rPr>
      </w:pPr>
    </w:p>
    <w:p w:rsidR="00B7578E" w:rsidRDefault="00B7578E" w:rsidP="00FD6F2A">
      <w:pPr>
        <w:widowControl w:val="0"/>
        <w:pBdr>
          <w:top w:val="nil"/>
          <w:left w:val="nil"/>
          <w:bottom w:val="nil"/>
          <w:right w:val="nil"/>
          <w:between w:val="nil"/>
        </w:pBdr>
        <w:jc w:val="both"/>
        <w:rPr>
          <w:rFonts w:ascii="Trebuchet MS" w:eastAsia="Trebuchet MS" w:hAnsi="Trebuchet MS" w:cs="Trebuchet MS"/>
        </w:rPr>
      </w:pPr>
    </w:p>
    <w:p w:rsidR="00B7578E" w:rsidRDefault="00B7578E" w:rsidP="00FD6F2A">
      <w:pPr>
        <w:widowControl w:val="0"/>
        <w:pBdr>
          <w:top w:val="nil"/>
          <w:left w:val="nil"/>
          <w:bottom w:val="nil"/>
          <w:right w:val="nil"/>
          <w:between w:val="nil"/>
        </w:pBdr>
        <w:jc w:val="both"/>
        <w:rPr>
          <w:rFonts w:ascii="Trebuchet MS" w:eastAsia="Trebuchet MS" w:hAnsi="Trebuchet MS" w:cs="Trebuchet MS"/>
        </w:rPr>
      </w:pPr>
    </w:p>
    <w:p w:rsidR="00B7578E" w:rsidRDefault="00B7578E" w:rsidP="00FD6F2A">
      <w:pPr>
        <w:widowControl w:val="0"/>
        <w:pBdr>
          <w:top w:val="nil"/>
          <w:left w:val="nil"/>
          <w:bottom w:val="nil"/>
          <w:right w:val="nil"/>
          <w:between w:val="nil"/>
        </w:pBdr>
        <w:jc w:val="both"/>
        <w:rPr>
          <w:rFonts w:ascii="Trebuchet MS" w:eastAsia="Trebuchet MS" w:hAnsi="Trebuchet MS" w:cs="Trebuchet MS"/>
        </w:rPr>
      </w:pPr>
    </w:p>
    <w:p w:rsidR="00B7578E" w:rsidRDefault="00B7578E" w:rsidP="00FD6F2A">
      <w:pPr>
        <w:widowControl w:val="0"/>
        <w:pBdr>
          <w:top w:val="nil"/>
          <w:left w:val="nil"/>
          <w:bottom w:val="nil"/>
          <w:right w:val="nil"/>
          <w:between w:val="nil"/>
        </w:pBdr>
        <w:jc w:val="both"/>
        <w:rPr>
          <w:rFonts w:ascii="Trebuchet MS" w:eastAsia="Trebuchet MS" w:hAnsi="Trebuchet MS" w:cs="Trebuchet MS"/>
        </w:rPr>
      </w:pPr>
    </w:p>
    <w:p w:rsidR="00B7578E" w:rsidRDefault="00B7578E" w:rsidP="00FD6F2A">
      <w:pPr>
        <w:widowControl w:val="0"/>
        <w:pBdr>
          <w:top w:val="nil"/>
          <w:left w:val="nil"/>
          <w:bottom w:val="nil"/>
          <w:right w:val="nil"/>
          <w:between w:val="nil"/>
        </w:pBdr>
        <w:jc w:val="both"/>
        <w:rPr>
          <w:rFonts w:ascii="Trebuchet MS" w:eastAsia="Trebuchet MS" w:hAnsi="Trebuchet MS" w:cs="Trebuchet MS"/>
        </w:rPr>
      </w:pPr>
    </w:p>
    <w:p w:rsidR="00B7578E" w:rsidRDefault="00B7578E" w:rsidP="00FD6F2A">
      <w:pPr>
        <w:widowControl w:val="0"/>
        <w:pBdr>
          <w:top w:val="nil"/>
          <w:left w:val="nil"/>
          <w:bottom w:val="nil"/>
          <w:right w:val="nil"/>
          <w:between w:val="nil"/>
        </w:pBdr>
        <w:jc w:val="both"/>
        <w:rPr>
          <w:rFonts w:ascii="Trebuchet MS" w:eastAsia="Trebuchet MS" w:hAnsi="Trebuchet MS" w:cs="Trebuchet MS"/>
        </w:rPr>
      </w:pPr>
    </w:p>
    <w:p w:rsidR="00FD6F2A" w:rsidRDefault="00FD6F2A" w:rsidP="00FD6F2A">
      <w:pPr>
        <w:widowControl w:val="0"/>
        <w:pBdr>
          <w:top w:val="nil"/>
          <w:left w:val="nil"/>
          <w:bottom w:val="nil"/>
          <w:right w:val="nil"/>
          <w:between w:val="nil"/>
        </w:pBdr>
        <w:jc w:val="both"/>
        <w:rPr>
          <w:rFonts w:ascii="Trebuchet MS" w:eastAsia="Trebuchet MS" w:hAnsi="Trebuchet MS" w:cs="Trebuchet MS"/>
        </w:rPr>
      </w:pPr>
    </w:p>
    <w:p w:rsidR="00FE4381" w:rsidRDefault="00B870F4" w:rsidP="009B754E">
      <w:pPr>
        <w:widowControl w:val="0"/>
        <w:pBdr>
          <w:top w:val="nil"/>
          <w:left w:val="nil"/>
          <w:bottom w:val="nil"/>
          <w:right w:val="nil"/>
          <w:between w:val="nil"/>
        </w:pBdr>
        <w:jc w:val="both"/>
        <w:rPr>
          <w:rFonts w:ascii="Trebuchet MS" w:eastAsia="Trebuchet MS" w:hAnsi="Trebuchet MS" w:cs="Trebuchet MS"/>
        </w:rPr>
      </w:pPr>
      <w:r w:rsidRPr="00FD6F2A">
        <w:rPr>
          <w:rFonts w:ascii="Trebuchet MS" w:eastAsia="Trebuchet MS" w:hAnsi="Trebuchet MS" w:cs="Trebuchet MS"/>
        </w:rPr>
        <w:lastRenderedPageBreak/>
        <w:t xml:space="preserve"> </w:t>
      </w:r>
    </w:p>
    <w:p w:rsidR="00FF0151" w:rsidRPr="00B870F4" w:rsidRDefault="00FF0151" w:rsidP="00FF0151">
      <w:pPr>
        <w:widowControl w:val="0"/>
        <w:pBdr>
          <w:top w:val="nil"/>
          <w:left w:val="nil"/>
          <w:bottom w:val="nil"/>
          <w:right w:val="nil"/>
          <w:between w:val="nil"/>
        </w:pBdr>
        <w:jc w:val="both"/>
        <w:rPr>
          <w:rFonts w:ascii="Trebuchet MS" w:eastAsia="Trebuchet MS" w:hAnsi="Trebuchet MS" w:cs="Trebuchet MS"/>
          <w:b/>
          <w:sz w:val="32"/>
          <w:szCs w:val="32"/>
        </w:rPr>
      </w:pPr>
      <w:r>
        <w:rPr>
          <w:rFonts w:ascii="Trebuchet MS" w:eastAsia="Trebuchet MS" w:hAnsi="Trebuchet MS" w:cs="Trebuchet MS"/>
          <w:b/>
          <w:sz w:val="32"/>
          <w:szCs w:val="32"/>
        </w:rPr>
        <w:t>Before you start</w:t>
      </w:r>
    </w:p>
    <w:p w:rsidR="00FF0151" w:rsidRDefault="00FF0151" w:rsidP="00FF0151">
      <w:pPr>
        <w:widowControl w:val="0"/>
        <w:pBdr>
          <w:top w:val="nil"/>
          <w:left w:val="nil"/>
          <w:bottom w:val="nil"/>
          <w:right w:val="nil"/>
          <w:between w:val="nil"/>
        </w:pBdr>
        <w:jc w:val="both"/>
        <w:rPr>
          <w:rFonts w:ascii="Trebuchet MS" w:eastAsia="Trebuchet MS" w:hAnsi="Trebuchet MS" w:cs="Trebuchet MS"/>
        </w:rPr>
      </w:pPr>
    </w:p>
    <w:p w:rsidR="00FF0151" w:rsidRPr="00754A1B" w:rsidRDefault="00FF0151" w:rsidP="00FF0151">
      <w:pPr>
        <w:pStyle w:val="ListParagraph"/>
        <w:widowControl w:val="0"/>
        <w:numPr>
          <w:ilvl w:val="0"/>
          <w:numId w:val="11"/>
        </w:numPr>
        <w:pBdr>
          <w:top w:val="nil"/>
          <w:left w:val="nil"/>
          <w:bottom w:val="nil"/>
          <w:right w:val="nil"/>
          <w:between w:val="nil"/>
        </w:pBdr>
        <w:jc w:val="both"/>
        <w:rPr>
          <w:rFonts w:ascii="Trebuchet MS" w:eastAsia="Trebuchet MS" w:hAnsi="Trebuchet MS" w:cs="Trebuchet MS"/>
        </w:rPr>
      </w:pPr>
      <w:r>
        <w:rPr>
          <w:rFonts w:ascii="Trebuchet MS" w:eastAsia="Trebuchet MS" w:hAnsi="Trebuchet MS" w:cs="Trebuchet MS"/>
        </w:rPr>
        <w:t xml:space="preserve">Register at My NCBI </w:t>
      </w:r>
      <w:hyperlink r:id="rId7" w:history="1">
        <w:r w:rsidRPr="002472BC">
          <w:rPr>
            <w:rStyle w:val="Hyperlink"/>
            <w:rFonts w:ascii="Trebuchet MS" w:eastAsia="Trebuchet MS" w:hAnsi="Trebuchet MS" w:cs="Trebuchet MS"/>
          </w:rPr>
          <w:t>https://www.nc</w:t>
        </w:r>
        <w:r w:rsidRPr="002472BC">
          <w:rPr>
            <w:rStyle w:val="Hyperlink"/>
            <w:rFonts w:ascii="Trebuchet MS" w:eastAsia="Trebuchet MS" w:hAnsi="Trebuchet MS" w:cs="Trebuchet MS"/>
          </w:rPr>
          <w:t>b</w:t>
        </w:r>
        <w:r w:rsidRPr="002472BC">
          <w:rPr>
            <w:rStyle w:val="Hyperlink"/>
            <w:rFonts w:ascii="Trebuchet MS" w:eastAsia="Trebuchet MS" w:hAnsi="Trebuchet MS" w:cs="Trebuchet MS"/>
          </w:rPr>
          <w:t>i.nlm.nih.gov/</w:t>
        </w:r>
      </w:hyperlink>
      <w:r>
        <w:rPr>
          <w:rFonts w:ascii="Trebuchet MS" w:eastAsia="Trebuchet MS" w:hAnsi="Trebuchet MS" w:cs="Trebuchet MS"/>
        </w:rPr>
        <w:t xml:space="preserve"> </w:t>
      </w:r>
    </w:p>
    <w:p w:rsidR="00FD6F2A" w:rsidRDefault="00FD6F2A" w:rsidP="00FD6F2A">
      <w:pPr>
        <w:widowControl w:val="0"/>
        <w:pBdr>
          <w:top w:val="nil"/>
          <w:left w:val="nil"/>
          <w:bottom w:val="nil"/>
          <w:right w:val="nil"/>
          <w:between w:val="nil"/>
        </w:pBdr>
        <w:jc w:val="both"/>
        <w:rPr>
          <w:rFonts w:ascii="Trebuchet MS" w:eastAsia="Trebuchet MS" w:hAnsi="Trebuchet MS" w:cs="Trebuchet MS"/>
          <w:b/>
          <w:sz w:val="32"/>
          <w:szCs w:val="32"/>
        </w:rPr>
      </w:pPr>
    </w:p>
    <w:p w:rsidR="001E76CE" w:rsidRDefault="001E76CE" w:rsidP="00880F99">
      <w:pPr>
        <w:widowControl w:val="0"/>
        <w:pBdr>
          <w:top w:val="nil"/>
          <w:left w:val="nil"/>
          <w:bottom w:val="nil"/>
          <w:right w:val="nil"/>
          <w:between w:val="nil"/>
        </w:pBdr>
        <w:jc w:val="both"/>
        <w:rPr>
          <w:rFonts w:ascii="Trebuchet MS" w:eastAsia="Trebuchet MS" w:hAnsi="Trebuchet MS" w:cs="Trebuchet MS"/>
        </w:rPr>
      </w:pPr>
    </w:p>
    <w:p w:rsidR="00B14727" w:rsidRDefault="009B754E" w:rsidP="00880F99">
      <w:pPr>
        <w:widowControl w:val="0"/>
        <w:pBdr>
          <w:top w:val="nil"/>
          <w:left w:val="nil"/>
          <w:bottom w:val="nil"/>
          <w:right w:val="nil"/>
          <w:between w:val="nil"/>
        </w:pBdr>
        <w:jc w:val="both"/>
        <w:rPr>
          <w:rFonts w:ascii="Trebuchet MS" w:eastAsia="Trebuchet MS" w:hAnsi="Trebuchet MS" w:cs="Trebuchet MS"/>
          <w:b/>
          <w:sz w:val="32"/>
          <w:szCs w:val="32"/>
        </w:rPr>
      </w:pPr>
      <w:r>
        <w:rPr>
          <w:rFonts w:ascii="Trebuchet MS" w:eastAsia="Trebuchet MS" w:hAnsi="Trebuchet MS" w:cs="Trebuchet MS"/>
          <w:b/>
          <w:sz w:val="32"/>
          <w:szCs w:val="32"/>
        </w:rPr>
        <w:t>Part</w:t>
      </w:r>
      <w:r w:rsidR="00B14727">
        <w:rPr>
          <w:rFonts w:ascii="Trebuchet MS" w:eastAsia="Trebuchet MS" w:hAnsi="Trebuchet MS" w:cs="Trebuchet MS"/>
          <w:b/>
          <w:sz w:val="32"/>
          <w:szCs w:val="32"/>
        </w:rPr>
        <w:t xml:space="preserve"> 1</w:t>
      </w:r>
      <w:r w:rsidR="00BE1E65">
        <w:rPr>
          <w:rFonts w:ascii="Trebuchet MS" w:eastAsia="Trebuchet MS" w:hAnsi="Trebuchet MS" w:cs="Trebuchet MS"/>
          <w:b/>
          <w:sz w:val="32"/>
          <w:szCs w:val="32"/>
        </w:rPr>
        <w:t xml:space="preserve">: </w:t>
      </w:r>
      <w:r w:rsidR="00233E4C">
        <w:rPr>
          <w:rFonts w:ascii="Trebuchet MS" w:eastAsia="Trebuchet MS" w:hAnsi="Trebuchet MS" w:cs="Trebuchet MS"/>
          <w:b/>
          <w:sz w:val="32"/>
          <w:szCs w:val="32"/>
        </w:rPr>
        <w:t>pre-formatting</w:t>
      </w:r>
      <w:r>
        <w:rPr>
          <w:rFonts w:ascii="Trebuchet MS" w:eastAsia="Trebuchet MS" w:hAnsi="Trebuchet MS" w:cs="Trebuchet MS"/>
          <w:b/>
          <w:sz w:val="32"/>
          <w:szCs w:val="32"/>
        </w:rPr>
        <w:t xml:space="preserve"> </w:t>
      </w:r>
      <w:r w:rsidR="00BE1E65">
        <w:rPr>
          <w:rFonts w:ascii="Trebuchet MS" w:eastAsia="Trebuchet MS" w:hAnsi="Trebuchet MS" w:cs="Trebuchet MS"/>
          <w:b/>
          <w:sz w:val="32"/>
          <w:szCs w:val="32"/>
        </w:rPr>
        <w:t xml:space="preserve">metadata </w:t>
      </w:r>
      <w:r w:rsidR="00233E4C">
        <w:rPr>
          <w:rFonts w:ascii="Trebuchet MS" w:eastAsia="Trebuchet MS" w:hAnsi="Trebuchet MS" w:cs="Trebuchet MS"/>
          <w:b/>
          <w:sz w:val="32"/>
          <w:szCs w:val="32"/>
        </w:rPr>
        <w:t>saves time</w:t>
      </w:r>
    </w:p>
    <w:p w:rsidR="002015E9" w:rsidRPr="00393D24" w:rsidRDefault="002015E9" w:rsidP="00880F99">
      <w:pPr>
        <w:widowControl w:val="0"/>
        <w:pBdr>
          <w:top w:val="nil"/>
          <w:left w:val="nil"/>
          <w:bottom w:val="nil"/>
          <w:right w:val="nil"/>
          <w:between w:val="nil"/>
        </w:pBdr>
        <w:jc w:val="both"/>
        <w:rPr>
          <w:rFonts w:ascii="Trebuchet MS" w:eastAsia="Trebuchet MS" w:hAnsi="Trebuchet MS" w:cs="Trebuchet MS"/>
        </w:rPr>
      </w:pPr>
    </w:p>
    <w:p w:rsidR="00DC5FC6" w:rsidRDefault="003C6F48" w:rsidP="00880F99">
      <w:pPr>
        <w:widowControl w:val="0"/>
        <w:pBdr>
          <w:top w:val="nil"/>
          <w:left w:val="nil"/>
          <w:bottom w:val="nil"/>
          <w:right w:val="nil"/>
          <w:between w:val="nil"/>
        </w:pBdr>
        <w:jc w:val="both"/>
        <w:rPr>
          <w:rFonts w:ascii="Trebuchet MS" w:eastAsia="Trebuchet MS" w:hAnsi="Trebuchet MS" w:cs="Trebuchet MS"/>
        </w:rPr>
      </w:pPr>
      <w:r>
        <w:rPr>
          <w:rFonts w:ascii="Trebuchet MS" w:eastAsia="Trebuchet MS" w:hAnsi="Trebuchet MS" w:cs="Trebuchet MS"/>
        </w:rPr>
        <w:t>Formatting meta</w:t>
      </w:r>
      <w:r w:rsidR="00AB6AFF">
        <w:rPr>
          <w:rFonts w:ascii="Trebuchet MS" w:eastAsia="Trebuchet MS" w:hAnsi="Trebuchet MS" w:cs="Trebuchet MS"/>
        </w:rPr>
        <w:t xml:space="preserve">- </w:t>
      </w:r>
      <w:r>
        <w:rPr>
          <w:rFonts w:ascii="Trebuchet MS" w:eastAsia="Trebuchet MS" w:hAnsi="Trebuchet MS" w:cs="Trebuchet MS"/>
        </w:rPr>
        <w:t>and environmental data b</w:t>
      </w:r>
      <w:r w:rsidR="00393D24" w:rsidRPr="00393D24">
        <w:rPr>
          <w:rFonts w:ascii="Trebuchet MS" w:eastAsia="Trebuchet MS" w:hAnsi="Trebuchet MS" w:cs="Trebuchet MS"/>
        </w:rPr>
        <w:t>efore you go to the SRA submission portal</w:t>
      </w:r>
      <w:r w:rsidR="00393D24">
        <w:rPr>
          <w:rFonts w:ascii="Trebuchet MS" w:eastAsia="Trebuchet MS" w:hAnsi="Trebuchet MS" w:cs="Trebuchet MS"/>
        </w:rPr>
        <w:t xml:space="preserve"> </w:t>
      </w:r>
      <w:r>
        <w:rPr>
          <w:rFonts w:ascii="Trebuchet MS" w:eastAsia="Trebuchet MS" w:hAnsi="Trebuchet MS" w:cs="Trebuchet MS"/>
        </w:rPr>
        <w:t xml:space="preserve">will help to save </w:t>
      </w:r>
      <w:r w:rsidR="00DC5FC6">
        <w:rPr>
          <w:rFonts w:ascii="Trebuchet MS" w:eastAsia="Trebuchet MS" w:hAnsi="Trebuchet MS" w:cs="Trebuchet MS"/>
        </w:rPr>
        <w:t xml:space="preserve">a lot of </w:t>
      </w:r>
      <w:r>
        <w:rPr>
          <w:rFonts w:ascii="Trebuchet MS" w:eastAsia="Trebuchet MS" w:hAnsi="Trebuchet MS" w:cs="Trebuchet MS"/>
        </w:rPr>
        <w:t xml:space="preserve">time. SRA expects environmental data to be formatted as </w:t>
      </w:r>
      <w:proofErr w:type="spellStart"/>
      <w:r>
        <w:rPr>
          <w:rFonts w:ascii="Trebuchet MS" w:eastAsia="Trebuchet MS" w:hAnsi="Trebuchet MS" w:cs="Trebuchet MS"/>
        </w:rPr>
        <w:t>MiMARKS</w:t>
      </w:r>
      <w:proofErr w:type="spellEnd"/>
      <w:r>
        <w:rPr>
          <w:rFonts w:ascii="Trebuchet MS" w:eastAsia="Trebuchet MS" w:hAnsi="Trebuchet MS" w:cs="Trebuchet MS"/>
        </w:rPr>
        <w:t xml:space="preserve"> or </w:t>
      </w:r>
      <w:proofErr w:type="spellStart"/>
      <w:r>
        <w:rPr>
          <w:rFonts w:ascii="Trebuchet MS" w:eastAsia="Trebuchet MS" w:hAnsi="Trebuchet MS" w:cs="Trebuchet MS"/>
        </w:rPr>
        <w:t>MIxS</w:t>
      </w:r>
      <w:proofErr w:type="spellEnd"/>
      <w:r>
        <w:rPr>
          <w:rFonts w:ascii="Trebuchet MS" w:eastAsia="Trebuchet MS" w:hAnsi="Trebuchet MS" w:cs="Trebuchet MS"/>
        </w:rPr>
        <w:t xml:space="preserve"> sheets</w:t>
      </w:r>
      <w:r w:rsidR="00393D24">
        <w:rPr>
          <w:rFonts w:ascii="Trebuchet MS" w:eastAsia="Trebuchet MS" w:hAnsi="Trebuchet MS" w:cs="Trebuchet MS"/>
        </w:rPr>
        <w:t xml:space="preserve"> </w:t>
      </w:r>
      <w:r>
        <w:rPr>
          <w:rFonts w:ascii="Trebuchet MS" w:eastAsia="Trebuchet MS" w:hAnsi="Trebuchet MS" w:cs="Trebuchet MS"/>
        </w:rPr>
        <w:t>(see terminology</w:t>
      </w:r>
      <w:r w:rsidR="00DC5FC6">
        <w:rPr>
          <w:rFonts w:ascii="Trebuchet MS" w:eastAsia="Trebuchet MS" w:hAnsi="Trebuchet MS" w:cs="Trebuchet MS"/>
        </w:rPr>
        <w:t xml:space="preserve">, for convenience we will just use the overarching </w:t>
      </w:r>
      <w:proofErr w:type="spellStart"/>
      <w:r w:rsidR="00DC5FC6">
        <w:rPr>
          <w:rFonts w:ascii="Trebuchet MS" w:eastAsia="Trebuchet MS" w:hAnsi="Trebuchet MS" w:cs="Trebuchet MS"/>
        </w:rPr>
        <w:t>MIxS</w:t>
      </w:r>
      <w:proofErr w:type="spellEnd"/>
      <w:r w:rsidR="00DC5FC6">
        <w:rPr>
          <w:rFonts w:ascii="Trebuchet MS" w:eastAsia="Trebuchet MS" w:hAnsi="Trebuchet MS" w:cs="Trebuchet MS"/>
        </w:rPr>
        <w:t xml:space="preserve"> term in the rest of this tutorial</w:t>
      </w:r>
      <w:r>
        <w:rPr>
          <w:rFonts w:ascii="Trebuchet MS" w:eastAsia="Trebuchet MS" w:hAnsi="Trebuchet MS" w:cs="Trebuchet MS"/>
        </w:rPr>
        <w:t xml:space="preserve">). </w:t>
      </w:r>
    </w:p>
    <w:p w:rsidR="00DC5FC6" w:rsidRDefault="00DC5FC6" w:rsidP="00880F99">
      <w:pPr>
        <w:widowControl w:val="0"/>
        <w:pBdr>
          <w:top w:val="nil"/>
          <w:left w:val="nil"/>
          <w:bottom w:val="nil"/>
          <w:right w:val="nil"/>
          <w:between w:val="nil"/>
        </w:pBdr>
        <w:jc w:val="both"/>
        <w:rPr>
          <w:rFonts w:ascii="Trebuchet MS" w:eastAsia="Trebuchet MS" w:hAnsi="Trebuchet MS" w:cs="Trebuchet MS"/>
        </w:rPr>
      </w:pPr>
    </w:p>
    <w:p w:rsidR="00F5245F" w:rsidRDefault="00DC5FC6" w:rsidP="00880F99">
      <w:pPr>
        <w:widowControl w:val="0"/>
        <w:pBdr>
          <w:top w:val="nil"/>
          <w:left w:val="nil"/>
          <w:bottom w:val="nil"/>
          <w:right w:val="nil"/>
          <w:between w:val="nil"/>
        </w:pBdr>
        <w:jc w:val="both"/>
        <w:rPr>
          <w:rFonts w:ascii="Trebuchet MS" w:eastAsia="Trebuchet MS" w:hAnsi="Trebuchet MS" w:cs="Trebuchet MS"/>
        </w:rPr>
      </w:pPr>
      <w:r>
        <w:rPr>
          <w:rFonts w:ascii="Trebuchet MS" w:eastAsia="Trebuchet MS" w:hAnsi="Trebuchet MS" w:cs="Trebuchet MS"/>
        </w:rPr>
        <w:t>However, INSDC decided to deviate from these standards in some minor areas to make it easier and more practical for the data to be ingested in their databases.</w:t>
      </w:r>
      <w:r w:rsidR="00AB6AFF">
        <w:rPr>
          <w:rFonts w:ascii="Trebuchet MS" w:eastAsia="Trebuchet MS" w:hAnsi="Trebuchet MS" w:cs="Trebuchet MS"/>
        </w:rPr>
        <w:t xml:space="preserve"> It is also </w:t>
      </w:r>
      <w:proofErr w:type="gramStart"/>
      <w:r w:rsidR="00AB6AFF">
        <w:rPr>
          <w:rFonts w:ascii="Trebuchet MS" w:eastAsia="Trebuchet MS" w:hAnsi="Trebuchet MS" w:cs="Trebuchet MS"/>
        </w:rPr>
        <w:t>more strict</w:t>
      </w:r>
      <w:proofErr w:type="gramEnd"/>
      <w:r w:rsidR="00AB6AFF">
        <w:rPr>
          <w:rFonts w:ascii="Trebuchet MS" w:eastAsia="Trebuchet MS" w:hAnsi="Trebuchet MS" w:cs="Trebuchet MS"/>
        </w:rPr>
        <w:t xml:space="preserve"> in the way data is noted (that is, in terms of separators, units, number of words and allowed words). </w:t>
      </w:r>
      <w:r>
        <w:rPr>
          <w:rFonts w:ascii="Trebuchet MS" w:eastAsia="Trebuchet MS" w:hAnsi="Trebuchet MS" w:cs="Trebuchet MS"/>
        </w:rPr>
        <w:t xml:space="preserve">If you already registered your dataset on </w:t>
      </w:r>
      <w:proofErr w:type="spellStart"/>
      <w:r>
        <w:rPr>
          <w:rFonts w:ascii="Trebuchet MS" w:eastAsia="Trebuchet MS" w:hAnsi="Trebuchet MS" w:cs="Trebuchet MS"/>
        </w:rPr>
        <w:t>mARS</w:t>
      </w:r>
      <w:proofErr w:type="spellEnd"/>
      <w:r>
        <w:rPr>
          <w:rFonts w:ascii="Trebuchet MS" w:eastAsia="Trebuchet MS" w:hAnsi="Trebuchet MS" w:cs="Trebuchet MS"/>
        </w:rPr>
        <w:t xml:space="preserve"> (which follows the original standards), you can make a few small adjustments to the </w:t>
      </w:r>
      <w:proofErr w:type="spellStart"/>
      <w:r w:rsidR="00AB6AFF">
        <w:rPr>
          <w:rFonts w:ascii="Trebuchet MS" w:eastAsia="Trebuchet MS" w:hAnsi="Trebuchet MS" w:cs="Trebuchet MS"/>
        </w:rPr>
        <w:t>MIxS</w:t>
      </w:r>
      <w:proofErr w:type="spellEnd"/>
      <w:r>
        <w:rPr>
          <w:rFonts w:ascii="Trebuchet MS" w:eastAsia="Trebuchet MS" w:hAnsi="Trebuchet MS" w:cs="Trebuchet MS"/>
        </w:rPr>
        <w:t xml:space="preserve"> sheet, and you’</w:t>
      </w:r>
      <w:r w:rsidR="00F5245F">
        <w:rPr>
          <w:rFonts w:ascii="Trebuchet MS" w:eastAsia="Trebuchet MS" w:hAnsi="Trebuchet MS" w:cs="Trebuchet MS"/>
        </w:rPr>
        <w:t>ll be</w:t>
      </w:r>
      <w:r>
        <w:rPr>
          <w:rFonts w:ascii="Trebuchet MS" w:eastAsia="Trebuchet MS" w:hAnsi="Trebuchet MS" w:cs="Trebuchet MS"/>
        </w:rPr>
        <w:t xml:space="preserve"> good to go. </w:t>
      </w:r>
    </w:p>
    <w:p w:rsidR="00F5245F" w:rsidRDefault="00F5245F" w:rsidP="00880F99">
      <w:pPr>
        <w:widowControl w:val="0"/>
        <w:pBdr>
          <w:top w:val="nil"/>
          <w:left w:val="nil"/>
          <w:bottom w:val="nil"/>
          <w:right w:val="nil"/>
          <w:between w:val="nil"/>
        </w:pBdr>
        <w:jc w:val="both"/>
        <w:rPr>
          <w:rFonts w:ascii="Trebuchet MS" w:eastAsia="Trebuchet MS" w:hAnsi="Trebuchet MS" w:cs="Trebuchet MS"/>
        </w:rPr>
      </w:pPr>
    </w:p>
    <w:p w:rsidR="00DC5FC6" w:rsidRDefault="00F5245F" w:rsidP="00880F99">
      <w:pPr>
        <w:widowControl w:val="0"/>
        <w:pBdr>
          <w:top w:val="nil"/>
          <w:left w:val="nil"/>
          <w:bottom w:val="nil"/>
          <w:right w:val="nil"/>
          <w:between w:val="nil"/>
        </w:pBdr>
        <w:jc w:val="both"/>
        <w:rPr>
          <w:rFonts w:ascii="Trebuchet MS" w:eastAsia="Trebuchet MS" w:hAnsi="Trebuchet MS" w:cs="Trebuchet MS"/>
        </w:rPr>
      </w:pPr>
      <w:r>
        <w:rPr>
          <w:rFonts w:ascii="Trebuchet MS" w:eastAsia="Trebuchet MS" w:hAnsi="Trebuchet MS" w:cs="Trebuchet MS"/>
        </w:rPr>
        <w:t xml:space="preserve">If your meta- and environmental data is not yet aligned to the </w:t>
      </w:r>
      <w:proofErr w:type="spellStart"/>
      <w:r>
        <w:rPr>
          <w:rFonts w:ascii="Trebuchet MS" w:eastAsia="Trebuchet MS" w:hAnsi="Trebuchet MS" w:cs="Trebuchet MS"/>
        </w:rPr>
        <w:t>MIxS</w:t>
      </w:r>
      <w:proofErr w:type="spellEnd"/>
      <w:r>
        <w:rPr>
          <w:rFonts w:ascii="Trebuchet MS" w:eastAsia="Trebuchet MS" w:hAnsi="Trebuchet MS" w:cs="Trebuchet MS"/>
        </w:rPr>
        <w:t xml:space="preserve"> vocabulary, this will be the first thing to do. Therefore, </w:t>
      </w:r>
      <w:r w:rsidR="00DC5FC6">
        <w:rPr>
          <w:rFonts w:ascii="Trebuchet MS" w:eastAsia="Trebuchet MS" w:hAnsi="Trebuchet MS" w:cs="Trebuchet MS"/>
        </w:rPr>
        <w:t xml:space="preserve">we </w:t>
      </w:r>
      <w:r>
        <w:rPr>
          <w:rFonts w:ascii="Trebuchet MS" w:eastAsia="Trebuchet MS" w:hAnsi="Trebuchet MS" w:cs="Trebuchet MS"/>
        </w:rPr>
        <w:t>always</w:t>
      </w:r>
      <w:r w:rsidR="00DC5FC6">
        <w:rPr>
          <w:rFonts w:ascii="Trebuchet MS" w:eastAsia="Trebuchet MS" w:hAnsi="Trebuchet MS" w:cs="Trebuchet MS"/>
        </w:rPr>
        <w:t xml:space="preserve"> </w:t>
      </w:r>
      <w:r>
        <w:rPr>
          <w:rFonts w:ascii="Trebuchet MS" w:eastAsia="Trebuchet MS" w:hAnsi="Trebuchet MS" w:cs="Trebuchet MS"/>
        </w:rPr>
        <w:t>recommend</w:t>
      </w:r>
      <w:r w:rsidR="00DC5FC6">
        <w:rPr>
          <w:rFonts w:ascii="Trebuchet MS" w:eastAsia="Trebuchet MS" w:hAnsi="Trebuchet MS" w:cs="Trebuchet MS"/>
        </w:rPr>
        <w:t xml:space="preserve"> </w:t>
      </w:r>
      <w:proofErr w:type="gramStart"/>
      <w:r>
        <w:rPr>
          <w:rFonts w:ascii="Trebuchet MS" w:eastAsia="Trebuchet MS" w:hAnsi="Trebuchet MS" w:cs="Trebuchet MS"/>
        </w:rPr>
        <w:t>to align</w:t>
      </w:r>
      <w:proofErr w:type="gramEnd"/>
      <w:r w:rsidR="00DC5FC6">
        <w:rPr>
          <w:rFonts w:ascii="Trebuchet MS" w:eastAsia="Trebuchet MS" w:hAnsi="Trebuchet MS" w:cs="Trebuchet MS"/>
        </w:rPr>
        <w:t xml:space="preserve"> the metadata and environmental datasheets to the </w:t>
      </w:r>
      <w:proofErr w:type="spellStart"/>
      <w:r>
        <w:rPr>
          <w:rFonts w:ascii="Trebuchet MS" w:eastAsia="Trebuchet MS" w:hAnsi="Trebuchet MS" w:cs="Trebuchet MS"/>
        </w:rPr>
        <w:t>MIxS</w:t>
      </w:r>
      <w:proofErr w:type="spellEnd"/>
      <w:r>
        <w:rPr>
          <w:rFonts w:ascii="Trebuchet MS" w:eastAsia="Trebuchet MS" w:hAnsi="Trebuchet MS" w:cs="Trebuchet MS"/>
        </w:rPr>
        <w:t xml:space="preserve"> </w:t>
      </w:r>
      <w:r w:rsidR="00DC5FC6">
        <w:rPr>
          <w:rFonts w:ascii="Trebuchet MS" w:eastAsia="Trebuchet MS" w:hAnsi="Trebuchet MS" w:cs="Trebuchet MS"/>
        </w:rPr>
        <w:t xml:space="preserve">vocabulary </w:t>
      </w:r>
      <w:r>
        <w:rPr>
          <w:rFonts w:ascii="Trebuchet MS" w:eastAsia="Trebuchet MS" w:hAnsi="Trebuchet MS" w:cs="Trebuchet MS"/>
        </w:rPr>
        <w:t>in the early stages of a research project, preferably even before actually gathering the data.</w:t>
      </w:r>
    </w:p>
    <w:p w:rsidR="00F5245F" w:rsidRDefault="00F5245F" w:rsidP="00880F99">
      <w:pPr>
        <w:widowControl w:val="0"/>
        <w:pBdr>
          <w:top w:val="nil"/>
          <w:left w:val="nil"/>
          <w:bottom w:val="nil"/>
          <w:right w:val="nil"/>
          <w:between w:val="nil"/>
        </w:pBdr>
        <w:jc w:val="both"/>
        <w:rPr>
          <w:rFonts w:ascii="Trebuchet MS" w:eastAsia="Trebuchet MS" w:hAnsi="Trebuchet MS" w:cs="Trebuchet MS"/>
        </w:rPr>
      </w:pPr>
    </w:p>
    <w:p w:rsidR="00233E4C" w:rsidRDefault="00233E4C" w:rsidP="00880F99">
      <w:pPr>
        <w:widowControl w:val="0"/>
        <w:pBdr>
          <w:top w:val="nil"/>
          <w:left w:val="nil"/>
          <w:bottom w:val="nil"/>
          <w:right w:val="nil"/>
          <w:between w:val="nil"/>
        </w:pBdr>
        <w:jc w:val="both"/>
        <w:rPr>
          <w:rFonts w:ascii="Trebuchet MS" w:eastAsia="Trebuchet MS" w:hAnsi="Trebuchet MS" w:cs="Trebuchet MS"/>
        </w:rPr>
      </w:pPr>
    </w:p>
    <w:p w:rsidR="00F5245F" w:rsidRPr="00477D28" w:rsidRDefault="00F5245F" w:rsidP="00F5245F">
      <w:pPr>
        <w:pStyle w:val="ListParagraph"/>
        <w:widowControl w:val="0"/>
        <w:numPr>
          <w:ilvl w:val="1"/>
          <w:numId w:val="13"/>
        </w:numPr>
        <w:pBdr>
          <w:top w:val="nil"/>
          <w:left w:val="nil"/>
          <w:bottom w:val="nil"/>
          <w:right w:val="nil"/>
          <w:between w:val="nil"/>
        </w:pBdr>
        <w:jc w:val="both"/>
        <w:rPr>
          <w:rFonts w:ascii="Trebuchet MS" w:eastAsia="Trebuchet MS" w:hAnsi="Trebuchet MS" w:cs="Trebuchet MS"/>
          <w:b/>
          <w:bCs/>
        </w:rPr>
      </w:pPr>
      <w:r w:rsidRPr="00477D28">
        <w:rPr>
          <w:rFonts w:ascii="Trebuchet MS" w:eastAsia="Trebuchet MS" w:hAnsi="Trebuchet MS" w:cs="Trebuchet MS"/>
          <w:b/>
          <w:bCs/>
        </w:rPr>
        <w:t xml:space="preserve">Aligning meta- and environmental data to </w:t>
      </w:r>
      <w:proofErr w:type="spellStart"/>
      <w:r w:rsidRPr="00477D28">
        <w:rPr>
          <w:rFonts w:ascii="Trebuchet MS" w:eastAsia="Trebuchet MS" w:hAnsi="Trebuchet MS" w:cs="Trebuchet MS"/>
          <w:b/>
          <w:bCs/>
        </w:rPr>
        <w:t>MIxS</w:t>
      </w:r>
      <w:proofErr w:type="spellEnd"/>
    </w:p>
    <w:p w:rsidR="003C5B42" w:rsidRDefault="003C5B42" w:rsidP="003C5B42">
      <w:pPr>
        <w:widowControl w:val="0"/>
        <w:pBdr>
          <w:top w:val="nil"/>
          <w:left w:val="nil"/>
          <w:bottom w:val="nil"/>
          <w:right w:val="nil"/>
          <w:between w:val="nil"/>
        </w:pBdr>
        <w:jc w:val="both"/>
        <w:rPr>
          <w:rFonts w:ascii="Trebuchet MS" w:eastAsia="Trebuchet MS" w:hAnsi="Trebuchet MS" w:cs="Trebuchet MS"/>
        </w:rPr>
      </w:pPr>
    </w:p>
    <w:p w:rsidR="00F80F37" w:rsidRDefault="00477D28" w:rsidP="008579DF">
      <w:pPr>
        <w:widowControl w:val="0"/>
        <w:pBdr>
          <w:top w:val="nil"/>
          <w:left w:val="nil"/>
          <w:bottom w:val="nil"/>
          <w:right w:val="nil"/>
          <w:between w:val="nil"/>
        </w:pBdr>
        <w:jc w:val="both"/>
        <w:rPr>
          <w:rFonts w:ascii="Trebuchet MS" w:eastAsia="Trebuchet MS" w:hAnsi="Trebuchet MS" w:cs="Trebuchet MS"/>
        </w:rPr>
      </w:pPr>
      <w:r>
        <w:rPr>
          <w:rFonts w:ascii="Trebuchet MS" w:eastAsia="Trebuchet MS" w:hAnsi="Trebuchet MS" w:cs="Trebuchet MS"/>
        </w:rPr>
        <w:t xml:space="preserve">In short, </w:t>
      </w:r>
      <w:proofErr w:type="spellStart"/>
      <w:r w:rsidR="003C5B42">
        <w:rPr>
          <w:rFonts w:ascii="Trebuchet MS" w:eastAsia="Trebuchet MS" w:hAnsi="Trebuchet MS" w:cs="Trebuchet MS"/>
        </w:rPr>
        <w:t>MIxS</w:t>
      </w:r>
      <w:proofErr w:type="spellEnd"/>
      <w:r w:rsidR="003C5B42">
        <w:rPr>
          <w:rFonts w:ascii="Trebuchet MS" w:eastAsia="Trebuchet MS" w:hAnsi="Trebuchet MS" w:cs="Trebuchet MS"/>
        </w:rPr>
        <w:t xml:space="preserve"> </w:t>
      </w:r>
      <w:r>
        <w:rPr>
          <w:rFonts w:ascii="Trebuchet MS" w:eastAsia="Trebuchet MS" w:hAnsi="Trebuchet MS" w:cs="Trebuchet MS"/>
        </w:rPr>
        <w:t>is a collection of strictly defined terms (i.e. a vocabulary) that allow</w:t>
      </w:r>
      <w:r w:rsidR="00AB6AFF">
        <w:rPr>
          <w:rFonts w:ascii="Trebuchet MS" w:eastAsia="Trebuchet MS" w:hAnsi="Trebuchet MS" w:cs="Trebuchet MS"/>
        </w:rPr>
        <w:t>s</w:t>
      </w:r>
      <w:r>
        <w:rPr>
          <w:rFonts w:ascii="Trebuchet MS" w:eastAsia="Trebuchet MS" w:hAnsi="Trebuchet MS" w:cs="Trebuchet MS"/>
        </w:rPr>
        <w:t xml:space="preserve"> anyone to document any additional information on sequence data, including wet-lab protocols and other metadata, as well as measurements on the environmental co</w:t>
      </w:r>
      <w:r w:rsidR="00AB6AFF">
        <w:rPr>
          <w:rFonts w:ascii="Trebuchet MS" w:eastAsia="Trebuchet MS" w:hAnsi="Trebuchet MS" w:cs="Trebuchet MS"/>
        </w:rPr>
        <w:t>n</w:t>
      </w:r>
      <w:r>
        <w:rPr>
          <w:rFonts w:ascii="Trebuchet MS" w:eastAsia="Trebuchet MS" w:hAnsi="Trebuchet MS" w:cs="Trebuchet MS"/>
        </w:rPr>
        <w:t xml:space="preserve">ditions from where the sample was taken. The way </w:t>
      </w:r>
      <w:proofErr w:type="spellStart"/>
      <w:r>
        <w:rPr>
          <w:rFonts w:ascii="Trebuchet MS" w:eastAsia="Trebuchet MS" w:hAnsi="Trebuchet MS" w:cs="Trebuchet MS"/>
        </w:rPr>
        <w:t>MIxS</w:t>
      </w:r>
      <w:proofErr w:type="spellEnd"/>
      <w:r>
        <w:rPr>
          <w:rFonts w:ascii="Trebuchet MS" w:eastAsia="Trebuchet MS" w:hAnsi="Trebuchet MS" w:cs="Trebuchet MS"/>
        </w:rPr>
        <w:t xml:space="preserve"> is structured is that there is a core set of terms that refer to general information, and there are so-called packages that group terms of a specific environment from where the sample was taken.</w:t>
      </w:r>
      <w:r w:rsidR="005E179E">
        <w:rPr>
          <w:rFonts w:ascii="Trebuchet MS" w:eastAsia="Trebuchet MS" w:hAnsi="Trebuchet MS" w:cs="Trebuchet MS"/>
        </w:rPr>
        <w:t xml:space="preserve"> </w:t>
      </w:r>
      <w:r w:rsidR="00AB6AFF">
        <w:rPr>
          <w:rFonts w:ascii="Trebuchet MS" w:eastAsia="Trebuchet MS" w:hAnsi="Trebuchet MS" w:cs="Trebuchet MS"/>
        </w:rPr>
        <w:t xml:space="preserve">Each set has a number of terms that are considered “minimal information” and cannot be left blank. NCBI is very strict in this. </w:t>
      </w:r>
    </w:p>
    <w:p w:rsidR="002A1159" w:rsidRDefault="002A1159" w:rsidP="003C5B42">
      <w:pPr>
        <w:widowControl w:val="0"/>
        <w:pBdr>
          <w:top w:val="nil"/>
          <w:left w:val="nil"/>
          <w:bottom w:val="nil"/>
          <w:right w:val="nil"/>
          <w:between w:val="nil"/>
        </w:pBdr>
        <w:jc w:val="both"/>
        <w:rPr>
          <w:rFonts w:ascii="Trebuchet MS" w:eastAsia="Trebuchet MS" w:hAnsi="Trebuchet MS" w:cs="Trebuchet MS"/>
        </w:rPr>
      </w:pPr>
    </w:p>
    <w:p w:rsidR="002A1159" w:rsidRDefault="00F80F37" w:rsidP="003C5B42">
      <w:pPr>
        <w:widowControl w:val="0"/>
        <w:pBdr>
          <w:top w:val="nil"/>
          <w:left w:val="nil"/>
          <w:bottom w:val="nil"/>
          <w:right w:val="nil"/>
          <w:between w:val="nil"/>
        </w:pBdr>
        <w:jc w:val="both"/>
        <w:rPr>
          <w:rFonts w:ascii="Trebuchet MS" w:eastAsia="Trebuchet MS" w:hAnsi="Trebuchet MS" w:cs="Trebuchet MS"/>
        </w:rPr>
      </w:pPr>
      <w:r>
        <w:rPr>
          <w:rFonts w:ascii="Trebuchet MS" w:eastAsia="Trebuchet MS" w:hAnsi="Trebuchet MS" w:cs="Trebuchet MS"/>
        </w:rPr>
        <w:t>One</w:t>
      </w:r>
      <w:r w:rsidR="002A1159">
        <w:rPr>
          <w:rFonts w:ascii="Trebuchet MS" w:eastAsia="Trebuchet MS" w:hAnsi="Trebuchet MS" w:cs="Trebuchet MS"/>
        </w:rPr>
        <w:t xml:space="preserve"> way (but not the only way) to organize the data sheet, is to list the sample names as columns, and variables as rows, with the first column of the sheet being designated to list the unit (or put “Alphanumeric” if there is no unit).</w:t>
      </w:r>
      <w:r>
        <w:rPr>
          <w:rFonts w:ascii="Trebuchet MS" w:eastAsia="Trebuchet MS" w:hAnsi="Trebuchet MS" w:cs="Trebuchet MS"/>
        </w:rPr>
        <w:t xml:space="preserve"> INSDC requires the samples to be rows, and the variables columns. At </w:t>
      </w:r>
      <w:proofErr w:type="spellStart"/>
      <w:r>
        <w:rPr>
          <w:rFonts w:ascii="Trebuchet MS" w:eastAsia="Trebuchet MS" w:hAnsi="Trebuchet MS" w:cs="Trebuchet MS"/>
        </w:rPr>
        <w:t>mARS</w:t>
      </w:r>
      <w:proofErr w:type="spellEnd"/>
      <w:r>
        <w:rPr>
          <w:rFonts w:ascii="Trebuchet MS" w:eastAsia="Trebuchet MS" w:hAnsi="Trebuchet MS" w:cs="Trebuchet MS"/>
        </w:rPr>
        <w:t xml:space="preserve"> we don’t follow the INSDC approach, because the lack of an additional row to denote units can pose problems for later users of the data that have no knowledge on </w:t>
      </w:r>
      <w:proofErr w:type="spellStart"/>
      <w:proofErr w:type="gramStart"/>
      <w:r>
        <w:rPr>
          <w:rFonts w:ascii="Trebuchet MS" w:eastAsia="Trebuchet MS" w:hAnsi="Trebuchet MS" w:cs="Trebuchet MS"/>
        </w:rPr>
        <w:t>it’s</w:t>
      </w:r>
      <w:proofErr w:type="spellEnd"/>
      <w:proofErr w:type="gramEnd"/>
      <w:r>
        <w:rPr>
          <w:rFonts w:ascii="Trebuchet MS" w:eastAsia="Trebuchet MS" w:hAnsi="Trebuchet MS" w:cs="Trebuchet MS"/>
        </w:rPr>
        <w:t xml:space="preserve"> background. </w:t>
      </w:r>
      <w:r w:rsidR="002A1159">
        <w:rPr>
          <w:rFonts w:ascii="Trebuchet MS" w:eastAsia="Trebuchet MS" w:hAnsi="Trebuchet MS" w:cs="Trebuchet MS"/>
        </w:rPr>
        <w:t xml:space="preserve">(see the </w:t>
      </w:r>
      <w:proofErr w:type="spellStart"/>
      <w:r w:rsidR="002A1159">
        <w:rPr>
          <w:rFonts w:ascii="Trebuchet MS" w:eastAsia="Trebuchet MS" w:hAnsi="Trebuchet MS" w:cs="Trebuchet MS"/>
        </w:rPr>
        <w:t>mARS</w:t>
      </w:r>
      <w:proofErr w:type="spellEnd"/>
      <w:r w:rsidR="002A1159">
        <w:rPr>
          <w:rFonts w:ascii="Trebuchet MS" w:eastAsia="Trebuchet MS" w:hAnsi="Trebuchet MS" w:cs="Trebuchet MS"/>
        </w:rPr>
        <w:t xml:space="preserve"> tutorials on submitting data to </w:t>
      </w:r>
      <w:proofErr w:type="spellStart"/>
      <w:r w:rsidR="002A1159">
        <w:rPr>
          <w:rFonts w:ascii="Trebuchet MS" w:eastAsia="Trebuchet MS" w:hAnsi="Trebuchet MS" w:cs="Trebuchet MS"/>
        </w:rPr>
        <w:t>mARS</w:t>
      </w:r>
      <w:proofErr w:type="spellEnd"/>
      <w:r w:rsidR="002A1159">
        <w:rPr>
          <w:rFonts w:ascii="Trebuchet MS" w:eastAsia="Trebuchet MS" w:hAnsi="Trebuchet MS" w:cs="Trebuchet MS"/>
        </w:rPr>
        <w:t xml:space="preserve"> for more detailed information).</w:t>
      </w:r>
    </w:p>
    <w:p w:rsidR="002A1159" w:rsidRDefault="002A1159" w:rsidP="003C5B42">
      <w:pPr>
        <w:widowControl w:val="0"/>
        <w:pBdr>
          <w:top w:val="nil"/>
          <w:left w:val="nil"/>
          <w:bottom w:val="nil"/>
          <w:right w:val="nil"/>
          <w:between w:val="nil"/>
        </w:pBdr>
        <w:jc w:val="both"/>
        <w:rPr>
          <w:rFonts w:ascii="Trebuchet MS" w:eastAsia="Trebuchet MS" w:hAnsi="Trebuchet MS" w:cs="Trebuchet MS"/>
        </w:rPr>
      </w:pPr>
    </w:p>
    <w:p w:rsidR="00F80F37" w:rsidRDefault="00F80F37" w:rsidP="003C5B42">
      <w:pPr>
        <w:widowControl w:val="0"/>
        <w:pBdr>
          <w:top w:val="nil"/>
          <w:left w:val="nil"/>
          <w:bottom w:val="nil"/>
          <w:right w:val="nil"/>
          <w:between w:val="nil"/>
        </w:pBdr>
        <w:jc w:val="both"/>
        <w:rPr>
          <w:rFonts w:ascii="Trebuchet MS" w:eastAsia="Trebuchet MS" w:hAnsi="Trebuchet MS" w:cs="Trebuchet MS"/>
        </w:rPr>
      </w:pPr>
      <w:r>
        <w:rPr>
          <w:rFonts w:ascii="Trebuchet MS" w:eastAsia="Trebuchet MS" w:hAnsi="Trebuchet MS" w:cs="Trebuchet MS"/>
        </w:rPr>
        <w:lastRenderedPageBreak/>
        <w:t xml:space="preserve">The package structure of </w:t>
      </w:r>
      <w:proofErr w:type="spellStart"/>
      <w:r>
        <w:rPr>
          <w:rFonts w:ascii="Trebuchet MS" w:eastAsia="Trebuchet MS" w:hAnsi="Trebuchet MS" w:cs="Trebuchet MS"/>
        </w:rPr>
        <w:t>MIxS</w:t>
      </w:r>
      <w:proofErr w:type="spellEnd"/>
      <w:r>
        <w:rPr>
          <w:rFonts w:ascii="Trebuchet MS" w:eastAsia="Trebuchet MS" w:hAnsi="Trebuchet MS" w:cs="Trebuchet MS"/>
        </w:rPr>
        <w:t xml:space="preserve"> was aimed at preventing the standard to be an unpractical endless long list of terms.</w:t>
      </w:r>
      <w:r w:rsidR="00172EE7">
        <w:rPr>
          <w:rFonts w:ascii="Trebuchet MS" w:eastAsia="Trebuchet MS" w:hAnsi="Trebuchet MS" w:cs="Trebuchet MS"/>
        </w:rPr>
        <w:t xml:space="preserve"> However, this can also cause difficulties, because i</w:t>
      </w:r>
      <w:r>
        <w:rPr>
          <w:rFonts w:ascii="Trebuchet MS" w:eastAsia="Trebuchet MS" w:hAnsi="Trebuchet MS" w:cs="Trebuchet MS"/>
        </w:rPr>
        <w:t xml:space="preserve">n principle, when an environmental package is chosen, only terms from that package can be used. If a term is missing from a package, you may write to the Genomics Standards Consortium and request it to be added to the new release of </w:t>
      </w:r>
      <w:proofErr w:type="spellStart"/>
      <w:r>
        <w:rPr>
          <w:rFonts w:ascii="Trebuchet MS" w:eastAsia="Trebuchet MS" w:hAnsi="Trebuchet MS" w:cs="Trebuchet MS"/>
        </w:rPr>
        <w:t>MIxS</w:t>
      </w:r>
      <w:proofErr w:type="spellEnd"/>
      <w:r>
        <w:rPr>
          <w:rFonts w:ascii="Trebuchet MS" w:eastAsia="Trebuchet MS" w:hAnsi="Trebuchet MS" w:cs="Trebuchet MS"/>
        </w:rPr>
        <w:t xml:space="preserve">. However, adding </w:t>
      </w:r>
      <w:r w:rsidR="00172EE7">
        <w:rPr>
          <w:rFonts w:ascii="Trebuchet MS" w:eastAsia="Trebuchet MS" w:hAnsi="Trebuchet MS" w:cs="Trebuchet MS"/>
        </w:rPr>
        <w:t>such a term</w:t>
      </w:r>
      <w:r>
        <w:rPr>
          <w:rFonts w:ascii="Trebuchet MS" w:eastAsia="Trebuchet MS" w:hAnsi="Trebuchet MS" w:cs="Trebuchet MS"/>
        </w:rPr>
        <w:t xml:space="preserve"> as non-official miscellaneous </w:t>
      </w:r>
      <w:r w:rsidR="00172EE7">
        <w:rPr>
          <w:rFonts w:ascii="Trebuchet MS" w:eastAsia="Trebuchet MS" w:hAnsi="Trebuchet MS" w:cs="Trebuchet MS"/>
        </w:rPr>
        <w:t>variable</w:t>
      </w:r>
      <w:r>
        <w:rPr>
          <w:rFonts w:ascii="Trebuchet MS" w:eastAsia="Trebuchet MS" w:hAnsi="Trebuchet MS" w:cs="Trebuchet MS"/>
        </w:rPr>
        <w:t xml:space="preserve"> to your data sheet also will not pose any problems</w:t>
      </w:r>
      <w:r w:rsidR="00172EE7">
        <w:rPr>
          <w:rFonts w:ascii="Trebuchet MS" w:eastAsia="Trebuchet MS" w:hAnsi="Trebuchet MS" w:cs="Trebuchet MS"/>
        </w:rPr>
        <w:t>, as well as combining terms from different packages.</w:t>
      </w:r>
    </w:p>
    <w:p w:rsidR="00477D28" w:rsidRDefault="00477D28" w:rsidP="003C5B42">
      <w:pPr>
        <w:widowControl w:val="0"/>
        <w:pBdr>
          <w:top w:val="nil"/>
          <w:left w:val="nil"/>
          <w:bottom w:val="nil"/>
          <w:right w:val="nil"/>
          <w:between w:val="nil"/>
        </w:pBdr>
        <w:jc w:val="both"/>
        <w:rPr>
          <w:rFonts w:ascii="Trebuchet MS" w:eastAsia="Trebuchet MS" w:hAnsi="Trebuchet MS" w:cs="Trebuchet MS"/>
        </w:rPr>
      </w:pPr>
    </w:p>
    <w:p w:rsidR="00477D28" w:rsidRPr="003C5B42" w:rsidRDefault="002A1159" w:rsidP="003C5B42">
      <w:pPr>
        <w:widowControl w:val="0"/>
        <w:pBdr>
          <w:top w:val="nil"/>
          <w:left w:val="nil"/>
          <w:bottom w:val="nil"/>
          <w:right w:val="nil"/>
          <w:between w:val="nil"/>
        </w:pBdr>
        <w:jc w:val="both"/>
        <w:rPr>
          <w:rFonts w:ascii="Trebuchet MS" w:eastAsia="Trebuchet MS" w:hAnsi="Trebuchet MS" w:cs="Trebuchet MS"/>
        </w:rPr>
      </w:pPr>
      <w:proofErr w:type="gramStart"/>
      <w:r>
        <w:rPr>
          <w:rFonts w:ascii="Trebuchet MS" w:eastAsia="Trebuchet MS" w:hAnsi="Trebuchet MS" w:cs="Trebuchet MS"/>
        </w:rPr>
        <w:t>Also</w:t>
      </w:r>
      <w:proofErr w:type="gramEnd"/>
      <w:r>
        <w:rPr>
          <w:rFonts w:ascii="Trebuchet MS" w:eastAsia="Trebuchet MS" w:hAnsi="Trebuchet MS" w:cs="Trebuchet MS"/>
        </w:rPr>
        <w:t xml:space="preserve"> i</w:t>
      </w:r>
      <w:r w:rsidR="00477D28">
        <w:rPr>
          <w:rFonts w:ascii="Trebuchet MS" w:eastAsia="Trebuchet MS" w:hAnsi="Trebuchet MS" w:cs="Trebuchet MS"/>
        </w:rPr>
        <w:t xml:space="preserve">mportant to note: </w:t>
      </w:r>
      <w:r w:rsidR="008579DF">
        <w:rPr>
          <w:rFonts w:ascii="Trebuchet MS" w:eastAsia="Trebuchet MS" w:hAnsi="Trebuchet MS" w:cs="Trebuchet MS"/>
        </w:rPr>
        <w:t xml:space="preserve">apart from the few “minimal terms”, </w:t>
      </w:r>
      <w:r>
        <w:rPr>
          <w:rFonts w:ascii="Trebuchet MS" w:eastAsia="Trebuchet MS" w:hAnsi="Trebuchet MS" w:cs="Trebuchet MS"/>
        </w:rPr>
        <w:t xml:space="preserve">by no means does </w:t>
      </w:r>
      <w:r w:rsidR="00477D28">
        <w:rPr>
          <w:rFonts w:ascii="Trebuchet MS" w:eastAsia="Trebuchet MS" w:hAnsi="Trebuchet MS" w:cs="Trebuchet MS"/>
        </w:rPr>
        <w:t>information need to be provided for all the terms</w:t>
      </w:r>
      <w:r>
        <w:rPr>
          <w:rFonts w:ascii="Trebuchet MS" w:eastAsia="Trebuchet MS" w:hAnsi="Trebuchet MS" w:cs="Trebuchet MS"/>
        </w:rPr>
        <w:t xml:space="preserve">. </w:t>
      </w:r>
    </w:p>
    <w:p w:rsidR="00F5245F" w:rsidRPr="00F5245F" w:rsidRDefault="00F5245F" w:rsidP="00F5245F">
      <w:pPr>
        <w:widowControl w:val="0"/>
        <w:pBdr>
          <w:top w:val="nil"/>
          <w:left w:val="nil"/>
          <w:bottom w:val="nil"/>
          <w:right w:val="nil"/>
          <w:between w:val="nil"/>
        </w:pBdr>
        <w:jc w:val="both"/>
        <w:rPr>
          <w:rFonts w:ascii="Trebuchet MS" w:eastAsia="Trebuchet MS" w:hAnsi="Trebuchet MS" w:cs="Trebuchet MS"/>
        </w:rPr>
      </w:pPr>
    </w:p>
    <w:p w:rsidR="00F5245F" w:rsidRPr="008A472B" w:rsidRDefault="00F5245F" w:rsidP="00F5245F">
      <w:pPr>
        <w:pStyle w:val="ListParagraph"/>
        <w:widowControl w:val="0"/>
        <w:numPr>
          <w:ilvl w:val="1"/>
          <w:numId w:val="13"/>
        </w:numPr>
        <w:pBdr>
          <w:top w:val="nil"/>
          <w:left w:val="nil"/>
          <w:bottom w:val="nil"/>
          <w:right w:val="nil"/>
          <w:between w:val="nil"/>
        </w:pBdr>
        <w:jc w:val="both"/>
        <w:rPr>
          <w:rFonts w:ascii="Trebuchet MS" w:eastAsia="Trebuchet MS" w:hAnsi="Trebuchet MS" w:cs="Trebuchet MS"/>
          <w:b/>
          <w:bCs/>
        </w:rPr>
      </w:pPr>
      <w:r w:rsidRPr="008A472B">
        <w:rPr>
          <w:rFonts w:ascii="Trebuchet MS" w:eastAsia="Trebuchet MS" w:hAnsi="Trebuchet MS" w:cs="Trebuchet MS"/>
          <w:b/>
          <w:bCs/>
        </w:rPr>
        <w:t xml:space="preserve">Adapting the original </w:t>
      </w:r>
      <w:proofErr w:type="spellStart"/>
      <w:r w:rsidRPr="008A472B">
        <w:rPr>
          <w:rFonts w:ascii="Trebuchet MS" w:eastAsia="Trebuchet MS" w:hAnsi="Trebuchet MS" w:cs="Trebuchet MS"/>
          <w:b/>
          <w:bCs/>
        </w:rPr>
        <w:t>MIxS</w:t>
      </w:r>
      <w:proofErr w:type="spellEnd"/>
      <w:r w:rsidRPr="008A472B">
        <w:rPr>
          <w:rFonts w:ascii="Trebuchet MS" w:eastAsia="Trebuchet MS" w:hAnsi="Trebuchet MS" w:cs="Trebuchet MS"/>
          <w:b/>
          <w:bCs/>
        </w:rPr>
        <w:t xml:space="preserve"> sheets to their </w:t>
      </w:r>
      <w:r w:rsidR="00624278">
        <w:rPr>
          <w:rFonts w:ascii="Trebuchet MS" w:eastAsia="Trebuchet MS" w:hAnsi="Trebuchet MS" w:cs="Trebuchet MS"/>
          <w:b/>
          <w:bCs/>
        </w:rPr>
        <w:t>NCBI</w:t>
      </w:r>
      <w:r w:rsidRPr="008A472B">
        <w:rPr>
          <w:rFonts w:ascii="Trebuchet MS" w:eastAsia="Trebuchet MS" w:hAnsi="Trebuchet MS" w:cs="Trebuchet MS"/>
          <w:b/>
          <w:bCs/>
        </w:rPr>
        <w:t xml:space="preserve"> variant</w:t>
      </w:r>
    </w:p>
    <w:p w:rsidR="00F5245F" w:rsidRDefault="00F5245F" w:rsidP="00880F99">
      <w:pPr>
        <w:widowControl w:val="0"/>
        <w:pBdr>
          <w:top w:val="nil"/>
          <w:left w:val="nil"/>
          <w:bottom w:val="nil"/>
          <w:right w:val="nil"/>
          <w:between w:val="nil"/>
        </w:pBdr>
        <w:jc w:val="both"/>
        <w:rPr>
          <w:rFonts w:ascii="Trebuchet MS" w:eastAsia="Trebuchet MS" w:hAnsi="Trebuchet MS" w:cs="Trebuchet MS"/>
        </w:rPr>
      </w:pPr>
    </w:p>
    <w:p w:rsidR="00F77C51" w:rsidRPr="00F77C51" w:rsidRDefault="00A93567" w:rsidP="00F77C51">
      <w:pPr>
        <w:pStyle w:val="ListParagraph"/>
        <w:widowControl w:val="0"/>
        <w:numPr>
          <w:ilvl w:val="0"/>
          <w:numId w:val="11"/>
        </w:numPr>
        <w:pBdr>
          <w:top w:val="nil"/>
          <w:left w:val="nil"/>
          <w:bottom w:val="nil"/>
          <w:right w:val="nil"/>
          <w:between w:val="nil"/>
        </w:pBdr>
        <w:jc w:val="both"/>
        <w:rPr>
          <w:rFonts w:ascii="Trebuchet MS" w:eastAsia="Trebuchet MS" w:hAnsi="Trebuchet MS" w:cs="Trebuchet MS"/>
        </w:rPr>
      </w:pPr>
      <w:r>
        <w:rPr>
          <w:rFonts w:ascii="Trebuchet MS" w:eastAsia="Trebuchet MS" w:hAnsi="Trebuchet MS" w:cs="Trebuchet MS"/>
        </w:rPr>
        <w:t>If necessary, t</w:t>
      </w:r>
      <w:r w:rsidR="00F77C51" w:rsidRPr="00F77C51">
        <w:rPr>
          <w:rFonts w:ascii="Trebuchet MS" w:eastAsia="Trebuchet MS" w:hAnsi="Trebuchet MS" w:cs="Trebuchet MS"/>
        </w:rPr>
        <w:t>ranspose the data</w:t>
      </w:r>
      <w:r>
        <w:rPr>
          <w:rFonts w:ascii="Trebuchet MS" w:eastAsia="Trebuchet MS" w:hAnsi="Trebuchet MS" w:cs="Trebuchet MS"/>
        </w:rPr>
        <w:t xml:space="preserve"> </w:t>
      </w:r>
      <w:r w:rsidR="00F77C51" w:rsidRPr="00F77C51">
        <w:rPr>
          <w:rFonts w:ascii="Trebuchet MS" w:eastAsia="Trebuchet MS" w:hAnsi="Trebuchet MS" w:cs="Trebuchet MS"/>
        </w:rPr>
        <w:t>table so that rows are samples, and columns are metadata or environmental data variable names.</w:t>
      </w:r>
    </w:p>
    <w:p w:rsidR="00F77C51" w:rsidRDefault="00F77C51" w:rsidP="00880F99">
      <w:pPr>
        <w:widowControl w:val="0"/>
        <w:pBdr>
          <w:top w:val="nil"/>
          <w:left w:val="nil"/>
          <w:bottom w:val="nil"/>
          <w:right w:val="nil"/>
          <w:between w:val="nil"/>
        </w:pBdr>
        <w:jc w:val="both"/>
        <w:rPr>
          <w:rFonts w:ascii="Trebuchet MS" w:eastAsia="Trebuchet MS" w:hAnsi="Trebuchet MS" w:cs="Trebuchet MS"/>
        </w:rPr>
      </w:pPr>
    </w:p>
    <w:p w:rsidR="00602853" w:rsidRDefault="00F77C51" w:rsidP="00F77C51">
      <w:pPr>
        <w:pStyle w:val="ListParagraph"/>
        <w:widowControl w:val="0"/>
        <w:numPr>
          <w:ilvl w:val="0"/>
          <w:numId w:val="11"/>
        </w:numPr>
        <w:pBdr>
          <w:top w:val="nil"/>
          <w:left w:val="nil"/>
          <w:bottom w:val="nil"/>
          <w:right w:val="nil"/>
          <w:between w:val="nil"/>
        </w:pBdr>
        <w:jc w:val="both"/>
        <w:rPr>
          <w:rFonts w:ascii="Trebuchet MS" w:eastAsia="Trebuchet MS" w:hAnsi="Trebuchet MS" w:cs="Trebuchet MS"/>
        </w:rPr>
      </w:pPr>
      <w:r w:rsidRPr="00F77C51">
        <w:rPr>
          <w:rFonts w:ascii="Trebuchet MS" w:eastAsia="Trebuchet MS" w:hAnsi="Trebuchet MS" w:cs="Trebuchet MS"/>
        </w:rPr>
        <w:t>Add the term “</w:t>
      </w:r>
      <w:proofErr w:type="spellStart"/>
      <w:r w:rsidRPr="00F77C51">
        <w:rPr>
          <w:rFonts w:ascii="Trebuchet MS" w:eastAsia="Trebuchet MS" w:hAnsi="Trebuchet MS" w:cs="Trebuchet MS"/>
        </w:rPr>
        <w:t>sample_name</w:t>
      </w:r>
      <w:proofErr w:type="spellEnd"/>
      <w:r w:rsidRPr="00F77C51">
        <w:rPr>
          <w:rFonts w:ascii="Trebuchet MS" w:eastAsia="Trebuchet MS" w:hAnsi="Trebuchet MS" w:cs="Trebuchet MS"/>
        </w:rPr>
        <w:t>”</w:t>
      </w:r>
      <w:r>
        <w:rPr>
          <w:rFonts w:ascii="Trebuchet MS" w:eastAsia="Trebuchet MS" w:hAnsi="Trebuchet MS" w:cs="Trebuchet MS"/>
        </w:rPr>
        <w:t xml:space="preserve"> in the header</w:t>
      </w:r>
      <w:r w:rsidR="00BD243E">
        <w:rPr>
          <w:rFonts w:ascii="Trebuchet MS" w:eastAsia="Trebuchet MS" w:hAnsi="Trebuchet MS" w:cs="Trebuchet MS"/>
        </w:rPr>
        <w:t xml:space="preserve"> (cell 1A)</w:t>
      </w:r>
      <w:r>
        <w:rPr>
          <w:rFonts w:ascii="Trebuchet MS" w:eastAsia="Trebuchet MS" w:hAnsi="Trebuchet MS" w:cs="Trebuchet MS"/>
        </w:rPr>
        <w:t xml:space="preserve"> to denote the sample names.</w:t>
      </w:r>
    </w:p>
    <w:p w:rsidR="00C51E75" w:rsidRPr="00C51E75" w:rsidRDefault="00C51E75" w:rsidP="00C51E75">
      <w:pPr>
        <w:pStyle w:val="ListParagraph"/>
        <w:rPr>
          <w:rFonts w:ascii="Trebuchet MS" w:eastAsia="Trebuchet MS" w:hAnsi="Trebuchet MS" w:cs="Trebuchet MS"/>
        </w:rPr>
      </w:pPr>
    </w:p>
    <w:p w:rsidR="00C51E75" w:rsidRDefault="00C51E75" w:rsidP="00F77C51">
      <w:pPr>
        <w:pStyle w:val="ListParagraph"/>
        <w:widowControl w:val="0"/>
        <w:numPr>
          <w:ilvl w:val="0"/>
          <w:numId w:val="11"/>
        </w:numPr>
        <w:pBdr>
          <w:top w:val="nil"/>
          <w:left w:val="nil"/>
          <w:bottom w:val="nil"/>
          <w:right w:val="nil"/>
          <w:between w:val="nil"/>
        </w:pBdr>
        <w:jc w:val="both"/>
        <w:rPr>
          <w:rFonts w:ascii="Trebuchet MS" w:eastAsia="Trebuchet MS" w:hAnsi="Trebuchet MS" w:cs="Trebuchet MS"/>
        </w:rPr>
      </w:pPr>
      <w:r>
        <w:rPr>
          <w:rFonts w:ascii="Trebuchet MS" w:eastAsia="Trebuchet MS" w:hAnsi="Trebuchet MS" w:cs="Trebuchet MS"/>
        </w:rPr>
        <w:t xml:space="preserve">Add a field “organism”, which has as value the lowest taxonomic rank of the target group (e.g. metagenome, or Bacteria, or </w:t>
      </w:r>
      <w:proofErr w:type="spellStart"/>
      <w:r>
        <w:rPr>
          <w:rFonts w:ascii="Trebuchet MS" w:eastAsia="Trebuchet MS" w:hAnsi="Trebuchet MS" w:cs="Trebuchet MS"/>
        </w:rPr>
        <w:t>Alphaproteobacteria</w:t>
      </w:r>
      <w:proofErr w:type="spellEnd"/>
      <w:r>
        <w:rPr>
          <w:rFonts w:ascii="Trebuchet MS" w:eastAsia="Trebuchet MS" w:hAnsi="Trebuchet MS" w:cs="Trebuchet MS"/>
        </w:rPr>
        <w:t xml:space="preserve">, </w:t>
      </w:r>
      <w:proofErr w:type="spellStart"/>
      <w:r>
        <w:rPr>
          <w:rFonts w:ascii="Trebuchet MS" w:eastAsia="Trebuchet MS" w:hAnsi="Trebuchet MS" w:cs="Trebuchet MS"/>
        </w:rPr>
        <w:t>etc</w:t>
      </w:r>
      <w:proofErr w:type="spellEnd"/>
      <w:r>
        <w:rPr>
          <w:rFonts w:ascii="Trebuchet MS" w:eastAsia="Trebuchet MS" w:hAnsi="Trebuchet MS" w:cs="Trebuchet MS"/>
        </w:rPr>
        <w:t>.)</w:t>
      </w:r>
    </w:p>
    <w:p w:rsidR="00612347" w:rsidRPr="00612347" w:rsidRDefault="00612347" w:rsidP="00612347">
      <w:pPr>
        <w:pStyle w:val="ListParagraph"/>
        <w:rPr>
          <w:rFonts w:ascii="Trebuchet MS" w:eastAsia="Trebuchet MS" w:hAnsi="Trebuchet MS" w:cs="Trebuchet MS"/>
        </w:rPr>
      </w:pPr>
    </w:p>
    <w:p w:rsidR="00612347" w:rsidRDefault="00612347" w:rsidP="00F77C51">
      <w:pPr>
        <w:pStyle w:val="ListParagraph"/>
        <w:widowControl w:val="0"/>
        <w:numPr>
          <w:ilvl w:val="0"/>
          <w:numId w:val="11"/>
        </w:numPr>
        <w:pBdr>
          <w:top w:val="nil"/>
          <w:left w:val="nil"/>
          <w:bottom w:val="nil"/>
          <w:right w:val="nil"/>
          <w:between w:val="nil"/>
        </w:pBdr>
        <w:jc w:val="both"/>
        <w:rPr>
          <w:rFonts w:ascii="Trebuchet MS" w:eastAsia="Trebuchet MS" w:hAnsi="Trebuchet MS" w:cs="Trebuchet MS"/>
        </w:rPr>
      </w:pPr>
      <w:r>
        <w:rPr>
          <w:rFonts w:ascii="Trebuchet MS" w:eastAsia="Trebuchet MS" w:hAnsi="Trebuchet MS" w:cs="Trebuchet MS"/>
        </w:rPr>
        <w:t xml:space="preserve">Make sure the </w:t>
      </w:r>
      <w:r w:rsidR="00A93567">
        <w:rPr>
          <w:rFonts w:ascii="Trebuchet MS" w:eastAsia="Trebuchet MS" w:hAnsi="Trebuchet MS" w:cs="Trebuchet MS"/>
        </w:rPr>
        <w:t xml:space="preserve">minimal </w:t>
      </w:r>
      <w:r>
        <w:rPr>
          <w:rFonts w:ascii="Trebuchet MS" w:eastAsia="Trebuchet MS" w:hAnsi="Trebuchet MS" w:cs="Trebuchet MS"/>
        </w:rPr>
        <w:t>fields for</w:t>
      </w:r>
      <w:r w:rsidR="00A93567">
        <w:rPr>
          <w:rFonts w:ascii="Trebuchet MS" w:eastAsia="Trebuchet MS" w:hAnsi="Trebuchet MS" w:cs="Trebuchet MS"/>
        </w:rPr>
        <w:t xml:space="preserve"> the core terms and</w:t>
      </w:r>
      <w:r>
        <w:rPr>
          <w:rFonts w:ascii="Trebuchet MS" w:eastAsia="Trebuchet MS" w:hAnsi="Trebuchet MS" w:cs="Trebuchet MS"/>
        </w:rPr>
        <w:t xml:space="preserve"> any of the environmental packages are completely filled in. If there is no data, put “not collected”, “not applicable” or “missing”.</w:t>
      </w:r>
      <w:r w:rsidR="00A900C7">
        <w:rPr>
          <w:rFonts w:ascii="Trebuchet MS" w:eastAsia="Trebuchet MS" w:hAnsi="Trebuchet MS" w:cs="Trebuchet MS"/>
        </w:rPr>
        <w:t xml:space="preserve"> Also make sure there are no other empty columns or cells.</w:t>
      </w:r>
    </w:p>
    <w:p w:rsidR="00612347" w:rsidRPr="00612347" w:rsidRDefault="00612347" w:rsidP="00612347">
      <w:pPr>
        <w:pStyle w:val="ListParagraph"/>
        <w:rPr>
          <w:rFonts w:ascii="Trebuchet MS" w:eastAsia="Trebuchet MS" w:hAnsi="Trebuchet MS" w:cs="Trebuchet MS"/>
        </w:rPr>
      </w:pPr>
    </w:p>
    <w:p w:rsidR="00612347" w:rsidRDefault="00A93567" w:rsidP="00F77C51">
      <w:pPr>
        <w:pStyle w:val="ListParagraph"/>
        <w:widowControl w:val="0"/>
        <w:numPr>
          <w:ilvl w:val="0"/>
          <w:numId w:val="11"/>
        </w:numPr>
        <w:pBdr>
          <w:top w:val="nil"/>
          <w:left w:val="nil"/>
          <w:bottom w:val="nil"/>
          <w:right w:val="nil"/>
          <w:between w:val="nil"/>
        </w:pBdr>
        <w:jc w:val="both"/>
        <w:rPr>
          <w:rFonts w:ascii="Trebuchet MS" w:eastAsia="Trebuchet MS" w:hAnsi="Trebuchet MS" w:cs="Trebuchet MS"/>
        </w:rPr>
      </w:pPr>
      <w:r>
        <w:rPr>
          <w:rFonts w:ascii="Trebuchet MS" w:eastAsia="Trebuchet MS" w:hAnsi="Trebuchet MS" w:cs="Trebuchet MS"/>
        </w:rPr>
        <w:t>NCBI</w:t>
      </w:r>
      <w:r w:rsidR="00612347">
        <w:rPr>
          <w:rFonts w:ascii="Trebuchet MS" w:eastAsia="Trebuchet MS" w:hAnsi="Trebuchet MS" w:cs="Trebuchet MS"/>
        </w:rPr>
        <w:t xml:space="preserve"> does not allow any additional rows other than a single header and a row per sample, so remove the row with the units and other possible non-sample rows.</w:t>
      </w:r>
    </w:p>
    <w:p w:rsidR="00F77C51" w:rsidRDefault="00F77C51" w:rsidP="00880F99">
      <w:pPr>
        <w:widowControl w:val="0"/>
        <w:pBdr>
          <w:top w:val="nil"/>
          <w:left w:val="nil"/>
          <w:bottom w:val="nil"/>
          <w:right w:val="nil"/>
          <w:between w:val="nil"/>
        </w:pBdr>
        <w:jc w:val="both"/>
        <w:rPr>
          <w:rFonts w:ascii="Trebuchet MS" w:eastAsia="Trebuchet MS" w:hAnsi="Trebuchet MS" w:cs="Trebuchet MS"/>
        </w:rPr>
      </w:pPr>
    </w:p>
    <w:p w:rsidR="00AA5D11" w:rsidRDefault="00612347" w:rsidP="007B24C1">
      <w:pPr>
        <w:pStyle w:val="ListParagraph"/>
        <w:widowControl w:val="0"/>
        <w:numPr>
          <w:ilvl w:val="0"/>
          <w:numId w:val="11"/>
        </w:numPr>
        <w:pBdr>
          <w:top w:val="nil"/>
          <w:left w:val="nil"/>
          <w:bottom w:val="nil"/>
          <w:right w:val="nil"/>
          <w:between w:val="nil"/>
        </w:pBdr>
        <w:jc w:val="both"/>
        <w:rPr>
          <w:rFonts w:ascii="Trebuchet MS" w:eastAsia="Trebuchet MS" w:hAnsi="Trebuchet MS" w:cs="Trebuchet MS"/>
        </w:rPr>
      </w:pPr>
      <w:r w:rsidRPr="00612347">
        <w:rPr>
          <w:rFonts w:ascii="Trebuchet MS" w:eastAsia="Trebuchet MS" w:hAnsi="Trebuchet MS" w:cs="Trebuchet MS"/>
        </w:rPr>
        <w:t>In the</w:t>
      </w:r>
      <w:r w:rsidR="00F77C51" w:rsidRPr="00612347">
        <w:rPr>
          <w:rFonts w:ascii="Trebuchet MS" w:eastAsia="Trebuchet MS" w:hAnsi="Trebuchet MS" w:cs="Trebuchet MS"/>
        </w:rPr>
        <w:t xml:space="preserve"> “</w:t>
      </w:r>
      <w:proofErr w:type="spellStart"/>
      <w:r w:rsidR="00F77C51" w:rsidRPr="00612347">
        <w:rPr>
          <w:rFonts w:ascii="Trebuchet MS" w:eastAsia="Trebuchet MS" w:hAnsi="Trebuchet MS" w:cs="Trebuchet MS"/>
        </w:rPr>
        <w:t>lat_lon</w:t>
      </w:r>
      <w:proofErr w:type="spellEnd"/>
      <w:r w:rsidR="00F77C51" w:rsidRPr="00612347">
        <w:rPr>
          <w:rFonts w:ascii="Trebuchet MS" w:eastAsia="Trebuchet MS" w:hAnsi="Trebuchet MS" w:cs="Trebuchet MS"/>
        </w:rPr>
        <w:t>” column</w:t>
      </w:r>
      <w:r>
        <w:rPr>
          <w:rFonts w:ascii="Trebuchet MS" w:eastAsia="Trebuchet MS" w:hAnsi="Trebuchet MS" w:cs="Trebuchet MS"/>
        </w:rPr>
        <w:t xml:space="preserve">, the prefered format by </w:t>
      </w:r>
      <w:r w:rsidR="009C3B78">
        <w:rPr>
          <w:rFonts w:ascii="Trebuchet MS" w:eastAsia="Trebuchet MS" w:hAnsi="Trebuchet MS" w:cs="Trebuchet MS"/>
        </w:rPr>
        <w:t>NCBI</w:t>
      </w:r>
      <w:r>
        <w:rPr>
          <w:rFonts w:ascii="Trebuchet MS" w:eastAsia="Trebuchet MS" w:hAnsi="Trebuchet MS" w:cs="Trebuchet MS"/>
        </w:rPr>
        <w:t xml:space="preserve"> is </w:t>
      </w:r>
      <w:r w:rsidR="00365D87">
        <w:rPr>
          <w:rFonts w:ascii="Trebuchet MS" w:eastAsia="Trebuchet MS" w:hAnsi="Trebuchet MS" w:cs="Trebuchet MS"/>
        </w:rPr>
        <w:t>the positive decimal degree numeric values followed by a single letter for the hemisphere: Southern (S) or Northern (N), and Eastern (E) or Western (W) hemispheres, respectively.</w:t>
      </w:r>
      <w:r w:rsidR="009C3B78">
        <w:rPr>
          <w:rFonts w:ascii="Trebuchet MS" w:eastAsia="Trebuchet MS" w:hAnsi="Trebuchet MS" w:cs="Trebuchet MS"/>
        </w:rPr>
        <w:t xml:space="preserve"> It can also be split into separate “latitude” and “</w:t>
      </w:r>
      <w:proofErr w:type="spellStart"/>
      <w:proofErr w:type="gramStart"/>
      <w:r w:rsidR="009C3B78">
        <w:rPr>
          <w:rFonts w:ascii="Trebuchet MS" w:eastAsia="Trebuchet MS" w:hAnsi="Trebuchet MS" w:cs="Trebuchet MS"/>
        </w:rPr>
        <w:t>longitude”columns</w:t>
      </w:r>
      <w:proofErr w:type="spellEnd"/>
      <w:proofErr w:type="gramEnd"/>
      <w:r w:rsidR="009C3B78">
        <w:rPr>
          <w:rFonts w:ascii="Trebuchet MS" w:eastAsia="Trebuchet MS" w:hAnsi="Trebuchet MS" w:cs="Trebuchet MS"/>
        </w:rPr>
        <w:t>, as this is the way the data will be stored in their database.</w:t>
      </w:r>
    </w:p>
    <w:p w:rsidR="00612347" w:rsidRPr="00612347" w:rsidRDefault="00612347" w:rsidP="00365D87">
      <w:pPr>
        <w:pStyle w:val="ListParagraph"/>
        <w:widowControl w:val="0"/>
        <w:pBdr>
          <w:top w:val="nil"/>
          <w:left w:val="nil"/>
          <w:bottom w:val="nil"/>
          <w:right w:val="nil"/>
          <w:between w:val="nil"/>
        </w:pBdr>
        <w:jc w:val="both"/>
        <w:rPr>
          <w:rFonts w:ascii="Trebuchet MS" w:eastAsia="Trebuchet MS" w:hAnsi="Trebuchet MS" w:cs="Trebuchet MS"/>
        </w:rPr>
      </w:pPr>
    </w:p>
    <w:p w:rsidR="00AA0148" w:rsidRDefault="00AA5D11" w:rsidP="00F77C51">
      <w:pPr>
        <w:pStyle w:val="ListParagraph"/>
        <w:widowControl w:val="0"/>
        <w:numPr>
          <w:ilvl w:val="0"/>
          <w:numId w:val="11"/>
        </w:numPr>
        <w:pBdr>
          <w:top w:val="nil"/>
          <w:left w:val="nil"/>
          <w:bottom w:val="nil"/>
          <w:right w:val="nil"/>
          <w:between w:val="nil"/>
        </w:pBdr>
        <w:jc w:val="both"/>
        <w:rPr>
          <w:rFonts w:ascii="Trebuchet MS" w:eastAsia="Trebuchet MS" w:hAnsi="Trebuchet MS" w:cs="Trebuchet MS"/>
        </w:rPr>
      </w:pPr>
      <w:r>
        <w:rPr>
          <w:rFonts w:ascii="Trebuchet MS" w:eastAsia="Trebuchet MS" w:hAnsi="Trebuchet MS" w:cs="Trebuchet MS"/>
        </w:rPr>
        <w:t xml:space="preserve">Make sure the table is saved </w:t>
      </w:r>
      <w:r w:rsidR="00AA0148">
        <w:rPr>
          <w:rFonts w:ascii="Trebuchet MS" w:eastAsia="Trebuchet MS" w:hAnsi="Trebuchet MS" w:cs="Trebuchet MS"/>
        </w:rPr>
        <w:t>in a tab-delimited format, like .</w:t>
      </w:r>
      <w:proofErr w:type="spellStart"/>
      <w:r w:rsidR="00AA0148">
        <w:rPr>
          <w:rFonts w:ascii="Trebuchet MS" w:eastAsia="Trebuchet MS" w:hAnsi="Trebuchet MS" w:cs="Trebuchet MS"/>
        </w:rPr>
        <w:t>xls</w:t>
      </w:r>
      <w:proofErr w:type="spellEnd"/>
      <w:r w:rsidR="00AA0148">
        <w:rPr>
          <w:rFonts w:ascii="Trebuchet MS" w:eastAsia="Trebuchet MS" w:hAnsi="Trebuchet MS" w:cs="Trebuchet MS"/>
        </w:rPr>
        <w:t xml:space="preserve"> and .xlsx</w:t>
      </w:r>
      <w:r w:rsidR="00612347">
        <w:rPr>
          <w:rFonts w:ascii="Trebuchet MS" w:eastAsia="Trebuchet MS" w:hAnsi="Trebuchet MS" w:cs="Trebuchet MS"/>
        </w:rPr>
        <w:t>, not CSV</w:t>
      </w:r>
      <w:r w:rsidR="009C3B78">
        <w:rPr>
          <w:rFonts w:ascii="Trebuchet MS" w:eastAsia="Trebuchet MS" w:hAnsi="Trebuchet MS" w:cs="Trebuchet MS"/>
        </w:rPr>
        <w:t>.</w:t>
      </w:r>
    </w:p>
    <w:p w:rsidR="00AA0148" w:rsidRPr="00AA0148" w:rsidRDefault="00AA0148" w:rsidP="00AA0148">
      <w:pPr>
        <w:pStyle w:val="ListParagraph"/>
        <w:rPr>
          <w:rFonts w:ascii="Trebuchet MS" w:eastAsia="Trebuchet MS" w:hAnsi="Trebuchet MS" w:cs="Trebuchet MS"/>
        </w:rPr>
      </w:pPr>
    </w:p>
    <w:p w:rsidR="00602853" w:rsidRDefault="00602853" w:rsidP="00BE062E">
      <w:pPr>
        <w:widowControl w:val="0"/>
        <w:pBdr>
          <w:top w:val="nil"/>
          <w:left w:val="nil"/>
          <w:bottom w:val="nil"/>
          <w:right w:val="nil"/>
          <w:between w:val="nil"/>
        </w:pBdr>
        <w:jc w:val="both"/>
        <w:rPr>
          <w:rFonts w:ascii="Trebuchet MS" w:eastAsia="Trebuchet MS" w:hAnsi="Trebuchet MS" w:cs="Trebuchet MS"/>
        </w:rPr>
      </w:pPr>
    </w:p>
    <w:p w:rsidR="008A472B" w:rsidRDefault="008A472B" w:rsidP="00BE062E">
      <w:pPr>
        <w:widowControl w:val="0"/>
        <w:pBdr>
          <w:top w:val="nil"/>
          <w:left w:val="nil"/>
          <w:bottom w:val="nil"/>
          <w:right w:val="nil"/>
          <w:between w:val="nil"/>
        </w:pBdr>
        <w:jc w:val="both"/>
        <w:rPr>
          <w:rFonts w:ascii="Trebuchet MS" w:eastAsia="Trebuchet MS" w:hAnsi="Trebuchet MS" w:cs="Trebuchet MS"/>
        </w:rPr>
      </w:pPr>
    </w:p>
    <w:p w:rsidR="008A472B" w:rsidRDefault="008A472B" w:rsidP="00BE062E">
      <w:pPr>
        <w:widowControl w:val="0"/>
        <w:pBdr>
          <w:top w:val="nil"/>
          <w:left w:val="nil"/>
          <w:bottom w:val="nil"/>
          <w:right w:val="nil"/>
          <w:between w:val="nil"/>
        </w:pBdr>
        <w:jc w:val="both"/>
        <w:rPr>
          <w:rFonts w:ascii="Trebuchet MS" w:eastAsia="Trebuchet MS" w:hAnsi="Trebuchet MS" w:cs="Trebuchet MS"/>
        </w:rPr>
      </w:pPr>
    </w:p>
    <w:p w:rsidR="00354496" w:rsidRDefault="00354496" w:rsidP="00BE062E">
      <w:pPr>
        <w:widowControl w:val="0"/>
        <w:pBdr>
          <w:top w:val="nil"/>
          <w:left w:val="nil"/>
          <w:bottom w:val="nil"/>
          <w:right w:val="nil"/>
          <w:between w:val="nil"/>
        </w:pBdr>
        <w:jc w:val="both"/>
        <w:rPr>
          <w:rFonts w:ascii="Trebuchet MS" w:eastAsia="Trebuchet MS" w:hAnsi="Trebuchet MS" w:cs="Trebuchet MS"/>
        </w:rPr>
      </w:pPr>
    </w:p>
    <w:p w:rsidR="008A472B" w:rsidRDefault="008A472B" w:rsidP="00BE062E">
      <w:pPr>
        <w:widowControl w:val="0"/>
        <w:pBdr>
          <w:top w:val="nil"/>
          <w:left w:val="nil"/>
          <w:bottom w:val="nil"/>
          <w:right w:val="nil"/>
          <w:between w:val="nil"/>
        </w:pBdr>
        <w:jc w:val="both"/>
        <w:rPr>
          <w:rFonts w:ascii="Trebuchet MS" w:eastAsia="Trebuchet MS" w:hAnsi="Trebuchet MS" w:cs="Trebuchet MS"/>
        </w:rPr>
      </w:pPr>
    </w:p>
    <w:p w:rsidR="002015E9" w:rsidRPr="00393D24" w:rsidRDefault="002015E9" w:rsidP="00BE062E">
      <w:pPr>
        <w:widowControl w:val="0"/>
        <w:pBdr>
          <w:top w:val="nil"/>
          <w:left w:val="nil"/>
          <w:bottom w:val="nil"/>
          <w:right w:val="nil"/>
          <w:between w:val="nil"/>
        </w:pBdr>
        <w:jc w:val="both"/>
        <w:rPr>
          <w:rFonts w:ascii="Trebuchet MS" w:eastAsia="Trebuchet MS" w:hAnsi="Trebuchet MS" w:cs="Trebuchet MS"/>
        </w:rPr>
      </w:pPr>
    </w:p>
    <w:p w:rsidR="002015E9" w:rsidRDefault="002015E9" w:rsidP="00BE062E">
      <w:pPr>
        <w:widowControl w:val="0"/>
        <w:pBdr>
          <w:top w:val="nil"/>
          <w:left w:val="nil"/>
          <w:bottom w:val="nil"/>
          <w:right w:val="nil"/>
          <w:between w:val="nil"/>
        </w:pBdr>
        <w:jc w:val="both"/>
        <w:rPr>
          <w:rFonts w:ascii="Trebuchet MS" w:eastAsia="Trebuchet MS" w:hAnsi="Trebuchet MS" w:cs="Trebuchet MS"/>
          <w:b/>
          <w:sz w:val="32"/>
          <w:szCs w:val="32"/>
        </w:rPr>
      </w:pPr>
      <w:r>
        <w:rPr>
          <w:rFonts w:ascii="Trebuchet MS" w:eastAsia="Trebuchet MS" w:hAnsi="Trebuchet MS" w:cs="Trebuchet MS"/>
          <w:b/>
          <w:sz w:val="32"/>
          <w:szCs w:val="32"/>
        </w:rPr>
        <w:t>Part 2: submitting your data</w:t>
      </w:r>
    </w:p>
    <w:p w:rsidR="00354496" w:rsidRDefault="00354496" w:rsidP="00BE062E">
      <w:pPr>
        <w:widowControl w:val="0"/>
        <w:pBdr>
          <w:top w:val="nil"/>
          <w:left w:val="nil"/>
          <w:bottom w:val="nil"/>
          <w:right w:val="nil"/>
          <w:between w:val="nil"/>
        </w:pBdr>
        <w:jc w:val="both"/>
        <w:rPr>
          <w:rFonts w:ascii="Trebuchet MS" w:eastAsia="Trebuchet MS" w:hAnsi="Trebuchet MS" w:cs="Trebuchet MS"/>
        </w:rPr>
      </w:pPr>
    </w:p>
    <w:p w:rsidR="0081233E" w:rsidRDefault="002015E9" w:rsidP="00BE062E">
      <w:pPr>
        <w:widowControl w:val="0"/>
        <w:pBdr>
          <w:top w:val="nil"/>
          <w:left w:val="nil"/>
          <w:bottom w:val="nil"/>
          <w:right w:val="nil"/>
          <w:between w:val="nil"/>
        </w:pBdr>
        <w:jc w:val="both"/>
        <w:rPr>
          <w:rFonts w:ascii="Trebuchet MS" w:eastAsia="Trebuchet MS" w:hAnsi="Trebuchet MS" w:cs="Trebuchet MS"/>
        </w:rPr>
      </w:pPr>
      <w:r w:rsidRPr="002015E9">
        <w:rPr>
          <w:rFonts w:ascii="Trebuchet MS" w:eastAsia="Trebuchet MS" w:hAnsi="Trebuchet MS" w:cs="Trebuchet MS"/>
        </w:rPr>
        <w:t>Go the SRA submission portal</w:t>
      </w:r>
      <w:r>
        <w:rPr>
          <w:rFonts w:ascii="Trebuchet MS" w:eastAsia="Trebuchet MS" w:hAnsi="Trebuchet MS" w:cs="Trebuchet MS"/>
        </w:rPr>
        <w:t xml:space="preserve">: </w:t>
      </w:r>
    </w:p>
    <w:p w:rsidR="002015E9" w:rsidRPr="00354496" w:rsidRDefault="00563E26" w:rsidP="00BE062E">
      <w:pPr>
        <w:widowControl w:val="0"/>
        <w:pBdr>
          <w:top w:val="nil"/>
          <w:left w:val="nil"/>
          <w:bottom w:val="nil"/>
          <w:right w:val="nil"/>
          <w:between w:val="nil"/>
        </w:pBdr>
        <w:jc w:val="both"/>
        <w:rPr>
          <w:rFonts w:ascii="Trebuchet MS" w:eastAsia="Trebuchet MS" w:hAnsi="Trebuchet MS" w:cs="Trebuchet MS"/>
          <w:color w:val="FF0000"/>
          <w:sz w:val="32"/>
          <w:szCs w:val="32"/>
        </w:rPr>
      </w:pPr>
      <w:r w:rsidRPr="00354496">
        <w:rPr>
          <w:rFonts w:ascii="Trebuchet MS" w:eastAsia="Trebuchet MS" w:hAnsi="Trebuchet MS" w:cs="Trebuchet MS"/>
          <w:color w:val="FF0000"/>
          <w:sz w:val="32"/>
          <w:szCs w:val="32"/>
        </w:rPr>
        <w:t>https://submit.ncbi.nlm.nih.gov/subs/sra/</w:t>
      </w:r>
    </w:p>
    <w:p w:rsidR="002015E9" w:rsidRPr="0081233E" w:rsidRDefault="002015E9" w:rsidP="00BE062E">
      <w:pPr>
        <w:widowControl w:val="0"/>
        <w:pBdr>
          <w:top w:val="nil"/>
          <w:left w:val="nil"/>
          <w:bottom w:val="nil"/>
          <w:right w:val="nil"/>
          <w:between w:val="nil"/>
        </w:pBdr>
        <w:jc w:val="both"/>
        <w:rPr>
          <w:rFonts w:ascii="Trebuchet MS" w:eastAsia="Trebuchet MS" w:hAnsi="Trebuchet MS" w:cs="Trebuchet MS"/>
        </w:rPr>
      </w:pPr>
    </w:p>
    <w:p w:rsidR="009B754E" w:rsidRDefault="00563E26" w:rsidP="00BE062E">
      <w:pPr>
        <w:widowControl w:val="0"/>
        <w:pBdr>
          <w:top w:val="nil"/>
          <w:left w:val="nil"/>
          <w:bottom w:val="nil"/>
          <w:right w:val="nil"/>
          <w:between w:val="nil"/>
        </w:pBdr>
        <w:jc w:val="both"/>
        <w:rPr>
          <w:rFonts w:ascii="Trebuchet MS" w:eastAsia="Trebuchet MS" w:hAnsi="Trebuchet MS" w:cs="Trebuchet MS"/>
        </w:rPr>
      </w:pPr>
      <w:r>
        <w:rPr>
          <w:rFonts w:ascii="Trebuchet MS" w:eastAsia="Trebuchet MS" w:hAnsi="Trebuchet MS" w:cs="Trebuchet MS"/>
        </w:rPr>
        <w:t>Click on “new submission” to</w:t>
      </w:r>
      <w:r w:rsidR="0081233E" w:rsidRPr="0081233E">
        <w:rPr>
          <w:rFonts w:ascii="Trebuchet MS" w:eastAsia="Trebuchet MS" w:hAnsi="Trebuchet MS" w:cs="Trebuchet MS"/>
        </w:rPr>
        <w:t xml:space="preserve"> open </w:t>
      </w:r>
      <w:r>
        <w:rPr>
          <w:rFonts w:ascii="Trebuchet MS" w:eastAsia="Trebuchet MS" w:hAnsi="Trebuchet MS" w:cs="Trebuchet MS"/>
        </w:rPr>
        <w:t>the</w:t>
      </w:r>
      <w:r w:rsidR="00393D24">
        <w:rPr>
          <w:rFonts w:ascii="Trebuchet MS" w:eastAsia="Trebuchet MS" w:hAnsi="Trebuchet MS" w:cs="Trebuchet MS"/>
        </w:rPr>
        <w:t xml:space="preserve"> </w:t>
      </w:r>
      <w:r w:rsidR="0081233E" w:rsidRPr="0081233E">
        <w:rPr>
          <w:rFonts w:ascii="Trebuchet MS" w:eastAsia="Trebuchet MS" w:hAnsi="Trebuchet MS" w:cs="Trebuchet MS"/>
        </w:rPr>
        <w:t>online wizard</w:t>
      </w:r>
      <w:r w:rsidR="00293062">
        <w:rPr>
          <w:rFonts w:ascii="Trebuchet MS" w:eastAsia="Trebuchet MS" w:hAnsi="Trebuchet MS" w:cs="Trebuchet MS"/>
        </w:rPr>
        <w:t xml:space="preserve"> that will guide you through the process</w:t>
      </w:r>
      <w:r w:rsidR="0081233E">
        <w:rPr>
          <w:rFonts w:ascii="Trebuchet MS" w:eastAsia="Trebuchet MS" w:hAnsi="Trebuchet MS" w:cs="Trebuchet MS"/>
        </w:rPr>
        <w:t>.</w:t>
      </w:r>
      <w:r w:rsidR="00393D24">
        <w:rPr>
          <w:rFonts w:ascii="Trebuchet MS" w:eastAsia="Trebuchet MS" w:hAnsi="Trebuchet MS" w:cs="Trebuchet MS"/>
        </w:rPr>
        <w:t xml:space="preserve"> The number of steps that need to be completed depend on the type of data and if the current submission is related to a past submission.</w:t>
      </w:r>
    </w:p>
    <w:p w:rsidR="00354496" w:rsidRDefault="00354496" w:rsidP="00BE062E">
      <w:pPr>
        <w:widowControl w:val="0"/>
        <w:pBdr>
          <w:top w:val="nil"/>
          <w:left w:val="nil"/>
          <w:bottom w:val="nil"/>
          <w:right w:val="nil"/>
          <w:between w:val="nil"/>
        </w:pBdr>
        <w:jc w:val="both"/>
        <w:rPr>
          <w:rFonts w:ascii="Trebuchet MS" w:eastAsia="Trebuchet MS" w:hAnsi="Trebuchet MS" w:cs="Trebuchet MS"/>
        </w:rPr>
      </w:pPr>
    </w:p>
    <w:p w:rsidR="00354496" w:rsidRDefault="00354496" w:rsidP="00BE062E">
      <w:pPr>
        <w:widowControl w:val="0"/>
        <w:pBdr>
          <w:top w:val="nil"/>
          <w:left w:val="nil"/>
          <w:bottom w:val="nil"/>
          <w:right w:val="nil"/>
          <w:between w:val="nil"/>
        </w:pBdr>
        <w:jc w:val="both"/>
        <w:rPr>
          <w:rFonts w:ascii="Trebuchet MS" w:eastAsia="Trebuchet MS" w:hAnsi="Trebuchet MS" w:cs="Trebuchet MS"/>
        </w:rPr>
      </w:pPr>
      <w:r>
        <w:rPr>
          <w:rFonts w:ascii="Trebuchet MS" w:eastAsia="Trebuchet MS" w:hAnsi="Trebuchet MS" w:cs="Trebuchet MS"/>
          <w:noProof/>
        </w:rPr>
        <w:drawing>
          <wp:inline distT="0" distB="0" distL="0" distR="0">
            <wp:extent cx="5943600" cy="34620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8-06 at 14.10.34.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462020"/>
                    </a:xfrm>
                    <a:prstGeom prst="rect">
                      <a:avLst/>
                    </a:prstGeom>
                  </pic:spPr>
                </pic:pic>
              </a:graphicData>
            </a:graphic>
          </wp:inline>
        </w:drawing>
      </w:r>
    </w:p>
    <w:p w:rsidR="00233E4C" w:rsidRDefault="00233E4C" w:rsidP="00BE062E">
      <w:pPr>
        <w:widowControl w:val="0"/>
        <w:pBdr>
          <w:top w:val="nil"/>
          <w:left w:val="nil"/>
          <w:bottom w:val="nil"/>
          <w:right w:val="nil"/>
          <w:between w:val="nil"/>
        </w:pBdr>
        <w:jc w:val="both"/>
        <w:rPr>
          <w:rFonts w:ascii="Trebuchet MS" w:eastAsia="Trebuchet MS" w:hAnsi="Trebuchet MS" w:cs="Trebuchet MS"/>
        </w:rPr>
      </w:pPr>
    </w:p>
    <w:p w:rsidR="00233E4C" w:rsidRPr="008F6006" w:rsidRDefault="00233E4C" w:rsidP="00BE062E">
      <w:pPr>
        <w:widowControl w:val="0"/>
        <w:pBdr>
          <w:top w:val="nil"/>
          <w:left w:val="nil"/>
          <w:bottom w:val="nil"/>
          <w:right w:val="nil"/>
          <w:between w:val="nil"/>
        </w:pBdr>
        <w:jc w:val="both"/>
        <w:rPr>
          <w:rFonts w:ascii="Trebuchet MS" w:eastAsia="Trebuchet MS" w:hAnsi="Trebuchet MS" w:cs="Trebuchet MS"/>
          <w:b/>
          <w:bCs/>
        </w:rPr>
      </w:pPr>
      <w:r w:rsidRPr="008F6006">
        <w:rPr>
          <w:rFonts w:ascii="Trebuchet MS" w:eastAsia="Trebuchet MS" w:hAnsi="Trebuchet MS" w:cs="Trebuchet MS"/>
          <w:b/>
          <w:bCs/>
        </w:rPr>
        <w:t>2.1 Submitter information</w:t>
      </w:r>
    </w:p>
    <w:p w:rsidR="00233E4C" w:rsidRDefault="00233E4C" w:rsidP="00BE062E">
      <w:pPr>
        <w:widowControl w:val="0"/>
        <w:pBdr>
          <w:top w:val="nil"/>
          <w:left w:val="nil"/>
          <w:bottom w:val="nil"/>
          <w:right w:val="nil"/>
          <w:between w:val="nil"/>
        </w:pBdr>
        <w:jc w:val="both"/>
        <w:rPr>
          <w:rFonts w:ascii="Trebuchet MS" w:eastAsia="Trebuchet MS" w:hAnsi="Trebuchet MS" w:cs="Trebuchet MS"/>
        </w:rPr>
      </w:pPr>
    </w:p>
    <w:p w:rsidR="00233E4C" w:rsidRDefault="00233E4C" w:rsidP="00BE062E">
      <w:pPr>
        <w:widowControl w:val="0"/>
        <w:pBdr>
          <w:top w:val="nil"/>
          <w:left w:val="nil"/>
          <w:bottom w:val="nil"/>
          <w:right w:val="nil"/>
          <w:between w:val="nil"/>
        </w:pBdr>
        <w:jc w:val="both"/>
        <w:rPr>
          <w:rFonts w:ascii="Trebuchet MS" w:eastAsia="Trebuchet MS" w:hAnsi="Trebuchet MS" w:cs="Trebuchet MS"/>
        </w:rPr>
      </w:pPr>
      <w:r>
        <w:rPr>
          <w:rFonts w:ascii="Trebuchet MS" w:eastAsia="Trebuchet MS" w:hAnsi="Trebuchet MS" w:cs="Trebuchet MS"/>
        </w:rPr>
        <w:t xml:space="preserve">In the first step, basic information about the submitter will need to be provided, such as name, email address, </w:t>
      </w:r>
      <w:proofErr w:type="gramStart"/>
      <w:r>
        <w:rPr>
          <w:rFonts w:ascii="Trebuchet MS" w:eastAsia="Trebuchet MS" w:hAnsi="Trebuchet MS" w:cs="Trebuchet MS"/>
        </w:rPr>
        <w:t>institution,…</w:t>
      </w:r>
      <w:proofErr w:type="gramEnd"/>
    </w:p>
    <w:p w:rsidR="00233E4C" w:rsidRPr="008F6006" w:rsidRDefault="00233E4C" w:rsidP="00BE062E">
      <w:pPr>
        <w:widowControl w:val="0"/>
        <w:pBdr>
          <w:top w:val="nil"/>
          <w:left w:val="nil"/>
          <w:bottom w:val="nil"/>
          <w:right w:val="nil"/>
          <w:between w:val="nil"/>
        </w:pBdr>
        <w:jc w:val="both"/>
        <w:rPr>
          <w:rFonts w:ascii="Trebuchet MS" w:eastAsia="Trebuchet MS" w:hAnsi="Trebuchet MS" w:cs="Trebuchet MS"/>
          <w:b/>
          <w:bCs/>
        </w:rPr>
      </w:pPr>
    </w:p>
    <w:p w:rsidR="00233E4C" w:rsidRPr="008F6006" w:rsidRDefault="00233E4C" w:rsidP="00BE062E">
      <w:pPr>
        <w:widowControl w:val="0"/>
        <w:pBdr>
          <w:top w:val="nil"/>
          <w:left w:val="nil"/>
          <w:bottom w:val="nil"/>
          <w:right w:val="nil"/>
          <w:between w:val="nil"/>
        </w:pBdr>
        <w:jc w:val="both"/>
        <w:rPr>
          <w:rFonts w:ascii="Trebuchet MS" w:eastAsia="Trebuchet MS" w:hAnsi="Trebuchet MS" w:cs="Trebuchet MS"/>
          <w:b/>
          <w:bCs/>
        </w:rPr>
      </w:pPr>
      <w:r w:rsidRPr="008F6006">
        <w:rPr>
          <w:rFonts w:ascii="Trebuchet MS" w:eastAsia="Trebuchet MS" w:hAnsi="Trebuchet MS" w:cs="Trebuchet MS"/>
          <w:b/>
          <w:bCs/>
        </w:rPr>
        <w:t xml:space="preserve">2.2 Registering a </w:t>
      </w:r>
      <w:proofErr w:type="spellStart"/>
      <w:r w:rsidRPr="008F6006">
        <w:rPr>
          <w:rFonts w:ascii="Trebuchet MS" w:eastAsia="Trebuchet MS" w:hAnsi="Trebuchet MS" w:cs="Trebuchet MS"/>
          <w:b/>
          <w:bCs/>
        </w:rPr>
        <w:t>BioProject</w:t>
      </w:r>
      <w:proofErr w:type="spellEnd"/>
    </w:p>
    <w:p w:rsidR="0081233E" w:rsidRDefault="0081233E" w:rsidP="00BE062E">
      <w:pPr>
        <w:widowControl w:val="0"/>
        <w:pBdr>
          <w:top w:val="nil"/>
          <w:left w:val="nil"/>
          <w:bottom w:val="nil"/>
          <w:right w:val="nil"/>
          <w:between w:val="nil"/>
        </w:pBdr>
        <w:jc w:val="both"/>
        <w:rPr>
          <w:rFonts w:ascii="Trebuchet MS" w:eastAsia="Trebuchet MS" w:hAnsi="Trebuchet MS" w:cs="Trebuchet MS"/>
        </w:rPr>
      </w:pPr>
    </w:p>
    <w:p w:rsidR="008F6006" w:rsidRDefault="00233E4C" w:rsidP="00BE062E">
      <w:pPr>
        <w:widowControl w:val="0"/>
        <w:pBdr>
          <w:top w:val="nil"/>
          <w:left w:val="nil"/>
          <w:bottom w:val="nil"/>
          <w:right w:val="nil"/>
          <w:between w:val="nil"/>
        </w:pBdr>
        <w:jc w:val="both"/>
        <w:rPr>
          <w:rFonts w:ascii="Trebuchet MS" w:eastAsia="Trebuchet MS" w:hAnsi="Trebuchet MS" w:cs="Trebuchet MS"/>
        </w:rPr>
      </w:pPr>
      <w:r>
        <w:rPr>
          <w:rFonts w:ascii="Trebuchet MS" w:eastAsia="Trebuchet MS" w:hAnsi="Trebuchet MS" w:cs="Trebuchet MS"/>
        </w:rPr>
        <w:t>Next,</w:t>
      </w:r>
      <w:r w:rsidR="0081233E">
        <w:rPr>
          <w:rFonts w:ascii="Trebuchet MS" w:eastAsia="Trebuchet MS" w:hAnsi="Trebuchet MS" w:cs="Trebuchet MS"/>
        </w:rPr>
        <w:t xml:space="preserve"> you need to specify whether you already registered a </w:t>
      </w:r>
      <w:proofErr w:type="spellStart"/>
      <w:r w:rsidR="0081233E">
        <w:rPr>
          <w:rFonts w:ascii="Trebuchet MS" w:eastAsia="Trebuchet MS" w:hAnsi="Trebuchet MS" w:cs="Trebuchet MS"/>
        </w:rPr>
        <w:t>BioProject</w:t>
      </w:r>
      <w:proofErr w:type="spellEnd"/>
      <w:r w:rsidR="0081233E">
        <w:rPr>
          <w:rFonts w:ascii="Trebuchet MS" w:eastAsia="Trebuchet MS" w:hAnsi="Trebuchet MS" w:cs="Trebuchet MS"/>
        </w:rPr>
        <w:t xml:space="preserve"> or </w:t>
      </w:r>
      <w:proofErr w:type="spellStart"/>
      <w:r w:rsidR="0081233E">
        <w:rPr>
          <w:rFonts w:ascii="Trebuchet MS" w:eastAsia="Trebuchet MS" w:hAnsi="Trebuchet MS" w:cs="Trebuchet MS"/>
        </w:rPr>
        <w:t>BioSample</w:t>
      </w:r>
      <w:proofErr w:type="spellEnd"/>
      <w:r w:rsidR="0081233E">
        <w:rPr>
          <w:rFonts w:ascii="Trebuchet MS" w:eastAsia="Trebuchet MS" w:hAnsi="Trebuchet MS" w:cs="Trebuchet MS"/>
        </w:rPr>
        <w:t xml:space="preserve">. </w:t>
      </w:r>
      <w:r>
        <w:rPr>
          <w:rFonts w:ascii="Trebuchet MS" w:eastAsia="Trebuchet MS" w:hAnsi="Trebuchet MS" w:cs="Trebuchet MS"/>
        </w:rPr>
        <w:t xml:space="preserve">On INSDC, any data submission must be linked to a </w:t>
      </w:r>
      <w:proofErr w:type="spellStart"/>
      <w:r>
        <w:rPr>
          <w:rFonts w:ascii="Trebuchet MS" w:eastAsia="Trebuchet MS" w:hAnsi="Trebuchet MS" w:cs="Trebuchet MS"/>
        </w:rPr>
        <w:t>BioProject</w:t>
      </w:r>
      <w:proofErr w:type="spellEnd"/>
      <w:r w:rsidR="008F6006">
        <w:rPr>
          <w:rFonts w:ascii="Trebuchet MS" w:eastAsia="Trebuchet MS" w:hAnsi="Trebuchet MS" w:cs="Trebuchet MS"/>
        </w:rPr>
        <w:t xml:space="preserve">, which serves as a name-tag or ID that links all molecular data related to a specific research project or study. When there is no </w:t>
      </w:r>
      <w:proofErr w:type="spellStart"/>
      <w:r w:rsidR="008F6006">
        <w:rPr>
          <w:rFonts w:ascii="Trebuchet MS" w:eastAsia="Trebuchet MS" w:hAnsi="Trebuchet MS" w:cs="Trebuchet MS"/>
        </w:rPr>
        <w:t>BioProject</w:t>
      </w:r>
      <w:proofErr w:type="spellEnd"/>
      <w:r w:rsidR="008F6006">
        <w:rPr>
          <w:rFonts w:ascii="Trebuchet MS" w:eastAsia="Trebuchet MS" w:hAnsi="Trebuchet MS" w:cs="Trebuchet MS"/>
        </w:rPr>
        <w:t xml:space="preserve"> yet, a new one will be created </w:t>
      </w:r>
      <w:r w:rsidR="0081233E">
        <w:rPr>
          <w:rFonts w:ascii="Trebuchet MS" w:eastAsia="Trebuchet MS" w:hAnsi="Trebuchet MS" w:cs="Trebuchet MS"/>
        </w:rPr>
        <w:t>in the next step</w:t>
      </w:r>
      <w:r w:rsidR="008F6006">
        <w:rPr>
          <w:rFonts w:ascii="Trebuchet MS" w:eastAsia="Trebuchet MS" w:hAnsi="Trebuchet MS" w:cs="Trebuchet MS"/>
        </w:rPr>
        <w:t xml:space="preserve">. </w:t>
      </w:r>
    </w:p>
    <w:p w:rsidR="008F6006" w:rsidRDefault="008F6006" w:rsidP="00BE062E">
      <w:pPr>
        <w:widowControl w:val="0"/>
        <w:pBdr>
          <w:top w:val="nil"/>
          <w:left w:val="nil"/>
          <w:bottom w:val="nil"/>
          <w:right w:val="nil"/>
          <w:between w:val="nil"/>
        </w:pBdr>
        <w:jc w:val="both"/>
        <w:rPr>
          <w:rFonts w:ascii="Trebuchet MS" w:eastAsia="Trebuchet MS" w:hAnsi="Trebuchet MS" w:cs="Trebuchet MS"/>
        </w:rPr>
      </w:pPr>
    </w:p>
    <w:p w:rsidR="00393D24" w:rsidRDefault="008F6006" w:rsidP="00BE062E">
      <w:pPr>
        <w:widowControl w:val="0"/>
        <w:pBdr>
          <w:top w:val="nil"/>
          <w:left w:val="nil"/>
          <w:bottom w:val="nil"/>
          <w:right w:val="nil"/>
          <w:between w:val="nil"/>
        </w:pBdr>
        <w:jc w:val="both"/>
        <w:rPr>
          <w:rFonts w:ascii="Trebuchet MS" w:eastAsia="Trebuchet MS" w:hAnsi="Trebuchet MS" w:cs="Trebuchet MS"/>
        </w:rPr>
      </w:pPr>
      <w:r>
        <w:rPr>
          <w:rFonts w:ascii="Trebuchet MS" w:eastAsia="Trebuchet MS" w:hAnsi="Trebuchet MS" w:cs="Trebuchet MS"/>
        </w:rPr>
        <w:t xml:space="preserve">Before that, however, </w:t>
      </w:r>
      <w:r w:rsidR="00293062">
        <w:rPr>
          <w:rFonts w:ascii="Trebuchet MS" w:eastAsia="Trebuchet MS" w:hAnsi="Trebuchet MS" w:cs="Trebuchet MS"/>
        </w:rPr>
        <w:t>the wizard</w:t>
      </w:r>
      <w:r>
        <w:rPr>
          <w:rFonts w:ascii="Trebuchet MS" w:eastAsia="Trebuchet MS" w:hAnsi="Trebuchet MS" w:cs="Trebuchet MS"/>
        </w:rPr>
        <w:t xml:space="preserve"> will ask you </w:t>
      </w:r>
      <w:r w:rsidR="00393D24">
        <w:rPr>
          <w:rFonts w:ascii="Trebuchet MS" w:eastAsia="Trebuchet MS" w:hAnsi="Trebuchet MS" w:cs="Trebuchet MS"/>
        </w:rPr>
        <w:t>to specif</w:t>
      </w:r>
      <w:r>
        <w:rPr>
          <w:rFonts w:ascii="Trebuchet MS" w:eastAsia="Trebuchet MS" w:hAnsi="Trebuchet MS" w:cs="Trebuchet MS"/>
        </w:rPr>
        <w:t>y</w:t>
      </w:r>
      <w:r w:rsidR="00393D24">
        <w:rPr>
          <w:rFonts w:ascii="Trebuchet MS" w:eastAsia="Trebuchet MS" w:hAnsi="Trebuchet MS" w:cs="Trebuchet MS"/>
        </w:rPr>
        <w:t xml:space="preserve"> when the data </w:t>
      </w:r>
      <w:r w:rsidR="00293062">
        <w:rPr>
          <w:rFonts w:ascii="Trebuchet MS" w:eastAsia="Trebuchet MS" w:hAnsi="Trebuchet MS" w:cs="Trebuchet MS"/>
        </w:rPr>
        <w:t>can</w:t>
      </w:r>
      <w:r w:rsidR="00393D24">
        <w:rPr>
          <w:rFonts w:ascii="Trebuchet MS" w:eastAsia="Trebuchet MS" w:hAnsi="Trebuchet MS" w:cs="Trebuchet MS"/>
        </w:rPr>
        <w:t xml:space="preserve"> become publicly visible, that is, immediately after submission, or after a specified embargo period.</w:t>
      </w:r>
    </w:p>
    <w:p w:rsidR="00563E26" w:rsidRDefault="00563E26" w:rsidP="00BE062E">
      <w:pPr>
        <w:widowControl w:val="0"/>
        <w:pBdr>
          <w:top w:val="nil"/>
          <w:left w:val="nil"/>
          <w:bottom w:val="nil"/>
          <w:right w:val="nil"/>
          <w:between w:val="nil"/>
        </w:pBdr>
        <w:jc w:val="both"/>
        <w:rPr>
          <w:rFonts w:ascii="Trebuchet MS" w:eastAsia="Trebuchet MS" w:hAnsi="Trebuchet MS" w:cs="Trebuchet MS"/>
        </w:rPr>
      </w:pPr>
    </w:p>
    <w:p w:rsidR="007C2684" w:rsidRDefault="008F6006" w:rsidP="00BE062E">
      <w:pPr>
        <w:widowControl w:val="0"/>
        <w:pBdr>
          <w:top w:val="nil"/>
          <w:left w:val="nil"/>
          <w:bottom w:val="nil"/>
          <w:right w:val="nil"/>
          <w:between w:val="nil"/>
        </w:pBdr>
        <w:jc w:val="both"/>
        <w:rPr>
          <w:rFonts w:ascii="Trebuchet MS" w:eastAsia="Trebuchet MS" w:hAnsi="Trebuchet MS" w:cs="Trebuchet MS"/>
        </w:rPr>
      </w:pPr>
      <w:r>
        <w:rPr>
          <w:rFonts w:ascii="Trebuchet MS" w:eastAsia="Trebuchet MS" w:hAnsi="Trebuchet MS" w:cs="Trebuchet MS"/>
        </w:rPr>
        <w:t xml:space="preserve">To create a </w:t>
      </w:r>
      <w:proofErr w:type="spellStart"/>
      <w:r>
        <w:rPr>
          <w:rFonts w:ascii="Trebuchet MS" w:eastAsia="Trebuchet MS" w:hAnsi="Trebuchet MS" w:cs="Trebuchet MS"/>
        </w:rPr>
        <w:t>BioProject</w:t>
      </w:r>
      <w:proofErr w:type="spellEnd"/>
      <w:r w:rsidR="00563E26">
        <w:rPr>
          <w:rFonts w:ascii="Trebuchet MS" w:eastAsia="Trebuchet MS" w:hAnsi="Trebuchet MS" w:cs="Trebuchet MS"/>
        </w:rPr>
        <w:t xml:space="preserve"> (in the step called “Project</w:t>
      </w:r>
      <w:r w:rsidR="00354496">
        <w:rPr>
          <w:rFonts w:ascii="Trebuchet MS" w:eastAsia="Trebuchet MS" w:hAnsi="Trebuchet MS" w:cs="Trebuchet MS"/>
        </w:rPr>
        <w:t xml:space="preserve"> info</w:t>
      </w:r>
      <w:r w:rsidR="00563E26">
        <w:rPr>
          <w:rFonts w:ascii="Trebuchet MS" w:eastAsia="Trebuchet MS" w:hAnsi="Trebuchet MS" w:cs="Trebuchet MS"/>
        </w:rPr>
        <w:t>”), a project title and description must be given, as well as some other relevant information</w:t>
      </w:r>
      <w:r w:rsidR="007C2684">
        <w:rPr>
          <w:rFonts w:ascii="Trebuchet MS" w:eastAsia="Trebuchet MS" w:hAnsi="Trebuchet MS" w:cs="Trebuchet MS"/>
        </w:rPr>
        <w:t>.</w:t>
      </w:r>
    </w:p>
    <w:p w:rsidR="00354496" w:rsidRDefault="00354496" w:rsidP="00BE062E">
      <w:pPr>
        <w:widowControl w:val="0"/>
        <w:pBdr>
          <w:top w:val="nil"/>
          <w:left w:val="nil"/>
          <w:bottom w:val="nil"/>
          <w:right w:val="nil"/>
          <w:between w:val="nil"/>
        </w:pBdr>
        <w:jc w:val="both"/>
        <w:rPr>
          <w:rFonts w:ascii="Trebuchet MS" w:eastAsia="Trebuchet MS" w:hAnsi="Trebuchet MS" w:cs="Trebuchet MS"/>
        </w:rPr>
      </w:pPr>
    </w:p>
    <w:p w:rsidR="00354496" w:rsidRDefault="00354496" w:rsidP="00BE062E">
      <w:pPr>
        <w:widowControl w:val="0"/>
        <w:pBdr>
          <w:top w:val="nil"/>
          <w:left w:val="nil"/>
          <w:bottom w:val="nil"/>
          <w:right w:val="nil"/>
          <w:between w:val="nil"/>
        </w:pBdr>
        <w:jc w:val="both"/>
        <w:rPr>
          <w:rFonts w:ascii="Trebuchet MS" w:eastAsia="Trebuchet MS" w:hAnsi="Trebuchet MS" w:cs="Trebuchet MS"/>
        </w:rPr>
      </w:pPr>
    </w:p>
    <w:p w:rsidR="00354496" w:rsidRDefault="00354496" w:rsidP="00BE062E">
      <w:pPr>
        <w:widowControl w:val="0"/>
        <w:pBdr>
          <w:top w:val="nil"/>
          <w:left w:val="nil"/>
          <w:bottom w:val="nil"/>
          <w:right w:val="nil"/>
          <w:between w:val="nil"/>
        </w:pBdr>
        <w:jc w:val="both"/>
        <w:rPr>
          <w:rFonts w:ascii="Trebuchet MS" w:eastAsia="Trebuchet MS" w:hAnsi="Trebuchet MS" w:cs="Trebuchet MS"/>
        </w:rPr>
      </w:pPr>
      <w:r>
        <w:rPr>
          <w:rFonts w:ascii="Trebuchet MS" w:eastAsia="Trebuchet MS" w:hAnsi="Trebuchet MS" w:cs="Trebuchet MS"/>
          <w:noProof/>
        </w:rPr>
        <w:drawing>
          <wp:inline distT="0" distB="0" distL="0" distR="0">
            <wp:extent cx="5943600" cy="32480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8-06 at 14.17.50.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248025"/>
                    </a:xfrm>
                    <a:prstGeom prst="rect">
                      <a:avLst/>
                    </a:prstGeom>
                  </pic:spPr>
                </pic:pic>
              </a:graphicData>
            </a:graphic>
          </wp:inline>
        </w:drawing>
      </w:r>
    </w:p>
    <w:p w:rsidR="00354496" w:rsidRDefault="00354496" w:rsidP="00BE062E">
      <w:pPr>
        <w:widowControl w:val="0"/>
        <w:pBdr>
          <w:top w:val="nil"/>
          <w:left w:val="nil"/>
          <w:bottom w:val="nil"/>
          <w:right w:val="nil"/>
          <w:between w:val="nil"/>
        </w:pBdr>
        <w:jc w:val="both"/>
        <w:rPr>
          <w:rFonts w:ascii="Trebuchet MS" w:eastAsia="Trebuchet MS" w:hAnsi="Trebuchet MS" w:cs="Trebuchet MS"/>
        </w:rPr>
      </w:pPr>
    </w:p>
    <w:p w:rsidR="00293062" w:rsidRDefault="007C2684" w:rsidP="00BE062E">
      <w:pPr>
        <w:widowControl w:val="0"/>
        <w:pBdr>
          <w:top w:val="nil"/>
          <w:left w:val="nil"/>
          <w:bottom w:val="nil"/>
          <w:right w:val="nil"/>
          <w:between w:val="nil"/>
        </w:pBdr>
        <w:jc w:val="both"/>
        <w:rPr>
          <w:rFonts w:ascii="Trebuchet MS" w:eastAsia="Trebuchet MS" w:hAnsi="Trebuchet MS" w:cs="Trebuchet MS"/>
        </w:rPr>
      </w:pPr>
      <w:r>
        <w:rPr>
          <w:rFonts w:ascii="Trebuchet MS" w:eastAsia="Trebuchet MS" w:hAnsi="Trebuchet MS" w:cs="Trebuchet MS"/>
        </w:rPr>
        <w:t>In the “</w:t>
      </w:r>
      <w:proofErr w:type="spellStart"/>
      <w:r>
        <w:rPr>
          <w:rFonts w:ascii="Trebuchet MS" w:eastAsia="Trebuchet MS" w:hAnsi="Trebuchet MS" w:cs="Trebuchet MS"/>
        </w:rPr>
        <w:t>Biosample</w:t>
      </w:r>
      <w:proofErr w:type="spellEnd"/>
      <w:r>
        <w:rPr>
          <w:rFonts w:ascii="Trebuchet MS" w:eastAsia="Trebuchet MS" w:hAnsi="Trebuchet MS" w:cs="Trebuchet MS"/>
        </w:rPr>
        <w:t xml:space="preserve"> type” step (which comes after the “Project</w:t>
      </w:r>
      <w:r w:rsidR="00354496">
        <w:rPr>
          <w:rFonts w:ascii="Trebuchet MS" w:eastAsia="Trebuchet MS" w:hAnsi="Trebuchet MS" w:cs="Trebuchet MS"/>
        </w:rPr>
        <w:t xml:space="preserve"> info</w:t>
      </w:r>
      <w:r>
        <w:rPr>
          <w:rFonts w:ascii="Trebuchet MS" w:eastAsia="Trebuchet MS" w:hAnsi="Trebuchet MS" w:cs="Trebuchet MS"/>
        </w:rPr>
        <w:t xml:space="preserve">” step), </w:t>
      </w:r>
      <w:r w:rsidR="004F250C">
        <w:rPr>
          <w:rFonts w:ascii="Trebuchet MS" w:eastAsia="Trebuchet MS" w:hAnsi="Trebuchet MS" w:cs="Trebuchet MS"/>
        </w:rPr>
        <w:t>using a choice menu, information on the origin of the sample will need to be given, such as what (general) environment it came from, and what molecular methods were used to obtain the data.</w:t>
      </w:r>
      <w:r w:rsidR="00293062">
        <w:rPr>
          <w:rFonts w:ascii="Trebuchet MS" w:eastAsia="Trebuchet MS" w:hAnsi="Trebuchet MS" w:cs="Trebuchet MS"/>
        </w:rPr>
        <w:t xml:space="preserve"> </w:t>
      </w:r>
      <w:r w:rsidR="004F250C">
        <w:rPr>
          <w:rFonts w:ascii="Trebuchet MS" w:eastAsia="Trebuchet MS" w:hAnsi="Trebuchet MS" w:cs="Trebuchet MS"/>
        </w:rPr>
        <w:t>Admittedly, t</w:t>
      </w:r>
      <w:r>
        <w:rPr>
          <w:rFonts w:ascii="Trebuchet MS" w:eastAsia="Trebuchet MS" w:hAnsi="Trebuchet MS" w:cs="Trebuchet MS"/>
        </w:rPr>
        <w:t xml:space="preserve">his </w:t>
      </w:r>
      <w:r w:rsidR="004F250C">
        <w:rPr>
          <w:rFonts w:ascii="Trebuchet MS" w:eastAsia="Trebuchet MS" w:hAnsi="Trebuchet MS" w:cs="Trebuchet MS"/>
        </w:rPr>
        <w:t xml:space="preserve">part </w:t>
      </w:r>
      <w:r>
        <w:rPr>
          <w:rFonts w:ascii="Trebuchet MS" w:eastAsia="Trebuchet MS" w:hAnsi="Trebuchet MS" w:cs="Trebuchet MS"/>
        </w:rPr>
        <w:t>can be a bit confusing</w:t>
      </w:r>
      <w:r>
        <w:rPr>
          <w:rFonts w:ascii="Trebuchet MS" w:eastAsia="Trebuchet MS" w:hAnsi="Trebuchet MS" w:cs="Trebuchet MS"/>
        </w:rPr>
        <w:t xml:space="preserve">, as at first sight there seem to be many options for one type of sample. However, for any shotgun metagenome or marker sequence (amplicon or </w:t>
      </w:r>
      <w:proofErr w:type="spellStart"/>
      <w:r>
        <w:rPr>
          <w:rFonts w:ascii="Trebuchet MS" w:eastAsia="Trebuchet MS" w:hAnsi="Trebuchet MS" w:cs="Trebuchet MS"/>
        </w:rPr>
        <w:t>metabarcode</w:t>
      </w:r>
      <w:proofErr w:type="spellEnd"/>
      <w:r>
        <w:rPr>
          <w:rFonts w:ascii="Trebuchet MS" w:eastAsia="Trebuchet MS" w:hAnsi="Trebuchet MS" w:cs="Trebuchet MS"/>
        </w:rPr>
        <w:t xml:space="preserve">) studies, a best practice is to select the </w:t>
      </w:r>
      <w:proofErr w:type="spellStart"/>
      <w:r>
        <w:rPr>
          <w:rFonts w:ascii="Trebuchet MS" w:eastAsia="Trebuchet MS" w:hAnsi="Trebuchet MS" w:cs="Trebuchet MS"/>
        </w:rPr>
        <w:t>MIxS</w:t>
      </w:r>
      <w:proofErr w:type="spellEnd"/>
      <w:r>
        <w:rPr>
          <w:rFonts w:ascii="Trebuchet MS" w:eastAsia="Trebuchet MS" w:hAnsi="Trebuchet MS" w:cs="Trebuchet MS"/>
        </w:rPr>
        <w:t xml:space="preserve"> compliant option, as this allows </w:t>
      </w:r>
      <w:r w:rsidR="00AD0F6E">
        <w:rPr>
          <w:rFonts w:ascii="Trebuchet MS" w:eastAsia="Trebuchet MS" w:hAnsi="Trebuchet MS" w:cs="Trebuchet MS"/>
        </w:rPr>
        <w:t xml:space="preserve">any data additional to the sequence data to be </w:t>
      </w:r>
      <w:r w:rsidR="00752D26">
        <w:rPr>
          <w:rFonts w:ascii="Trebuchet MS" w:eastAsia="Trebuchet MS" w:hAnsi="Trebuchet MS" w:cs="Trebuchet MS"/>
        </w:rPr>
        <w:t>standardized with other datasets</w:t>
      </w:r>
      <w:r w:rsidR="00AA5D11">
        <w:rPr>
          <w:rFonts w:ascii="Trebuchet MS" w:eastAsia="Trebuchet MS" w:hAnsi="Trebuchet MS" w:cs="Trebuchet MS"/>
        </w:rPr>
        <w:t>, as well as indexed for web-searches</w:t>
      </w:r>
      <w:r w:rsidR="00752D26">
        <w:rPr>
          <w:rFonts w:ascii="Trebuchet MS" w:eastAsia="Trebuchet MS" w:hAnsi="Trebuchet MS" w:cs="Trebuchet MS"/>
        </w:rPr>
        <w:t>.</w:t>
      </w:r>
      <w:r w:rsidR="0034217E">
        <w:rPr>
          <w:rFonts w:ascii="Trebuchet MS" w:eastAsia="Trebuchet MS" w:hAnsi="Trebuchet MS" w:cs="Trebuchet MS"/>
        </w:rPr>
        <w:t xml:space="preserve"> </w:t>
      </w:r>
    </w:p>
    <w:p w:rsidR="00293062" w:rsidRDefault="00293062" w:rsidP="00BE062E">
      <w:pPr>
        <w:widowControl w:val="0"/>
        <w:pBdr>
          <w:top w:val="nil"/>
          <w:left w:val="nil"/>
          <w:bottom w:val="nil"/>
          <w:right w:val="nil"/>
          <w:between w:val="nil"/>
        </w:pBdr>
        <w:jc w:val="both"/>
        <w:rPr>
          <w:rFonts w:ascii="Trebuchet MS" w:eastAsia="Trebuchet MS" w:hAnsi="Trebuchet MS" w:cs="Trebuchet MS"/>
        </w:rPr>
      </w:pPr>
    </w:p>
    <w:p w:rsidR="00BD243E" w:rsidRDefault="00AA5D11" w:rsidP="00BE062E">
      <w:pPr>
        <w:widowControl w:val="0"/>
        <w:pBdr>
          <w:top w:val="nil"/>
          <w:left w:val="nil"/>
          <w:bottom w:val="nil"/>
          <w:right w:val="nil"/>
          <w:between w:val="nil"/>
        </w:pBdr>
        <w:jc w:val="both"/>
        <w:rPr>
          <w:rFonts w:ascii="Trebuchet MS" w:eastAsia="Trebuchet MS" w:hAnsi="Trebuchet MS" w:cs="Trebuchet MS"/>
        </w:rPr>
      </w:pPr>
      <w:r>
        <w:rPr>
          <w:rFonts w:ascii="Trebuchet MS" w:eastAsia="Trebuchet MS" w:hAnsi="Trebuchet MS" w:cs="Trebuchet MS"/>
        </w:rPr>
        <w:t xml:space="preserve">Selecting this option will open another sub-menu, where </w:t>
      </w:r>
      <w:r w:rsidR="004F250C">
        <w:rPr>
          <w:rFonts w:ascii="Trebuchet MS" w:eastAsia="Trebuchet MS" w:hAnsi="Trebuchet MS" w:cs="Trebuchet MS"/>
        </w:rPr>
        <w:t xml:space="preserve">the most suited version of </w:t>
      </w:r>
      <w:proofErr w:type="spellStart"/>
      <w:r w:rsidR="004F250C">
        <w:rPr>
          <w:rFonts w:ascii="Trebuchet MS" w:eastAsia="Trebuchet MS" w:hAnsi="Trebuchet MS" w:cs="Trebuchet MS"/>
        </w:rPr>
        <w:t>MIxS</w:t>
      </w:r>
      <w:proofErr w:type="spellEnd"/>
      <w:r w:rsidR="004F250C">
        <w:rPr>
          <w:rFonts w:ascii="Trebuchet MS" w:eastAsia="Trebuchet MS" w:hAnsi="Trebuchet MS" w:cs="Trebuchet MS"/>
        </w:rPr>
        <w:t xml:space="preserve"> can be choses, for instance the </w:t>
      </w:r>
      <w:proofErr w:type="spellStart"/>
      <w:r w:rsidR="004F250C">
        <w:rPr>
          <w:rFonts w:ascii="Trebuchet MS" w:eastAsia="Trebuchet MS" w:hAnsi="Trebuchet MS" w:cs="Trebuchet MS"/>
        </w:rPr>
        <w:t>MiMARKS</w:t>
      </w:r>
      <w:proofErr w:type="spellEnd"/>
      <w:r w:rsidR="004F250C">
        <w:rPr>
          <w:rFonts w:ascii="Trebuchet MS" w:eastAsia="Trebuchet MS" w:hAnsi="Trebuchet MS" w:cs="Trebuchet MS"/>
        </w:rPr>
        <w:t xml:space="preserve">-based options for </w:t>
      </w:r>
      <w:r w:rsidR="004F250C">
        <w:rPr>
          <w:rFonts w:ascii="Trebuchet MS" w:eastAsia="Trebuchet MS" w:hAnsi="Trebuchet MS" w:cs="Trebuchet MS"/>
        </w:rPr>
        <w:t>marker sequence</w:t>
      </w:r>
      <w:r w:rsidR="004F250C">
        <w:rPr>
          <w:rFonts w:ascii="Trebuchet MS" w:eastAsia="Trebuchet MS" w:hAnsi="Trebuchet MS" w:cs="Trebuchet MS"/>
        </w:rPr>
        <w:t xml:space="preserve"> </w:t>
      </w:r>
      <w:r w:rsidR="004F250C">
        <w:rPr>
          <w:rFonts w:ascii="Trebuchet MS" w:eastAsia="Trebuchet MS" w:hAnsi="Trebuchet MS" w:cs="Trebuchet MS"/>
        </w:rPr>
        <w:t>studies</w:t>
      </w:r>
      <w:r w:rsidR="004F250C">
        <w:rPr>
          <w:rFonts w:ascii="Trebuchet MS" w:eastAsia="Trebuchet MS" w:hAnsi="Trebuchet MS" w:cs="Trebuchet MS"/>
        </w:rPr>
        <w:t>, or MIMAG for shotgun metagenomes. INSDC also requires the best suiting</w:t>
      </w:r>
      <w:r w:rsidR="00293062">
        <w:rPr>
          <w:rFonts w:ascii="Trebuchet MS" w:eastAsia="Trebuchet MS" w:hAnsi="Trebuchet MS" w:cs="Trebuchet MS"/>
        </w:rPr>
        <w:t xml:space="preserve"> </w:t>
      </w:r>
      <w:r w:rsidR="0034217E">
        <w:rPr>
          <w:rFonts w:ascii="Trebuchet MS" w:eastAsia="Trebuchet MS" w:hAnsi="Trebuchet MS" w:cs="Trebuchet MS"/>
        </w:rPr>
        <w:t>environmental package</w:t>
      </w:r>
      <w:r w:rsidR="004F250C">
        <w:rPr>
          <w:rFonts w:ascii="Trebuchet MS" w:eastAsia="Trebuchet MS" w:hAnsi="Trebuchet MS" w:cs="Trebuchet MS"/>
        </w:rPr>
        <w:t xml:space="preserve"> to be selected.</w:t>
      </w:r>
    </w:p>
    <w:p w:rsidR="00AD0F6E" w:rsidRDefault="00AD0F6E" w:rsidP="00BE062E">
      <w:pPr>
        <w:widowControl w:val="0"/>
        <w:pBdr>
          <w:top w:val="nil"/>
          <w:left w:val="nil"/>
          <w:bottom w:val="nil"/>
          <w:right w:val="nil"/>
          <w:between w:val="nil"/>
        </w:pBdr>
        <w:jc w:val="both"/>
        <w:rPr>
          <w:rFonts w:ascii="Trebuchet MS" w:eastAsia="Trebuchet MS" w:hAnsi="Trebuchet MS" w:cs="Trebuchet MS"/>
        </w:rPr>
      </w:pPr>
    </w:p>
    <w:p w:rsidR="001957DD" w:rsidRDefault="00BD243E" w:rsidP="00BE062E">
      <w:pPr>
        <w:widowControl w:val="0"/>
        <w:pBdr>
          <w:top w:val="nil"/>
          <w:left w:val="nil"/>
          <w:bottom w:val="nil"/>
          <w:right w:val="nil"/>
          <w:between w:val="nil"/>
        </w:pBdr>
        <w:jc w:val="both"/>
        <w:rPr>
          <w:rFonts w:ascii="Trebuchet MS" w:eastAsia="Trebuchet MS" w:hAnsi="Trebuchet MS" w:cs="Trebuchet MS"/>
        </w:rPr>
      </w:pPr>
      <w:r>
        <w:rPr>
          <w:rFonts w:ascii="Trebuchet MS" w:eastAsia="Trebuchet MS" w:hAnsi="Trebuchet MS" w:cs="Trebuchet MS"/>
        </w:rPr>
        <w:t xml:space="preserve">Note that </w:t>
      </w:r>
      <w:r w:rsidR="00293062">
        <w:rPr>
          <w:rFonts w:ascii="Trebuchet MS" w:eastAsia="Trebuchet MS" w:hAnsi="Trebuchet MS" w:cs="Trebuchet MS"/>
        </w:rPr>
        <w:t>NCBI</w:t>
      </w:r>
      <w:r>
        <w:rPr>
          <w:rFonts w:ascii="Trebuchet MS" w:eastAsia="Trebuchet MS" w:hAnsi="Trebuchet MS" w:cs="Trebuchet MS"/>
        </w:rPr>
        <w:t xml:space="preserve"> checks the content </w:t>
      </w:r>
      <w:r w:rsidR="001957DD">
        <w:rPr>
          <w:rFonts w:ascii="Trebuchet MS" w:eastAsia="Trebuchet MS" w:hAnsi="Trebuchet MS" w:cs="Trebuchet MS"/>
        </w:rPr>
        <w:t xml:space="preserve">of the </w:t>
      </w:r>
      <w:proofErr w:type="spellStart"/>
      <w:r w:rsidR="001957DD">
        <w:rPr>
          <w:rFonts w:ascii="Trebuchet MS" w:eastAsia="Trebuchet MS" w:hAnsi="Trebuchet MS" w:cs="Trebuchet MS"/>
        </w:rPr>
        <w:t>MIxS</w:t>
      </w:r>
      <w:proofErr w:type="spellEnd"/>
      <w:r w:rsidR="001957DD">
        <w:rPr>
          <w:rFonts w:ascii="Trebuchet MS" w:eastAsia="Trebuchet MS" w:hAnsi="Trebuchet MS" w:cs="Trebuchet MS"/>
        </w:rPr>
        <w:t xml:space="preserve"> file to be compliant to </w:t>
      </w:r>
      <w:proofErr w:type="spellStart"/>
      <w:proofErr w:type="gramStart"/>
      <w:r w:rsidR="001957DD">
        <w:rPr>
          <w:rFonts w:ascii="Trebuchet MS" w:eastAsia="Trebuchet MS" w:hAnsi="Trebuchet MS" w:cs="Trebuchet MS"/>
        </w:rPr>
        <w:t>it’s</w:t>
      </w:r>
      <w:proofErr w:type="spellEnd"/>
      <w:proofErr w:type="gramEnd"/>
      <w:r w:rsidR="001957DD">
        <w:rPr>
          <w:rFonts w:ascii="Trebuchet MS" w:eastAsia="Trebuchet MS" w:hAnsi="Trebuchet MS" w:cs="Trebuchet MS"/>
        </w:rPr>
        <w:t xml:space="preserve"> version of the format. This check is very rigorous, and even includes checking if the geographic location names agree with the provided coordinates. If </w:t>
      </w:r>
      <w:r w:rsidR="001957DD">
        <w:rPr>
          <w:rFonts w:ascii="Trebuchet MS" w:eastAsia="Trebuchet MS" w:hAnsi="Trebuchet MS" w:cs="Trebuchet MS"/>
        </w:rPr>
        <w:t xml:space="preserve">something </w:t>
      </w:r>
      <w:r w:rsidR="001957DD">
        <w:rPr>
          <w:rFonts w:ascii="Trebuchet MS" w:eastAsia="Trebuchet MS" w:hAnsi="Trebuchet MS" w:cs="Trebuchet MS"/>
        </w:rPr>
        <w:t xml:space="preserve">is found where the submission </w:t>
      </w:r>
      <w:r w:rsidR="00293062">
        <w:rPr>
          <w:rFonts w:ascii="Trebuchet MS" w:eastAsia="Trebuchet MS" w:hAnsi="Trebuchet MS" w:cs="Trebuchet MS"/>
        </w:rPr>
        <w:t>wizard</w:t>
      </w:r>
      <w:r w:rsidR="001957DD">
        <w:rPr>
          <w:rFonts w:ascii="Trebuchet MS" w:eastAsia="Trebuchet MS" w:hAnsi="Trebuchet MS" w:cs="Trebuchet MS"/>
        </w:rPr>
        <w:t xml:space="preserve"> disagrees with, an error will be </w:t>
      </w:r>
      <w:proofErr w:type="gramStart"/>
      <w:r w:rsidR="001957DD">
        <w:rPr>
          <w:rFonts w:ascii="Trebuchet MS" w:eastAsia="Trebuchet MS" w:hAnsi="Trebuchet MS" w:cs="Trebuchet MS"/>
        </w:rPr>
        <w:t>thrown</w:t>
      </w:r>
      <w:proofErr w:type="gramEnd"/>
      <w:r w:rsidR="001957DD">
        <w:rPr>
          <w:rFonts w:ascii="Trebuchet MS" w:eastAsia="Trebuchet MS" w:hAnsi="Trebuchet MS" w:cs="Trebuchet MS"/>
        </w:rPr>
        <w:t xml:space="preserve"> and you will not be allowed to continue until everything is resolved</w:t>
      </w:r>
      <w:r w:rsidR="00293062">
        <w:rPr>
          <w:rFonts w:ascii="Trebuchet MS" w:eastAsia="Trebuchet MS" w:hAnsi="Trebuchet MS" w:cs="Trebuchet MS"/>
        </w:rPr>
        <w:t xml:space="preserve"> (that means: correcting the excel file and re-uploading it)</w:t>
      </w:r>
      <w:r w:rsidR="001957DD">
        <w:rPr>
          <w:rFonts w:ascii="Trebuchet MS" w:eastAsia="Trebuchet MS" w:hAnsi="Trebuchet MS" w:cs="Trebuchet MS"/>
        </w:rPr>
        <w:t>.</w:t>
      </w:r>
      <w:r w:rsidR="009565CE">
        <w:rPr>
          <w:rFonts w:ascii="Trebuchet MS" w:eastAsia="Trebuchet MS" w:hAnsi="Trebuchet MS" w:cs="Trebuchet MS"/>
        </w:rPr>
        <w:t xml:space="preserve"> Brace yourself for quite some time of error-resolving, as some issues </w:t>
      </w:r>
      <w:r w:rsidR="00293062">
        <w:rPr>
          <w:rFonts w:ascii="Trebuchet MS" w:eastAsia="Trebuchet MS" w:hAnsi="Trebuchet MS" w:cs="Trebuchet MS"/>
        </w:rPr>
        <w:t>can revolve around a</w:t>
      </w:r>
      <w:r w:rsidR="009565CE">
        <w:rPr>
          <w:rFonts w:ascii="Trebuchet MS" w:eastAsia="Trebuchet MS" w:hAnsi="Trebuchet MS" w:cs="Trebuchet MS"/>
        </w:rPr>
        <w:t xml:space="preserve"> very specific format of some cells actually cannot be known in </w:t>
      </w:r>
      <w:r w:rsidR="009565CE">
        <w:rPr>
          <w:rFonts w:ascii="Trebuchet MS" w:eastAsia="Trebuchet MS" w:hAnsi="Trebuchet MS" w:cs="Trebuchet MS"/>
        </w:rPr>
        <w:lastRenderedPageBreak/>
        <w:t xml:space="preserve">advance.  </w:t>
      </w:r>
    </w:p>
    <w:p w:rsidR="009565CE" w:rsidRDefault="009565CE" w:rsidP="00BE062E">
      <w:pPr>
        <w:widowControl w:val="0"/>
        <w:pBdr>
          <w:top w:val="nil"/>
          <w:left w:val="nil"/>
          <w:bottom w:val="nil"/>
          <w:right w:val="nil"/>
          <w:between w:val="nil"/>
        </w:pBdr>
        <w:jc w:val="both"/>
        <w:rPr>
          <w:rFonts w:ascii="Trebuchet MS" w:eastAsia="Trebuchet MS" w:hAnsi="Trebuchet MS" w:cs="Trebuchet MS"/>
        </w:rPr>
      </w:pPr>
    </w:p>
    <w:p w:rsidR="00A900C7" w:rsidRDefault="00A900C7" w:rsidP="00BE062E">
      <w:pPr>
        <w:widowControl w:val="0"/>
        <w:pBdr>
          <w:top w:val="nil"/>
          <w:left w:val="nil"/>
          <w:bottom w:val="nil"/>
          <w:right w:val="nil"/>
          <w:between w:val="nil"/>
        </w:pBdr>
        <w:jc w:val="both"/>
        <w:rPr>
          <w:rFonts w:ascii="Trebuchet MS" w:eastAsia="Trebuchet MS" w:hAnsi="Trebuchet MS" w:cs="Trebuchet MS"/>
        </w:rPr>
      </w:pPr>
      <w:r>
        <w:rPr>
          <w:rFonts w:ascii="Trebuchet MS" w:eastAsia="Trebuchet MS" w:hAnsi="Trebuchet MS" w:cs="Trebuchet MS"/>
        </w:rPr>
        <w:t>Importantly,</w:t>
      </w:r>
      <w:r w:rsidR="009565CE">
        <w:rPr>
          <w:rFonts w:ascii="Trebuchet MS" w:eastAsia="Trebuchet MS" w:hAnsi="Trebuchet MS" w:cs="Trebuchet MS"/>
        </w:rPr>
        <w:t xml:space="preserve"> selecting the non-</w:t>
      </w:r>
      <w:proofErr w:type="spellStart"/>
      <w:r w:rsidR="009565CE">
        <w:rPr>
          <w:rFonts w:ascii="Trebuchet MS" w:eastAsia="Trebuchet MS" w:hAnsi="Trebuchet MS" w:cs="Trebuchet MS"/>
        </w:rPr>
        <w:t>MIxS</w:t>
      </w:r>
      <w:proofErr w:type="spellEnd"/>
      <w:r w:rsidR="009565CE">
        <w:rPr>
          <w:rFonts w:ascii="Trebuchet MS" w:eastAsia="Trebuchet MS" w:hAnsi="Trebuchet MS" w:cs="Trebuchet MS"/>
        </w:rPr>
        <w:t xml:space="preserve"> compliant “Metagenome or environmental sample” option in the “</w:t>
      </w:r>
      <w:proofErr w:type="spellStart"/>
      <w:r w:rsidR="009565CE">
        <w:rPr>
          <w:rFonts w:ascii="Trebuchet MS" w:eastAsia="Trebuchet MS" w:hAnsi="Trebuchet MS" w:cs="Trebuchet MS"/>
        </w:rPr>
        <w:t>Biosample</w:t>
      </w:r>
      <w:proofErr w:type="spellEnd"/>
      <w:r w:rsidR="009565CE">
        <w:rPr>
          <w:rFonts w:ascii="Trebuchet MS" w:eastAsia="Trebuchet MS" w:hAnsi="Trebuchet MS" w:cs="Trebuchet MS"/>
        </w:rPr>
        <w:t xml:space="preserve"> type” step</w:t>
      </w:r>
      <w:r>
        <w:rPr>
          <w:rFonts w:ascii="Trebuchet MS" w:eastAsia="Trebuchet MS" w:hAnsi="Trebuchet MS" w:cs="Trebuchet MS"/>
        </w:rPr>
        <w:t xml:space="preserve"> will execute the same checks as soon as </w:t>
      </w:r>
      <w:proofErr w:type="spellStart"/>
      <w:r>
        <w:rPr>
          <w:rFonts w:ascii="Trebuchet MS" w:eastAsia="Trebuchet MS" w:hAnsi="Trebuchet MS" w:cs="Trebuchet MS"/>
        </w:rPr>
        <w:t>MIxS</w:t>
      </w:r>
      <w:proofErr w:type="spellEnd"/>
      <w:r>
        <w:rPr>
          <w:rFonts w:ascii="Trebuchet MS" w:eastAsia="Trebuchet MS" w:hAnsi="Trebuchet MS" w:cs="Trebuchet MS"/>
        </w:rPr>
        <w:t xml:space="preserve"> terms are recognized in the uploaded file.</w:t>
      </w:r>
    </w:p>
    <w:p w:rsidR="00B804EB" w:rsidRDefault="00B804EB" w:rsidP="00BE062E">
      <w:pPr>
        <w:widowControl w:val="0"/>
        <w:pBdr>
          <w:top w:val="nil"/>
          <w:left w:val="nil"/>
          <w:bottom w:val="nil"/>
          <w:right w:val="nil"/>
          <w:between w:val="nil"/>
        </w:pBdr>
        <w:jc w:val="both"/>
        <w:rPr>
          <w:rFonts w:ascii="Trebuchet MS" w:eastAsia="Trebuchet MS" w:hAnsi="Trebuchet MS" w:cs="Trebuchet MS"/>
        </w:rPr>
      </w:pPr>
    </w:p>
    <w:p w:rsidR="007C2684" w:rsidRDefault="007C2684" w:rsidP="00BE062E">
      <w:pPr>
        <w:widowControl w:val="0"/>
        <w:pBdr>
          <w:top w:val="nil"/>
          <w:left w:val="nil"/>
          <w:bottom w:val="nil"/>
          <w:right w:val="nil"/>
          <w:between w:val="nil"/>
        </w:pBdr>
        <w:jc w:val="both"/>
        <w:rPr>
          <w:rFonts w:ascii="Trebuchet MS" w:eastAsia="Trebuchet MS" w:hAnsi="Trebuchet MS" w:cs="Trebuchet MS"/>
        </w:rPr>
      </w:pPr>
    </w:p>
    <w:p w:rsidR="00393D24" w:rsidRDefault="00393D24" w:rsidP="00BE062E">
      <w:pPr>
        <w:widowControl w:val="0"/>
        <w:pBdr>
          <w:top w:val="nil"/>
          <w:left w:val="nil"/>
          <w:bottom w:val="nil"/>
          <w:right w:val="nil"/>
          <w:between w:val="nil"/>
        </w:pBdr>
        <w:jc w:val="both"/>
        <w:rPr>
          <w:rFonts w:ascii="Trebuchet MS" w:eastAsia="Trebuchet MS" w:hAnsi="Trebuchet MS" w:cs="Trebuchet MS"/>
        </w:rPr>
      </w:pPr>
    </w:p>
    <w:p w:rsidR="0081233E" w:rsidRPr="00AB5CC8" w:rsidRDefault="008F6006" w:rsidP="00BE062E">
      <w:pPr>
        <w:widowControl w:val="0"/>
        <w:pBdr>
          <w:top w:val="nil"/>
          <w:left w:val="nil"/>
          <w:bottom w:val="nil"/>
          <w:right w:val="nil"/>
          <w:between w:val="nil"/>
        </w:pBdr>
        <w:jc w:val="both"/>
        <w:rPr>
          <w:rFonts w:ascii="Trebuchet MS" w:eastAsia="Trebuchet MS" w:hAnsi="Trebuchet MS" w:cs="Trebuchet MS"/>
          <w:b/>
          <w:bCs/>
        </w:rPr>
      </w:pPr>
      <w:r w:rsidRPr="00AB5CC8">
        <w:rPr>
          <w:rFonts w:ascii="Trebuchet MS" w:eastAsia="Trebuchet MS" w:hAnsi="Trebuchet MS" w:cs="Trebuchet MS"/>
          <w:b/>
          <w:bCs/>
        </w:rPr>
        <w:t>2.3</w:t>
      </w:r>
      <w:r w:rsidR="007F3A70" w:rsidRPr="00AB5CC8">
        <w:rPr>
          <w:rFonts w:ascii="Trebuchet MS" w:eastAsia="Trebuchet MS" w:hAnsi="Trebuchet MS" w:cs="Trebuchet MS"/>
          <w:b/>
          <w:bCs/>
        </w:rPr>
        <w:t xml:space="preserve"> </w:t>
      </w:r>
      <w:r w:rsidR="00AB5CC8" w:rsidRPr="00AB5CC8">
        <w:rPr>
          <w:rFonts w:ascii="Trebuchet MS" w:eastAsia="Trebuchet MS" w:hAnsi="Trebuchet MS" w:cs="Trebuchet MS"/>
          <w:b/>
          <w:bCs/>
        </w:rPr>
        <w:t>additional metadata</w:t>
      </w:r>
    </w:p>
    <w:p w:rsidR="00AB5CC8" w:rsidRDefault="00AB5CC8" w:rsidP="00BE062E">
      <w:pPr>
        <w:widowControl w:val="0"/>
        <w:pBdr>
          <w:top w:val="nil"/>
          <w:left w:val="nil"/>
          <w:bottom w:val="nil"/>
          <w:right w:val="nil"/>
          <w:between w:val="nil"/>
        </w:pBdr>
        <w:jc w:val="both"/>
        <w:rPr>
          <w:rFonts w:ascii="Trebuchet MS" w:eastAsia="Trebuchet MS" w:hAnsi="Trebuchet MS" w:cs="Trebuchet MS"/>
        </w:rPr>
      </w:pPr>
    </w:p>
    <w:p w:rsidR="00AB5CC8" w:rsidRDefault="00AB5CC8" w:rsidP="00BE062E">
      <w:pPr>
        <w:widowControl w:val="0"/>
        <w:pBdr>
          <w:top w:val="nil"/>
          <w:left w:val="nil"/>
          <w:bottom w:val="nil"/>
          <w:right w:val="nil"/>
          <w:between w:val="nil"/>
        </w:pBdr>
        <w:jc w:val="both"/>
        <w:rPr>
          <w:rFonts w:ascii="Trebuchet MS" w:eastAsia="Trebuchet MS" w:hAnsi="Trebuchet MS" w:cs="Trebuchet MS"/>
        </w:rPr>
      </w:pPr>
      <w:r>
        <w:rPr>
          <w:rFonts w:ascii="Trebuchet MS" w:eastAsia="Trebuchet MS" w:hAnsi="Trebuchet MS" w:cs="Trebuchet MS"/>
        </w:rPr>
        <w:t xml:space="preserve">When the </w:t>
      </w:r>
      <w:proofErr w:type="spellStart"/>
      <w:r>
        <w:rPr>
          <w:rFonts w:ascii="Trebuchet MS" w:eastAsia="Trebuchet MS" w:hAnsi="Trebuchet MS" w:cs="Trebuchet MS"/>
        </w:rPr>
        <w:t>MIxS</w:t>
      </w:r>
      <w:proofErr w:type="spellEnd"/>
      <w:r>
        <w:rPr>
          <w:rFonts w:ascii="Trebuchet MS" w:eastAsia="Trebuchet MS" w:hAnsi="Trebuchet MS" w:cs="Trebuchet MS"/>
        </w:rPr>
        <w:t xml:space="preserve"> file has been accepted, the “metadata” tab opens up. There, additional metadata about the molecular methods used need to be provided. The easiest way is to open the build-in table editor, copy the sample names </w:t>
      </w:r>
      <w:r w:rsidR="00EF4997">
        <w:rPr>
          <w:rFonts w:ascii="Trebuchet MS" w:eastAsia="Trebuchet MS" w:hAnsi="Trebuchet MS" w:cs="Trebuchet MS"/>
        </w:rPr>
        <w:t xml:space="preserve">from the </w:t>
      </w:r>
      <w:proofErr w:type="spellStart"/>
      <w:r w:rsidR="00EF4997">
        <w:rPr>
          <w:rFonts w:ascii="Trebuchet MS" w:eastAsia="Trebuchet MS" w:hAnsi="Trebuchet MS" w:cs="Trebuchet MS"/>
        </w:rPr>
        <w:t>MIxS</w:t>
      </w:r>
      <w:proofErr w:type="spellEnd"/>
      <w:r w:rsidR="00EF4997">
        <w:rPr>
          <w:rFonts w:ascii="Trebuchet MS" w:eastAsia="Trebuchet MS" w:hAnsi="Trebuchet MS" w:cs="Trebuchet MS"/>
        </w:rPr>
        <w:t xml:space="preserve"> file </w:t>
      </w:r>
      <w:r>
        <w:rPr>
          <w:rFonts w:ascii="Trebuchet MS" w:eastAsia="Trebuchet MS" w:hAnsi="Trebuchet MS" w:cs="Trebuchet MS"/>
        </w:rPr>
        <w:t>in the first column, and complete the rest of the required fields using the drop-down menus with proposed terms.</w:t>
      </w:r>
    </w:p>
    <w:p w:rsidR="009B754E" w:rsidRPr="0081233E" w:rsidRDefault="009B754E" w:rsidP="00BE062E">
      <w:pPr>
        <w:widowControl w:val="0"/>
        <w:pBdr>
          <w:top w:val="nil"/>
          <w:left w:val="nil"/>
          <w:bottom w:val="nil"/>
          <w:right w:val="nil"/>
          <w:between w:val="nil"/>
        </w:pBdr>
        <w:jc w:val="both"/>
        <w:rPr>
          <w:rFonts w:ascii="Trebuchet MS" w:eastAsia="Trebuchet MS" w:hAnsi="Trebuchet MS" w:cs="Trebuchet MS"/>
        </w:rPr>
      </w:pPr>
    </w:p>
    <w:p w:rsidR="009B754E" w:rsidRPr="0081233E" w:rsidRDefault="009B754E" w:rsidP="00BE062E">
      <w:pPr>
        <w:widowControl w:val="0"/>
        <w:pBdr>
          <w:top w:val="nil"/>
          <w:left w:val="nil"/>
          <w:bottom w:val="nil"/>
          <w:right w:val="nil"/>
          <w:between w:val="nil"/>
        </w:pBdr>
        <w:jc w:val="both"/>
        <w:rPr>
          <w:rFonts w:ascii="Trebuchet MS" w:eastAsia="Trebuchet MS" w:hAnsi="Trebuchet MS" w:cs="Trebuchet MS"/>
        </w:rPr>
      </w:pPr>
    </w:p>
    <w:p w:rsidR="00BE062E" w:rsidRPr="00AB5CC8" w:rsidRDefault="00BE062E" w:rsidP="00BE062E">
      <w:pPr>
        <w:widowControl w:val="0"/>
        <w:pBdr>
          <w:top w:val="nil"/>
          <w:left w:val="nil"/>
          <w:bottom w:val="nil"/>
          <w:right w:val="nil"/>
          <w:between w:val="nil"/>
        </w:pBdr>
        <w:jc w:val="both"/>
        <w:rPr>
          <w:rFonts w:ascii="Trebuchet MS" w:eastAsia="Trebuchet MS" w:hAnsi="Trebuchet MS" w:cs="Trebuchet MS"/>
          <w:b/>
          <w:bCs/>
        </w:rPr>
      </w:pPr>
      <w:r w:rsidRPr="00AB5CC8">
        <w:rPr>
          <w:rFonts w:ascii="Trebuchet MS" w:eastAsia="Trebuchet MS" w:hAnsi="Trebuchet MS" w:cs="Trebuchet MS"/>
          <w:b/>
          <w:bCs/>
        </w:rPr>
        <w:t>2.</w:t>
      </w:r>
      <w:r>
        <w:rPr>
          <w:rFonts w:ascii="Trebuchet MS" w:eastAsia="Trebuchet MS" w:hAnsi="Trebuchet MS" w:cs="Trebuchet MS"/>
          <w:b/>
          <w:bCs/>
        </w:rPr>
        <w:t>4</w:t>
      </w:r>
      <w:r w:rsidRPr="00AB5CC8">
        <w:rPr>
          <w:rFonts w:ascii="Trebuchet MS" w:eastAsia="Trebuchet MS" w:hAnsi="Trebuchet MS" w:cs="Trebuchet MS"/>
          <w:b/>
          <w:bCs/>
        </w:rPr>
        <w:t xml:space="preserve"> </w:t>
      </w:r>
      <w:r>
        <w:rPr>
          <w:rFonts w:ascii="Trebuchet MS" w:eastAsia="Trebuchet MS" w:hAnsi="Trebuchet MS" w:cs="Trebuchet MS"/>
          <w:b/>
          <w:bCs/>
        </w:rPr>
        <w:t>uploading the sequence data</w:t>
      </w:r>
    </w:p>
    <w:p w:rsidR="002015E9" w:rsidRPr="0081233E" w:rsidRDefault="002015E9" w:rsidP="00BE062E">
      <w:pPr>
        <w:widowControl w:val="0"/>
        <w:pBdr>
          <w:top w:val="nil"/>
          <w:left w:val="nil"/>
          <w:bottom w:val="nil"/>
          <w:right w:val="nil"/>
          <w:between w:val="nil"/>
        </w:pBdr>
        <w:jc w:val="both"/>
        <w:rPr>
          <w:rFonts w:ascii="Trebuchet MS" w:eastAsia="Trebuchet MS" w:hAnsi="Trebuchet MS" w:cs="Trebuchet MS"/>
        </w:rPr>
      </w:pPr>
    </w:p>
    <w:p w:rsidR="002015E9" w:rsidRPr="0081233E" w:rsidRDefault="00BE062E" w:rsidP="00BE062E">
      <w:pPr>
        <w:widowControl w:val="0"/>
        <w:pBdr>
          <w:top w:val="nil"/>
          <w:left w:val="nil"/>
          <w:bottom w:val="nil"/>
          <w:right w:val="nil"/>
          <w:between w:val="nil"/>
        </w:pBdr>
        <w:jc w:val="both"/>
        <w:rPr>
          <w:rFonts w:ascii="Trebuchet MS" w:eastAsia="Trebuchet MS" w:hAnsi="Trebuchet MS" w:cs="Trebuchet MS"/>
        </w:rPr>
      </w:pPr>
      <w:r>
        <w:rPr>
          <w:rFonts w:ascii="Trebuchet MS" w:eastAsia="Trebuchet MS" w:hAnsi="Trebuchet MS" w:cs="Trebuchet MS"/>
        </w:rPr>
        <w:t>Finally, the sequence data can be uploaded. Here, make sure file names correspond to the filenames provided in the metadata tab. A best practice is to upload unassembled, unprocessed raw sequence data</w:t>
      </w:r>
      <w:r w:rsidR="00EF4997">
        <w:rPr>
          <w:rFonts w:ascii="Trebuchet MS" w:eastAsia="Trebuchet MS" w:hAnsi="Trebuchet MS" w:cs="Trebuchet MS"/>
        </w:rPr>
        <w:t xml:space="preserve"> (in </w:t>
      </w:r>
      <w:proofErr w:type="spellStart"/>
      <w:r w:rsidR="00EF4997">
        <w:rPr>
          <w:rFonts w:ascii="Trebuchet MS" w:eastAsia="Trebuchet MS" w:hAnsi="Trebuchet MS" w:cs="Trebuchet MS"/>
        </w:rPr>
        <w:t>fastq</w:t>
      </w:r>
      <w:proofErr w:type="spellEnd"/>
      <w:r w:rsidR="00EF4997">
        <w:rPr>
          <w:rFonts w:ascii="Trebuchet MS" w:eastAsia="Trebuchet MS" w:hAnsi="Trebuchet MS" w:cs="Trebuchet MS"/>
        </w:rPr>
        <w:t xml:space="preserve"> format)</w:t>
      </w:r>
      <w:r>
        <w:rPr>
          <w:rFonts w:ascii="Trebuchet MS" w:eastAsia="Trebuchet MS" w:hAnsi="Trebuchet MS" w:cs="Trebuchet MS"/>
        </w:rPr>
        <w:t xml:space="preserve">, as this leaves all options open for any other researcher to process the data in an alternative </w:t>
      </w:r>
      <w:proofErr w:type="gramStart"/>
      <w:r>
        <w:rPr>
          <w:rFonts w:ascii="Trebuchet MS" w:eastAsia="Trebuchet MS" w:hAnsi="Trebuchet MS" w:cs="Trebuchet MS"/>
        </w:rPr>
        <w:t>way, or</w:t>
      </w:r>
      <w:proofErr w:type="gramEnd"/>
      <w:r>
        <w:rPr>
          <w:rFonts w:ascii="Trebuchet MS" w:eastAsia="Trebuchet MS" w:hAnsi="Trebuchet MS" w:cs="Trebuchet MS"/>
        </w:rPr>
        <w:t xml:space="preserve"> </w:t>
      </w:r>
      <w:r w:rsidR="00EF4997">
        <w:rPr>
          <w:rFonts w:ascii="Trebuchet MS" w:eastAsia="Trebuchet MS" w:hAnsi="Trebuchet MS" w:cs="Trebuchet MS"/>
        </w:rPr>
        <w:t>use a</w:t>
      </w:r>
      <w:r>
        <w:rPr>
          <w:rFonts w:ascii="Trebuchet MS" w:eastAsia="Trebuchet MS" w:hAnsi="Trebuchet MS" w:cs="Trebuchet MS"/>
        </w:rPr>
        <w:t xml:space="preserve"> new methods that were not available at the time.</w:t>
      </w:r>
      <w:r w:rsidR="00EF4997">
        <w:rPr>
          <w:rFonts w:ascii="Trebuchet MS" w:eastAsia="Trebuchet MS" w:hAnsi="Trebuchet MS" w:cs="Trebuchet MS"/>
        </w:rPr>
        <w:t xml:space="preserve"> After everything</w:t>
      </w:r>
      <w:bookmarkStart w:id="0" w:name="_GoBack"/>
      <w:bookmarkEnd w:id="0"/>
      <w:r w:rsidR="00EF4997">
        <w:rPr>
          <w:rFonts w:ascii="Trebuchet MS" w:eastAsia="Trebuchet MS" w:hAnsi="Trebuchet MS" w:cs="Trebuchet MS"/>
        </w:rPr>
        <w:t xml:space="preserve"> has finished, it can take some days for the record to be manually checked by NCBI and approved.</w:t>
      </w:r>
    </w:p>
    <w:p w:rsidR="002015E9" w:rsidRDefault="002015E9" w:rsidP="00BE062E">
      <w:pPr>
        <w:widowControl w:val="0"/>
        <w:pBdr>
          <w:top w:val="nil"/>
          <w:left w:val="nil"/>
          <w:bottom w:val="nil"/>
          <w:right w:val="nil"/>
          <w:between w:val="nil"/>
        </w:pBdr>
        <w:jc w:val="both"/>
        <w:rPr>
          <w:rFonts w:ascii="Trebuchet MS" w:eastAsia="Trebuchet MS" w:hAnsi="Trebuchet MS" w:cs="Trebuchet MS"/>
          <w:b/>
          <w:sz w:val="32"/>
          <w:szCs w:val="32"/>
        </w:rPr>
      </w:pPr>
    </w:p>
    <w:p w:rsidR="009B61D7" w:rsidRDefault="009B61D7" w:rsidP="00BE062E">
      <w:pPr>
        <w:widowControl w:val="0"/>
        <w:pBdr>
          <w:top w:val="nil"/>
          <w:left w:val="nil"/>
          <w:bottom w:val="nil"/>
          <w:right w:val="nil"/>
          <w:between w:val="nil"/>
        </w:pBdr>
        <w:jc w:val="both"/>
        <w:rPr>
          <w:rFonts w:ascii="Trebuchet MS" w:eastAsia="Trebuchet MS" w:hAnsi="Trebuchet MS" w:cs="Trebuchet MS"/>
        </w:rPr>
      </w:pPr>
    </w:p>
    <w:p w:rsidR="006A49E9" w:rsidRDefault="006A49E9" w:rsidP="00BE062E">
      <w:pPr>
        <w:widowControl w:val="0"/>
        <w:pBdr>
          <w:top w:val="nil"/>
          <w:left w:val="nil"/>
          <w:bottom w:val="nil"/>
          <w:right w:val="nil"/>
          <w:between w:val="nil"/>
        </w:pBdr>
        <w:jc w:val="both"/>
        <w:rPr>
          <w:rFonts w:ascii="Trebuchet MS" w:eastAsia="Trebuchet MS" w:hAnsi="Trebuchet MS" w:cs="Trebuchet MS"/>
        </w:rPr>
      </w:pPr>
    </w:p>
    <w:p w:rsidR="001E76CE" w:rsidRDefault="001E76CE" w:rsidP="00BE062E">
      <w:pPr>
        <w:widowControl w:val="0"/>
        <w:pBdr>
          <w:top w:val="nil"/>
          <w:left w:val="nil"/>
          <w:bottom w:val="nil"/>
          <w:right w:val="nil"/>
          <w:between w:val="nil"/>
        </w:pBdr>
        <w:jc w:val="both"/>
        <w:rPr>
          <w:rFonts w:ascii="Trebuchet MS" w:eastAsia="Trebuchet MS" w:hAnsi="Trebuchet MS" w:cs="Trebuchet MS"/>
        </w:rPr>
      </w:pPr>
    </w:p>
    <w:p w:rsidR="00001614" w:rsidRDefault="00001614" w:rsidP="00B870F4">
      <w:pPr>
        <w:widowControl w:val="0"/>
        <w:pBdr>
          <w:top w:val="nil"/>
          <w:left w:val="nil"/>
          <w:bottom w:val="nil"/>
          <w:right w:val="nil"/>
          <w:between w:val="nil"/>
        </w:pBdr>
        <w:jc w:val="both"/>
        <w:rPr>
          <w:rFonts w:ascii="Trebuchet MS" w:eastAsia="Trebuchet MS" w:hAnsi="Trebuchet MS" w:cs="Trebuchet MS"/>
          <w:highlight w:val="white"/>
        </w:rPr>
      </w:pPr>
    </w:p>
    <w:sectPr w:rsidR="0000161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E305B"/>
    <w:multiLevelType w:val="multilevel"/>
    <w:tmpl w:val="80ACB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9A59F3"/>
    <w:multiLevelType w:val="multilevel"/>
    <w:tmpl w:val="1D886E5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F314C01"/>
    <w:multiLevelType w:val="hybridMultilevel"/>
    <w:tmpl w:val="1AA4748A"/>
    <w:lvl w:ilvl="0" w:tplc="67940B4E">
      <w:start w:val="2"/>
      <w:numFmt w:val="bullet"/>
      <w:lvlText w:val="-"/>
      <w:lvlJc w:val="left"/>
      <w:pPr>
        <w:ind w:left="720" w:hanging="360"/>
      </w:pPr>
      <w:rPr>
        <w:rFonts w:ascii="Trebuchet MS" w:eastAsia="Trebuchet MS" w:hAnsi="Trebuchet MS" w:cs="Trebuchet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917DB3"/>
    <w:multiLevelType w:val="multilevel"/>
    <w:tmpl w:val="17FA1F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438084D"/>
    <w:multiLevelType w:val="multilevel"/>
    <w:tmpl w:val="60A895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D620957"/>
    <w:multiLevelType w:val="hybridMultilevel"/>
    <w:tmpl w:val="BB82E44E"/>
    <w:lvl w:ilvl="0" w:tplc="E696867C">
      <w:start w:val="1"/>
      <w:numFmt w:val="bullet"/>
      <w:lvlText w:val="-"/>
      <w:lvlJc w:val="left"/>
      <w:pPr>
        <w:ind w:left="720" w:hanging="360"/>
      </w:pPr>
      <w:rPr>
        <w:rFonts w:ascii="Trebuchet MS" w:eastAsia="Trebuchet MS" w:hAnsi="Trebuchet MS" w:cs="Trebuchet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D77B09"/>
    <w:multiLevelType w:val="multilevel"/>
    <w:tmpl w:val="AFD618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9917191"/>
    <w:multiLevelType w:val="multilevel"/>
    <w:tmpl w:val="34889F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EDA3B24"/>
    <w:multiLevelType w:val="multilevel"/>
    <w:tmpl w:val="15C8E0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0D761FF"/>
    <w:multiLevelType w:val="hybridMultilevel"/>
    <w:tmpl w:val="E2881474"/>
    <w:lvl w:ilvl="0" w:tplc="0F4E8BA0">
      <w:numFmt w:val="bullet"/>
      <w:lvlText w:val="-"/>
      <w:lvlJc w:val="left"/>
      <w:pPr>
        <w:ind w:left="720" w:hanging="360"/>
      </w:pPr>
      <w:rPr>
        <w:rFonts w:ascii="Trebuchet MS" w:eastAsia="Trebuchet MS" w:hAnsi="Trebuchet MS" w:cs="Trebuchet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E2455F"/>
    <w:multiLevelType w:val="multilevel"/>
    <w:tmpl w:val="03E4C2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E3960F1"/>
    <w:multiLevelType w:val="multilevel"/>
    <w:tmpl w:val="A7D04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A2667C5"/>
    <w:multiLevelType w:val="multilevel"/>
    <w:tmpl w:val="643E3A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11"/>
  </w:num>
  <w:num w:numId="3">
    <w:abstractNumId w:val="12"/>
  </w:num>
  <w:num w:numId="4">
    <w:abstractNumId w:val="6"/>
  </w:num>
  <w:num w:numId="5">
    <w:abstractNumId w:val="3"/>
  </w:num>
  <w:num w:numId="6">
    <w:abstractNumId w:val="4"/>
  </w:num>
  <w:num w:numId="7">
    <w:abstractNumId w:val="10"/>
  </w:num>
  <w:num w:numId="8">
    <w:abstractNumId w:val="7"/>
  </w:num>
  <w:num w:numId="9">
    <w:abstractNumId w:val="0"/>
  </w:num>
  <w:num w:numId="10">
    <w:abstractNumId w:val="5"/>
  </w:num>
  <w:num w:numId="11">
    <w:abstractNumId w:val="2"/>
  </w:num>
  <w:num w:numId="12">
    <w:abstractNumId w:val="9"/>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8531F"/>
    <w:rsid w:val="00001614"/>
    <w:rsid w:val="0001687C"/>
    <w:rsid w:val="000308F3"/>
    <w:rsid w:val="00035131"/>
    <w:rsid w:val="00037FB8"/>
    <w:rsid w:val="00041E05"/>
    <w:rsid w:val="000607BA"/>
    <w:rsid w:val="00072DD6"/>
    <w:rsid w:val="00074C14"/>
    <w:rsid w:val="00093159"/>
    <w:rsid w:val="000A050F"/>
    <w:rsid w:val="000A52DD"/>
    <w:rsid w:val="000B19A7"/>
    <w:rsid w:val="000D08A0"/>
    <w:rsid w:val="000D644F"/>
    <w:rsid w:val="000E0D95"/>
    <w:rsid w:val="000E35A8"/>
    <w:rsid w:val="001128DB"/>
    <w:rsid w:val="00112E6B"/>
    <w:rsid w:val="00124CE9"/>
    <w:rsid w:val="00127254"/>
    <w:rsid w:val="00145A09"/>
    <w:rsid w:val="00154B8B"/>
    <w:rsid w:val="00172EE7"/>
    <w:rsid w:val="001957DD"/>
    <w:rsid w:val="00195BE7"/>
    <w:rsid w:val="001B1753"/>
    <w:rsid w:val="001B2E51"/>
    <w:rsid w:val="001B3999"/>
    <w:rsid w:val="001C4059"/>
    <w:rsid w:val="001D2213"/>
    <w:rsid w:val="001E76CE"/>
    <w:rsid w:val="001F5066"/>
    <w:rsid w:val="002015E9"/>
    <w:rsid w:val="00201C4F"/>
    <w:rsid w:val="00233E4C"/>
    <w:rsid w:val="00234884"/>
    <w:rsid w:val="0024771A"/>
    <w:rsid w:val="00247EE7"/>
    <w:rsid w:val="00251AEF"/>
    <w:rsid w:val="00254F70"/>
    <w:rsid w:val="002554D9"/>
    <w:rsid w:val="00261916"/>
    <w:rsid w:val="00262D1D"/>
    <w:rsid w:val="0027780A"/>
    <w:rsid w:val="0028531F"/>
    <w:rsid w:val="00287992"/>
    <w:rsid w:val="00293062"/>
    <w:rsid w:val="002A1159"/>
    <w:rsid w:val="002A44CC"/>
    <w:rsid w:val="002B6F4F"/>
    <w:rsid w:val="002F5F7C"/>
    <w:rsid w:val="003200F7"/>
    <w:rsid w:val="0034217E"/>
    <w:rsid w:val="0035250B"/>
    <w:rsid w:val="00354496"/>
    <w:rsid w:val="003600B0"/>
    <w:rsid w:val="00365D87"/>
    <w:rsid w:val="0036618F"/>
    <w:rsid w:val="00386245"/>
    <w:rsid w:val="00393D24"/>
    <w:rsid w:val="003C0F8A"/>
    <w:rsid w:val="003C58DC"/>
    <w:rsid w:val="003C5B42"/>
    <w:rsid w:val="003C6F48"/>
    <w:rsid w:val="003E1F70"/>
    <w:rsid w:val="003F1680"/>
    <w:rsid w:val="00410884"/>
    <w:rsid w:val="00411BA5"/>
    <w:rsid w:val="00423817"/>
    <w:rsid w:val="004547A1"/>
    <w:rsid w:val="00467582"/>
    <w:rsid w:val="00477D28"/>
    <w:rsid w:val="00486596"/>
    <w:rsid w:val="00486CA4"/>
    <w:rsid w:val="004A5E49"/>
    <w:rsid w:val="004B5D17"/>
    <w:rsid w:val="004F250C"/>
    <w:rsid w:val="00533996"/>
    <w:rsid w:val="00537796"/>
    <w:rsid w:val="00563E26"/>
    <w:rsid w:val="005B26E0"/>
    <w:rsid w:val="005B5113"/>
    <w:rsid w:val="005D0E48"/>
    <w:rsid w:val="005E179E"/>
    <w:rsid w:val="005F0288"/>
    <w:rsid w:val="00602853"/>
    <w:rsid w:val="00612347"/>
    <w:rsid w:val="0062163F"/>
    <w:rsid w:val="00624278"/>
    <w:rsid w:val="006473CE"/>
    <w:rsid w:val="00656C2E"/>
    <w:rsid w:val="00664183"/>
    <w:rsid w:val="00673A89"/>
    <w:rsid w:val="00682F78"/>
    <w:rsid w:val="006A49E9"/>
    <w:rsid w:val="006B0E65"/>
    <w:rsid w:val="006B43CD"/>
    <w:rsid w:val="006C66BC"/>
    <w:rsid w:val="006D1752"/>
    <w:rsid w:val="006D526E"/>
    <w:rsid w:val="006F2E92"/>
    <w:rsid w:val="006F5576"/>
    <w:rsid w:val="00703654"/>
    <w:rsid w:val="00752D26"/>
    <w:rsid w:val="0075435E"/>
    <w:rsid w:val="00754A1B"/>
    <w:rsid w:val="00783DC8"/>
    <w:rsid w:val="007A7314"/>
    <w:rsid w:val="007C2684"/>
    <w:rsid w:val="007F3A70"/>
    <w:rsid w:val="00811A94"/>
    <w:rsid w:val="0081233E"/>
    <w:rsid w:val="008374E2"/>
    <w:rsid w:val="0085076E"/>
    <w:rsid w:val="008579DF"/>
    <w:rsid w:val="008624CF"/>
    <w:rsid w:val="00865F4D"/>
    <w:rsid w:val="00880DE6"/>
    <w:rsid w:val="00880F99"/>
    <w:rsid w:val="008A472B"/>
    <w:rsid w:val="008D4078"/>
    <w:rsid w:val="008F6006"/>
    <w:rsid w:val="00921F6D"/>
    <w:rsid w:val="009321AD"/>
    <w:rsid w:val="00934D21"/>
    <w:rsid w:val="009565CE"/>
    <w:rsid w:val="00962902"/>
    <w:rsid w:val="00964C2E"/>
    <w:rsid w:val="00967C78"/>
    <w:rsid w:val="009805B0"/>
    <w:rsid w:val="009A4E89"/>
    <w:rsid w:val="009B249F"/>
    <w:rsid w:val="009B61D7"/>
    <w:rsid w:val="009B754E"/>
    <w:rsid w:val="009B78EE"/>
    <w:rsid w:val="009C3B78"/>
    <w:rsid w:val="009C5AFE"/>
    <w:rsid w:val="009D21E4"/>
    <w:rsid w:val="009F3657"/>
    <w:rsid w:val="00A12B90"/>
    <w:rsid w:val="00A274F9"/>
    <w:rsid w:val="00A45909"/>
    <w:rsid w:val="00A5008D"/>
    <w:rsid w:val="00A51DDB"/>
    <w:rsid w:val="00A562B2"/>
    <w:rsid w:val="00A70026"/>
    <w:rsid w:val="00A900C7"/>
    <w:rsid w:val="00A93567"/>
    <w:rsid w:val="00A974D8"/>
    <w:rsid w:val="00A97976"/>
    <w:rsid w:val="00AA0148"/>
    <w:rsid w:val="00AA0EDD"/>
    <w:rsid w:val="00AA5D11"/>
    <w:rsid w:val="00AB2D7F"/>
    <w:rsid w:val="00AB5CC8"/>
    <w:rsid w:val="00AB6AFF"/>
    <w:rsid w:val="00AD0F6E"/>
    <w:rsid w:val="00AD4953"/>
    <w:rsid w:val="00AD7189"/>
    <w:rsid w:val="00AE386E"/>
    <w:rsid w:val="00AF11BB"/>
    <w:rsid w:val="00AF527F"/>
    <w:rsid w:val="00B13905"/>
    <w:rsid w:val="00B14727"/>
    <w:rsid w:val="00B21D7F"/>
    <w:rsid w:val="00B34B3D"/>
    <w:rsid w:val="00B36D73"/>
    <w:rsid w:val="00B7578E"/>
    <w:rsid w:val="00B804EB"/>
    <w:rsid w:val="00B86A11"/>
    <w:rsid w:val="00B870F4"/>
    <w:rsid w:val="00B9218D"/>
    <w:rsid w:val="00B94B97"/>
    <w:rsid w:val="00B9748B"/>
    <w:rsid w:val="00BD243E"/>
    <w:rsid w:val="00BD6115"/>
    <w:rsid w:val="00BE062E"/>
    <w:rsid w:val="00BE1E65"/>
    <w:rsid w:val="00BE2E77"/>
    <w:rsid w:val="00C22E65"/>
    <w:rsid w:val="00C26605"/>
    <w:rsid w:val="00C35CE8"/>
    <w:rsid w:val="00C467FF"/>
    <w:rsid w:val="00C51E75"/>
    <w:rsid w:val="00CA169F"/>
    <w:rsid w:val="00CA4484"/>
    <w:rsid w:val="00CB4A35"/>
    <w:rsid w:val="00D1291A"/>
    <w:rsid w:val="00D23BF5"/>
    <w:rsid w:val="00D23C57"/>
    <w:rsid w:val="00D44C3A"/>
    <w:rsid w:val="00D4748D"/>
    <w:rsid w:val="00D5046B"/>
    <w:rsid w:val="00D75683"/>
    <w:rsid w:val="00D801AB"/>
    <w:rsid w:val="00D82244"/>
    <w:rsid w:val="00DA1766"/>
    <w:rsid w:val="00DA4A5C"/>
    <w:rsid w:val="00DB0179"/>
    <w:rsid w:val="00DB1540"/>
    <w:rsid w:val="00DC5FC6"/>
    <w:rsid w:val="00DD05CD"/>
    <w:rsid w:val="00DD34E4"/>
    <w:rsid w:val="00DD382F"/>
    <w:rsid w:val="00E05FC9"/>
    <w:rsid w:val="00E07496"/>
    <w:rsid w:val="00E158E6"/>
    <w:rsid w:val="00E51B33"/>
    <w:rsid w:val="00E77966"/>
    <w:rsid w:val="00E91F53"/>
    <w:rsid w:val="00E9631F"/>
    <w:rsid w:val="00EA71DC"/>
    <w:rsid w:val="00EC532B"/>
    <w:rsid w:val="00EC6C8C"/>
    <w:rsid w:val="00ED075B"/>
    <w:rsid w:val="00ED29B0"/>
    <w:rsid w:val="00ED47D9"/>
    <w:rsid w:val="00ED6455"/>
    <w:rsid w:val="00EF4997"/>
    <w:rsid w:val="00EF6749"/>
    <w:rsid w:val="00F046C2"/>
    <w:rsid w:val="00F1475E"/>
    <w:rsid w:val="00F5245F"/>
    <w:rsid w:val="00F77C51"/>
    <w:rsid w:val="00F80F37"/>
    <w:rsid w:val="00FA0A7C"/>
    <w:rsid w:val="00FB1963"/>
    <w:rsid w:val="00FD6F2A"/>
    <w:rsid w:val="00FE0094"/>
    <w:rsid w:val="00FE4381"/>
    <w:rsid w:val="00FE44B2"/>
    <w:rsid w:val="00FE717A"/>
    <w:rsid w:val="00FF0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91A64F"/>
  <w15:docId w15:val="{187892E3-05FD-374E-B900-07E47A360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2B2"/>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semiHidden/>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BalloonText">
    <w:name w:val="Balloon Text"/>
    <w:basedOn w:val="Normal"/>
    <w:link w:val="BalloonTextChar"/>
    <w:uiPriority w:val="99"/>
    <w:semiHidden/>
    <w:unhideWhenUsed/>
    <w:rsid w:val="00865F4D"/>
    <w:rPr>
      <w:sz w:val="18"/>
      <w:szCs w:val="18"/>
    </w:rPr>
  </w:style>
  <w:style w:type="character" w:customStyle="1" w:styleId="BalloonTextChar">
    <w:name w:val="Balloon Text Char"/>
    <w:basedOn w:val="DefaultParagraphFont"/>
    <w:link w:val="BalloonText"/>
    <w:uiPriority w:val="99"/>
    <w:semiHidden/>
    <w:rsid w:val="00865F4D"/>
    <w:rPr>
      <w:rFonts w:ascii="Times New Roman" w:hAnsi="Times New Roman" w:cs="Times New Roman"/>
      <w:sz w:val="18"/>
      <w:szCs w:val="18"/>
    </w:rPr>
  </w:style>
  <w:style w:type="character" w:styleId="Hyperlink">
    <w:name w:val="Hyperlink"/>
    <w:basedOn w:val="DefaultParagraphFont"/>
    <w:uiPriority w:val="99"/>
    <w:unhideWhenUsed/>
    <w:rsid w:val="00B9748B"/>
    <w:rPr>
      <w:color w:val="0000FF" w:themeColor="hyperlink"/>
      <w:u w:val="single"/>
    </w:rPr>
  </w:style>
  <w:style w:type="character" w:styleId="UnresolvedMention">
    <w:name w:val="Unresolved Mention"/>
    <w:basedOn w:val="DefaultParagraphFont"/>
    <w:uiPriority w:val="99"/>
    <w:semiHidden/>
    <w:unhideWhenUsed/>
    <w:rsid w:val="00B9748B"/>
    <w:rPr>
      <w:color w:val="605E5C"/>
      <w:shd w:val="clear" w:color="auto" w:fill="E1DFDD"/>
    </w:rPr>
  </w:style>
  <w:style w:type="paragraph" w:styleId="Revision">
    <w:name w:val="Revision"/>
    <w:hidden/>
    <w:uiPriority w:val="99"/>
    <w:semiHidden/>
    <w:rsid w:val="00A274F9"/>
    <w:pPr>
      <w:spacing w:line="240" w:lineRule="auto"/>
    </w:pPr>
  </w:style>
  <w:style w:type="character" w:customStyle="1" w:styleId="apple-converted-space">
    <w:name w:val="apple-converted-space"/>
    <w:basedOn w:val="DefaultParagraphFont"/>
    <w:rsid w:val="000E35A8"/>
  </w:style>
  <w:style w:type="character" w:styleId="FollowedHyperlink">
    <w:name w:val="FollowedHyperlink"/>
    <w:basedOn w:val="DefaultParagraphFont"/>
    <w:uiPriority w:val="99"/>
    <w:semiHidden/>
    <w:unhideWhenUsed/>
    <w:rsid w:val="00B36D73"/>
    <w:rPr>
      <w:color w:val="800080" w:themeColor="followedHyperlink"/>
      <w:u w:val="single"/>
    </w:rPr>
  </w:style>
  <w:style w:type="paragraph" w:styleId="ListParagraph">
    <w:name w:val="List Paragraph"/>
    <w:basedOn w:val="Normal"/>
    <w:uiPriority w:val="34"/>
    <w:qFormat/>
    <w:rsid w:val="009B24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70143">
      <w:bodyDiv w:val="1"/>
      <w:marLeft w:val="0"/>
      <w:marRight w:val="0"/>
      <w:marTop w:val="0"/>
      <w:marBottom w:val="0"/>
      <w:divBdr>
        <w:top w:val="none" w:sz="0" w:space="0" w:color="auto"/>
        <w:left w:val="none" w:sz="0" w:space="0" w:color="auto"/>
        <w:bottom w:val="none" w:sz="0" w:space="0" w:color="auto"/>
        <w:right w:val="none" w:sz="0" w:space="0" w:color="auto"/>
      </w:divBdr>
    </w:div>
    <w:div w:id="86778109">
      <w:bodyDiv w:val="1"/>
      <w:marLeft w:val="0"/>
      <w:marRight w:val="0"/>
      <w:marTop w:val="0"/>
      <w:marBottom w:val="0"/>
      <w:divBdr>
        <w:top w:val="none" w:sz="0" w:space="0" w:color="auto"/>
        <w:left w:val="none" w:sz="0" w:space="0" w:color="auto"/>
        <w:bottom w:val="none" w:sz="0" w:space="0" w:color="auto"/>
        <w:right w:val="none" w:sz="0" w:space="0" w:color="auto"/>
      </w:divBdr>
    </w:div>
    <w:div w:id="223294958">
      <w:bodyDiv w:val="1"/>
      <w:marLeft w:val="0"/>
      <w:marRight w:val="0"/>
      <w:marTop w:val="0"/>
      <w:marBottom w:val="0"/>
      <w:divBdr>
        <w:top w:val="none" w:sz="0" w:space="0" w:color="auto"/>
        <w:left w:val="none" w:sz="0" w:space="0" w:color="auto"/>
        <w:bottom w:val="none" w:sz="0" w:space="0" w:color="auto"/>
        <w:right w:val="none" w:sz="0" w:space="0" w:color="auto"/>
      </w:divBdr>
    </w:div>
    <w:div w:id="234439624">
      <w:bodyDiv w:val="1"/>
      <w:marLeft w:val="0"/>
      <w:marRight w:val="0"/>
      <w:marTop w:val="0"/>
      <w:marBottom w:val="0"/>
      <w:divBdr>
        <w:top w:val="none" w:sz="0" w:space="0" w:color="auto"/>
        <w:left w:val="none" w:sz="0" w:space="0" w:color="auto"/>
        <w:bottom w:val="none" w:sz="0" w:space="0" w:color="auto"/>
        <w:right w:val="none" w:sz="0" w:space="0" w:color="auto"/>
      </w:divBdr>
    </w:div>
    <w:div w:id="402143633">
      <w:bodyDiv w:val="1"/>
      <w:marLeft w:val="0"/>
      <w:marRight w:val="0"/>
      <w:marTop w:val="0"/>
      <w:marBottom w:val="0"/>
      <w:divBdr>
        <w:top w:val="none" w:sz="0" w:space="0" w:color="auto"/>
        <w:left w:val="none" w:sz="0" w:space="0" w:color="auto"/>
        <w:bottom w:val="none" w:sz="0" w:space="0" w:color="auto"/>
        <w:right w:val="none" w:sz="0" w:space="0" w:color="auto"/>
      </w:divBdr>
    </w:div>
    <w:div w:id="503712598">
      <w:bodyDiv w:val="1"/>
      <w:marLeft w:val="0"/>
      <w:marRight w:val="0"/>
      <w:marTop w:val="0"/>
      <w:marBottom w:val="0"/>
      <w:divBdr>
        <w:top w:val="none" w:sz="0" w:space="0" w:color="auto"/>
        <w:left w:val="none" w:sz="0" w:space="0" w:color="auto"/>
        <w:bottom w:val="none" w:sz="0" w:space="0" w:color="auto"/>
        <w:right w:val="none" w:sz="0" w:space="0" w:color="auto"/>
      </w:divBdr>
    </w:div>
    <w:div w:id="593126471">
      <w:bodyDiv w:val="1"/>
      <w:marLeft w:val="0"/>
      <w:marRight w:val="0"/>
      <w:marTop w:val="0"/>
      <w:marBottom w:val="0"/>
      <w:divBdr>
        <w:top w:val="none" w:sz="0" w:space="0" w:color="auto"/>
        <w:left w:val="none" w:sz="0" w:space="0" w:color="auto"/>
        <w:bottom w:val="none" w:sz="0" w:space="0" w:color="auto"/>
        <w:right w:val="none" w:sz="0" w:space="0" w:color="auto"/>
      </w:divBdr>
    </w:div>
    <w:div w:id="610943685">
      <w:bodyDiv w:val="1"/>
      <w:marLeft w:val="0"/>
      <w:marRight w:val="0"/>
      <w:marTop w:val="0"/>
      <w:marBottom w:val="0"/>
      <w:divBdr>
        <w:top w:val="none" w:sz="0" w:space="0" w:color="auto"/>
        <w:left w:val="none" w:sz="0" w:space="0" w:color="auto"/>
        <w:bottom w:val="none" w:sz="0" w:space="0" w:color="auto"/>
        <w:right w:val="none" w:sz="0" w:space="0" w:color="auto"/>
      </w:divBdr>
    </w:div>
    <w:div w:id="673528693">
      <w:bodyDiv w:val="1"/>
      <w:marLeft w:val="0"/>
      <w:marRight w:val="0"/>
      <w:marTop w:val="0"/>
      <w:marBottom w:val="0"/>
      <w:divBdr>
        <w:top w:val="none" w:sz="0" w:space="0" w:color="auto"/>
        <w:left w:val="none" w:sz="0" w:space="0" w:color="auto"/>
        <w:bottom w:val="none" w:sz="0" w:space="0" w:color="auto"/>
        <w:right w:val="none" w:sz="0" w:space="0" w:color="auto"/>
      </w:divBdr>
    </w:div>
    <w:div w:id="677124878">
      <w:bodyDiv w:val="1"/>
      <w:marLeft w:val="0"/>
      <w:marRight w:val="0"/>
      <w:marTop w:val="0"/>
      <w:marBottom w:val="0"/>
      <w:divBdr>
        <w:top w:val="none" w:sz="0" w:space="0" w:color="auto"/>
        <w:left w:val="none" w:sz="0" w:space="0" w:color="auto"/>
        <w:bottom w:val="none" w:sz="0" w:space="0" w:color="auto"/>
        <w:right w:val="none" w:sz="0" w:space="0" w:color="auto"/>
      </w:divBdr>
    </w:div>
    <w:div w:id="743183819">
      <w:bodyDiv w:val="1"/>
      <w:marLeft w:val="0"/>
      <w:marRight w:val="0"/>
      <w:marTop w:val="0"/>
      <w:marBottom w:val="0"/>
      <w:divBdr>
        <w:top w:val="none" w:sz="0" w:space="0" w:color="auto"/>
        <w:left w:val="none" w:sz="0" w:space="0" w:color="auto"/>
        <w:bottom w:val="none" w:sz="0" w:space="0" w:color="auto"/>
        <w:right w:val="none" w:sz="0" w:space="0" w:color="auto"/>
      </w:divBdr>
    </w:div>
    <w:div w:id="840506363">
      <w:bodyDiv w:val="1"/>
      <w:marLeft w:val="0"/>
      <w:marRight w:val="0"/>
      <w:marTop w:val="0"/>
      <w:marBottom w:val="0"/>
      <w:divBdr>
        <w:top w:val="none" w:sz="0" w:space="0" w:color="auto"/>
        <w:left w:val="none" w:sz="0" w:space="0" w:color="auto"/>
        <w:bottom w:val="none" w:sz="0" w:space="0" w:color="auto"/>
        <w:right w:val="none" w:sz="0" w:space="0" w:color="auto"/>
      </w:divBdr>
    </w:div>
    <w:div w:id="936718516">
      <w:bodyDiv w:val="1"/>
      <w:marLeft w:val="0"/>
      <w:marRight w:val="0"/>
      <w:marTop w:val="0"/>
      <w:marBottom w:val="0"/>
      <w:divBdr>
        <w:top w:val="none" w:sz="0" w:space="0" w:color="auto"/>
        <w:left w:val="none" w:sz="0" w:space="0" w:color="auto"/>
        <w:bottom w:val="none" w:sz="0" w:space="0" w:color="auto"/>
        <w:right w:val="none" w:sz="0" w:space="0" w:color="auto"/>
      </w:divBdr>
    </w:div>
    <w:div w:id="1007632475">
      <w:bodyDiv w:val="1"/>
      <w:marLeft w:val="0"/>
      <w:marRight w:val="0"/>
      <w:marTop w:val="0"/>
      <w:marBottom w:val="0"/>
      <w:divBdr>
        <w:top w:val="none" w:sz="0" w:space="0" w:color="auto"/>
        <w:left w:val="none" w:sz="0" w:space="0" w:color="auto"/>
        <w:bottom w:val="none" w:sz="0" w:space="0" w:color="auto"/>
        <w:right w:val="none" w:sz="0" w:space="0" w:color="auto"/>
      </w:divBdr>
    </w:div>
    <w:div w:id="1119640053">
      <w:bodyDiv w:val="1"/>
      <w:marLeft w:val="0"/>
      <w:marRight w:val="0"/>
      <w:marTop w:val="0"/>
      <w:marBottom w:val="0"/>
      <w:divBdr>
        <w:top w:val="none" w:sz="0" w:space="0" w:color="auto"/>
        <w:left w:val="none" w:sz="0" w:space="0" w:color="auto"/>
        <w:bottom w:val="none" w:sz="0" w:space="0" w:color="auto"/>
        <w:right w:val="none" w:sz="0" w:space="0" w:color="auto"/>
      </w:divBdr>
    </w:div>
    <w:div w:id="1151556517">
      <w:bodyDiv w:val="1"/>
      <w:marLeft w:val="0"/>
      <w:marRight w:val="0"/>
      <w:marTop w:val="0"/>
      <w:marBottom w:val="0"/>
      <w:divBdr>
        <w:top w:val="none" w:sz="0" w:space="0" w:color="auto"/>
        <w:left w:val="none" w:sz="0" w:space="0" w:color="auto"/>
        <w:bottom w:val="none" w:sz="0" w:space="0" w:color="auto"/>
        <w:right w:val="none" w:sz="0" w:space="0" w:color="auto"/>
      </w:divBdr>
    </w:div>
    <w:div w:id="1156724519">
      <w:bodyDiv w:val="1"/>
      <w:marLeft w:val="0"/>
      <w:marRight w:val="0"/>
      <w:marTop w:val="0"/>
      <w:marBottom w:val="0"/>
      <w:divBdr>
        <w:top w:val="none" w:sz="0" w:space="0" w:color="auto"/>
        <w:left w:val="none" w:sz="0" w:space="0" w:color="auto"/>
        <w:bottom w:val="none" w:sz="0" w:space="0" w:color="auto"/>
        <w:right w:val="none" w:sz="0" w:space="0" w:color="auto"/>
      </w:divBdr>
    </w:div>
    <w:div w:id="1168978989">
      <w:bodyDiv w:val="1"/>
      <w:marLeft w:val="0"/>
      <w:marRight w:val="0"/>
      <w:marTop w:val="0"/>
      <w:marBottom w:val="0"/>
      <w:divBdr>
        <w:top w:val="none" w:sz="0" w:space="0" w:color="auto"/>
        <w:left w:val="none" w:sz="0" w:space="0" w:color="auto"/>
        <w:bottom w:val="none" w:sz="0" w:space="0" w:color="auto"/>
        <w:right w:val="none" w:sz="0" w:space="0" w:color="auto"/>
      </w:divBdr>
    </w:div>
    <w:div w:id="1267275027">
      <w:bodyDiv w:val="1"/>
      <w:marLeft w:val="0"/>
      <w:marRight w:val="0"/>
      <w:marTop w:val="0"/>
      <w:marBottom w:val="0"/>
      <w:divBdr>
        <w:top w:val="none" w:sz="0" w:space="0" w:color="auto"/>
        <w:left w:val="none" w:sz="0" w:space="0" w:color="auto"/>
        <w:bottom w:val="none" w:sz="0" w:space="0" w:color="auto"/>
        <w:right w:val="none" w:sz="0" w:space="0" w:color="auto"/>
      </w:divBdr>
    </w:div>
    <w:div w:id="1273704179">
      <w:bodyDiv w:val="1"/>
      <w:marLeft w:val="0"/>
      <w:marRight w:val="0"/>
      <w:marTop w:val="0"/>
      <w:marBottom w:val="0"/>
      <w:divBdr>
        <w:top w:val="none" w:sz="0" w:space="0" w:color="auto"/>
        <w:left w:val="none" w:sz="0" w:space="0" w:color="auto"/>
        <w:bottom w:val="none" w:sz="0" w:space="0" w:color="auto"/>
        <w:right w:val="none" w:sz="0" w:space="0" w:color="auto"/>
      </w:divBdr>
    </w:div>
    <w:div w:id="1439989075">
      <w:bodyDiv w:val="1"/>
      <w:marLeft w:val="0"/>
      <w:marRight w:val="0"/>
      <w:marTop w:val="0"/>
      <w:marBottom w:val="0"/>
      <w:divBdr>
        <w:top w:val="none" w:sz="0" w:space="0" w:color="auto"/>
        <w:left w:val="none" w:sz="0" w:space="0" w:color="auto"/>
        <w:bottom w:val="none" w:sz="0" w:space="0" w:color="auto"/>
        <w:right w:val="none" w:sz="0" w:space="0" w:color="auto"/>
      </w:divBdr>
    </w:div>
    <w:div w:id="1674840991">
      <w:bodyDiv w:val="1"/>
      <w:marLeft w:val="0"/>
      <w:marRight w:val="0"/>
      <w:marTop w:val="0"/>
      <w:marBottom w:val="0"/>
      <w:divBdr>
        <w:top w:val="none" w:sz="0" w:space="0" w:color="auto"/>
        <w:left w:val="none" w:sz="0" w:space="0" w:color="auto"/>
        <w:bottom w:val="none" w:sz="0" w:space="0" w:color="auto"/>
        <w:right w:val="none" w:sz="0" w:space="0" w:color="auto"/>
      </w:divBdr>
    </w:div>
    <w:div w:id="1767261864">
      <w:bodyDiv w:val="1"/>
      <w:marLeft w:val="0"/>
      <w:marRight w:val="0"/>
      <w:marTop w:val="0"/>
      <w:marBottom w:val="0"/>
      <w:divBdr>
        <w:top w:val="none" w:sz="0" w:space="0" w:color="auto"/>
        <w:left w:val="none" w:sz="0" w:space="0" w:color="auto"/>
        <w:bottom w:val="none" w:sz="0" w:space="0" w:color="auto"/>
        <w:right w:val="none" w:sz="0" w:space="0" w:color="auto"/>
      </w:divBdr>
    </w:div>
    <w:div w:id="1830632809">
      <w:bodyDiv w:val="1"/>
      <w:marLeft w:val="0"/>
      <w:marRight w:val="0"/>
      <w:marTop w:val="0"/>
      <w:marBottom w:val="0"/>
      <w:divBdr>
        <w:top w:val="none" w:sz="0" w:space="0" w:color="auto"/>
        <w:left w:val="none" w:sz="0" w:space="0" w:color="auto"/>
        <w:bottom w:val="none" w:sz="0" w:space="0" w:color="auto"/>
        <w:right w:val="none" w:sz="0" w:space="0" w:color="auto"/>
      </w:divBdr>
    </w:div>
    <w:div w:id="1832212529">
      <w:bodyDiv w:val="1"/>
      <w:marLeft w:val="0"/>
      <w:marRight w:val="0"/>
      <w:marTop w:val="0"/>
      <w:marBottom w:val="0"/>
      <w:divBdr>
        <w:top w:val="none" w:sz="0" w:space="0" w:color="auto"/>
        <w:left w:val="none" w:sz="0" w:space="0" w:color="auto"/>
        <w:bottom w:val="none" w:sz="0" w:space="0" w:color="auto"/>
        <w:right w:val="none" w:sz="0" w:space="0" w:color="auto"/>
      </w:divBdr>
    </w:div>
    <w:div w:id="2024546858">
      <w:bodyDiv w:val="1"/>
      <w:marLeft w:val="0"/>
      <w:marRight w:val="0"/>
      <w:marTop w:val="0"/>
      <w:marBottom w:val="0"/>
      <w:divBdr>
        <w:top w:val="none" w:sz="0" w:space="0" w:color="auto"/>
        <w:left w:val="none" w:sz="0" w:space="0" w:color="auto"/>
        <w:bottom w:val="none" w:sz="0" w:space="0" w:color="auto"/>
        <w:right w:val="none" w:sz="0" w:space="0" w:color="auto"/>
      </w:divBdr>
    </w:div>
    <w:div w:id="2040158675">
      <w:bodyDiv w:val="1"/>
      <w:marLeft w:val="0"/>
      <w:marRight w:val="0"/>
      <w:marTop w:val="0"/>
      <w:marBottom w:val="0"/>
      <w:divBdr>
        <w:top w:val="none" w:sz="0" w:space="0" w:color="auto"/>
        <w:left w:val="none" w:sz="0" w:space="0" w:color="auto"/>
        <w:bottom w:val="none" w:sz="0" w:space="0" w:color="auto"/>
        <w:right w:val="none" w:sz="0" w:space="0" w:color="auto"/>
      </w:divBdr>
    </w:div>
    <w:div w:id="21139378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ncbi.nlm.nih.gov/account/?back_url=https%3A%2F%2Fwww.ncbi.nlm.nih.gov%2Fmyncbi%2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vandeputte@naturalsciences.be" TargetMode="External"/><Relationship Id="rId11" Type="http://schemas.openxmlformats.org/officeDocument/2006/relationships/theme" Target="theme/theme1.xml"/><Relationship Id="rId5" Type="http://schemas.openxmlformats.org/officeDocument/2006/relationships/hyperlink" Target="mailto:msweetlove@naturalsciences.b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2033</TotalTime>
  <Pages>7</Pages>
  <Words>1984</Words>
  <Characters>11314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Maxime Sweetlove</cp:lastModifiedBy>
  <cp:revision>104</cp:revision>
  <dcterms:created xsi:type="dcterms:W3CDTF">2018-10-16T08:13:00Z</dcterms:created>
  <dcterms:modified xsi:type="dcterms:W3CDTF">2019-08-06T12:56:00Z</dcterms:modified>
</cp:coreProperties>
</file>