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D4BF" w14:textId="0FC0F7DE" w:rsidR="000253ED" w:rsidRPr="00FC7BA1" w:rsidRDefault="00D25569">
      <w:pPr>
        <w:pStyle w:val="berschrift3"/>
        <w:rPr>
          <w:rFonts w:asciiTheme="majorHAnsi" w:hAnsiTheme="majorHAnsi" w:cstheme="majorHAnsi"/>
          <w:sz w:val="22"/>
          <w:szCs w:val="22"/>
        </w:rPr>
        <w:sectPr w:rsidR="000253ED" w:rsidRPr="00FC7BA1" w:rsidSect="00C12FED">
          <w:footerReference w:type="default" r:id="rId7"/>
          <w:pgSz w:w="11906" w:h="16838"/>
          <w:pgMar w:top="1440" w:right="1440" w:bottom="1440" w:left="1440" w:header="0" w:footer="720" w:gutter="0"/>
          <w:pgNumType w:start="1"/>
          <w:cols w:space="720"/>
          <w:formProt w:val="0"/>
          <w:docGrid w:linePitch="100" w:charSpace="4096"/>
        </w:sectPr>
      </w:pPr>
      <w:r w:rsidRPr="00FC7BA1">
        <w:rPr>
          <w:rFonts w:asciiTheme="majorHAnsi" w:hAnsiTheme="majorHAnsi" w:cstheme="majorHAnsi"/>
          <w:sz w:val="22"/>
          <w:szCs w:val="22"/>
        </w:rPr>
        <w:softHyphen/>
      </w:r>
      <w:r w:rsidRPr="00FC7BA1">
        <w:rPr>
          <w:rFonts w:asciiTheme="majorHAnsi" w:hAnsiTheme="majorHAnsi" w:cstheme="majorHAnsi"/>
          <w:sz w:val="22"/>
          <w:szCs w:val="22"/>
        </w:rPr>
        <w:softHyphen/>
      </w:r>
      <w:r w:rsidRPr="00FC7BA1">
        <w:rPr>
          <w:rFonts w:asciiTheme="majorHAnsi" w:hAnsiTheme="majorHAnsi" w:cstheme="majorHAnsi"/>
          <w:sz w:val="22"/>
          <w:szCs w:val="22"/>
        </w:rPr>
        <w:softHyphen/>
      </w:r>
      <w:r w:rsidRPr="00FC7BA1">
        <w:rPr>
          <w:rFonts w:asciiTheme="majorHAnsi" w:hAnsiTheme="majorHAnsi" w:cstheme="majorHAnsi"/>
          <w:sz w:val="22"/>
          <w:szCs w:val="22"/>
        </w:rPr>
        <w:softHyphen/>
      </w:r>
      <w:r w:rsidR="000E3E11" w:rsidRPr="00FC7BA1">
        <w:rPr>
          <w:rFonts w:asciiTheme="majorHAnsi" w:hAnsiTheme="majorHAnsi" w:cstheme="majorHAnsi"/>
          <w:sz w:val="22"/>
          <w:szCs w:val="22"/>
        </w:rPr>
        <w:t xml:space="preserve">Data description: </w:t>
      </w:r>
      <w:r w:rsidR="0070282A" w:rsidRPr="00FC7BA1">
        <w:rPr>
          <w:rFonts w:asciiTheme="majorHAnsi" w:hAnsiTheme="majorHAnsi" w:cstheme="majorHAnsi"/>
          <w:sz w:val="22"/>
          <w:szCs w:val="22"/>
        </w:rPr>
        <w:t xml:space="preserve"> </w:t>
      </w:r>
    </w:p>
    <w:p w14:paraId="64268F35" w14:textId="2D72A382" w:rsidR="000253ED" w:rsidRPr="00FC7BA1" w:rsidRDefault="000E3E11">
      <w:pPr>
        <w:pStyle w:val="LO-normal"/>
        <w:rPr>
          <w:rFonts w:asciiTheme="majorHAnsi" w:hAnsiTheme="majorHAnsi" w:cstheme="majorHAnsi"/>
          <w:color w:val="666666"/>
        </w:rPr>
      </w:pPr>
      <w:r w:rsidRPr="00FC7BA1">
        <w:rPr>
          <w:rFonts w:asciiTheme="majorHAnsi" w:hAnsiTheme="majorHAnsi" w:cstheme="majorHAnsi"/>
          <w:b/>
        </w:rPr>
        <w:lastRenderedPageBreak/>
        <w:t>Supplementary Table 1</w:t>
      </w:r>
      <w:r w:rsidRPr="00FC7BA1">
        <w:rPr>
          <w:rFonts w:asciiTheme="majorHAnsi" w:hAnsiTheme="majorHAnsi" w:cstheme="majorHAnsi"/>
        </w:rPr>
        <w:t xml:space="preserve">: </w:t>
      </w:r>
      <w:r w:rsidR="00DE34CD" w:rsidRPr="00FC7BA1">
        <w:rPr>
          <w:rFonts w:asciiTheme="majorHAnsi" w:hAnsiTheme="majorHAnsi" w:cstheme="majorHAnsi"/>
        </w:rPr>
        <w:t>Overview about the used datasets in the analysis</w:t>
      </w:r>
      <w:r w:rsidRPr="00FC7BA1">
        <w:rPr>
          <w:rFonts w:asciiTheme="majorHAnsi" w:hAnsiTheme="majorHAnsi" w:cstheme="majorHAnsi"/>
        </w:rPr>
        <w:t xml:space="preserve">. We detail the </w:t>
      </w:r>
      <w:r w:rsidR="00DE34CD" w:rsidRPr="00FC7BA1">
        <w:rPr>
          <w:rFonts w:asciiTheme="majorHAnsi" w:hAnsiTheme="majorHAnsi" w:cstheme="majorHAnsi"/>
        </w:rPr>
        <w:t>parameters</w:t>
      </w:r>
      <w:r w:rsidRPr="00FC7BA1">
        <w:rPr>
          <w:rFonts w:asciiTheme="majorHAnsi" w:hAnsiTheme="majorHAnsi" w:cstheme="majorHAnsi"/>
        </w:rPr>
        <w:t xml:space="preserve"> included in the main analysis</w:t>
      </w:r>
      <w:r w:rsidR="00DE34CD" w:rsidRPr="00FC7BA1">
        <w:rPr>
          <w:rFonts w:asciiTheme="majorHAnsi" w:hAnsiTheme="majorHAnsi" w:cstheme="majorHAnsi"/>
        </w:rPr>
        <w:t xml:space="preserve"> </w:t>
      </w:r>
      <w:r w:rsidR="00EC0B4A" w:rsidRPr="00FC7BA1">
        <w:rPr>
          <w:rFonts w:asciiTheme="majorHAnsi" w:hAnsiTheme="majorHAnsi" w:cstheme="majorHAnsi"/>
        </w:rPr>
        <w:t>by their type as response, main explanatory variable and covariate</w:t>
      </w:r>
      <w:r w:rsidRPr="00FC7BA1">
        <w:rPr>
          <w:rFonts w:asciiTheme="majorHAnsi" w:hAnsiTheme="majorHAnsi" w:cstheme="majorHAnsi"/>
        </w:rPr>
        <w:t xml:space="preserve">. All listed variables are part of </w:t>
      </w:r>
      <w:r w:rsidR="00DE34CD" w:rsidRPr="00FC7BA1">
        <w:rPr>
          <w:rFonts w:asciiTheme="majorHAnsi" w:hAnsiTheme="majorHAnsi" w:cstheme="majorHAnsi"/>
        </w:rPr>
        <w:t>datasets archived in the data</w:t>
      </w:r>
      <w:r w:rsidR="005B1B7D" w:rsidRPr="00FC7BA1">
        <w:rPr>
          <w:rFonts w:asciiTheme="majorHAnsi" w:hAnsiTheme="majorHAnsi" w:cstheme="majorHAnsi"/>
        </w:rPr>
        <w:t>base</w:t>
      </w:r>
      <w:r w:rsidRPr="00FC7BA1">
        <w:rPr>
          <w:rFonts w:asciiTheme="majorHAnsi" w:hAnsiTheme="majorHAnsi" w:cstheme="majorHAnsi"/>
        </w:rPr>
        <w:t xml:space="preserve"> BExIS</w:t>
      </w:r>
      <w:r w:rsidR="005B1B7D" w:rsidRPr="00FC7BA1">
        <w:rPr>
          <w:rFonts w:asciiTheme="majorHAnsi" w:hAnsiTheme="majorHAnsi" w:cstheme="majorHAnsi"/>
        </w:rPr>
        <w:t xml:space="preserve"> </w:t>
      </w:r>
      <w:r w:rsidR="00462043" w:rsidRPr="00FC7BA1">
        <w:rPr>
          <w:rFonts w:asciiTheme="majorHAnsi" w:hAnsiTheme="majorHAnsi" w:cstheme="majorHAnsi"/>
        </w:rPr>
        <w:t>(</w:t>
      </w:r>
      <w:r w:rsidR="00462043" w:rsidRPr="00FC7BA1">
        <w:rPr>
          <w:rFonts w:asciiTheme="majorHAnsi" w:hAnsiTheme="majorHAnsi" w:cstheme="majorHAnsi"/>
        </w:rPr>
        <w:t>https://www.bexis.uni-jena.de/</w:t>
      </w:r>
      <w:r w:rsidR="00462043" w:rsidRPr="00FC7BA1">
        <w:rPr>
          <w:rFonts w:asciiTheme="majorHAnsi" w:hAnsiTheme="majorHAnsi" w:cstheme="majorHAnsi"/>
        </w:rPr>
        <w:t>) f</w:t>
      </w:r>
      <w:r w:rsidR="005B1B7D" w:rsidRPr="00FC7BA1">
        <w:rPr>
          <w:rFonts w:asciiTheme="majorHAnsi" w:hAnsiTheme="majorHAnsi" w:cstheme="majorHAnsi"/>
        </w:rPr>
        <w:t>rom the Biodiversity Exploratory infrastructure project</w:t>
      </w:r>
      <w:r w:rsidR="00462043" w:rsidRPr="00FC7BA1">
        <w:rPr>
          <w:rFonts w:asciiTheme="majorHAnsi" w:hAnsiTheme="majorHAnsi" w:cstheme="majorHAnsi"/>
        </w:rPr>
        <w:t xml:space="preserve"> (</w:t>
      </w:r>
      <w:r w:rsidR="00462043" w:rsidRPr="00FC7BA1">
        <w:rPr>
          <w:rFonts w:asciiTheme="majorHAnsi" w:hAnsiTheme="majorHAnsi" w:cstheme="majorHAnsi"/>
        </w:rPr>
        <w:t>https://www.biodiversity-exploratories.de/</w:t>
      </w:r>
      <w:r w:rsidR="00462043" w:rsidRPr="00FC7BA1">
        <w:rPr>
          <w:rFonts w:asciiTheme="majorHAnsi" w:hAnsiTheme="majorHAnsi" w:cstheme="majorHAnsi"/>
        </w:rPr>
        <w:t>)</w:t>
      </w:r>
      <w:r w:rsidRPr="00FC7BA1">
        <w:rPr>
          <w:rFonts w:asciiTheme="majorHAnsi" w:hAnsiTheme="majorHAnsi" w:cstheme="majorHAnsi"/>
        </w:rPr>
        <w:t xml:space="preserve">, the variables without entry for Dataset ID are general for all Biodiversity Exploratories </w:t>
      </w:r>
      <w:r w:rsidR="005B1B7D" w:rsidRPr="00FC7BA1">
        <w:rPr>
          <w:rFonts w:asciiTheme="majorHAnsi" w:hAnsiTheme="majorHAnsi" w:cstheme="majorHAnsi"/>
        </w:rPr>
        <w:t xml:space="preserve">contributing </w:t>
      </w:r>
      <w:r w:rsidRPr="00FC7BA1">
        <w:rPr>
          <w:rFonts w:asciiTheme="majorHAnsi" w:hAnsiTheme="majorHAnsi" w:cstheme="majorHAnsi"/>
        </w:rPr>
        <w:t>projects.</w:t>
      </w:r>
    </w:p>
    <w:p w14:paraId="3650CCB4" w14:textId="77777777" w:rsidR="000253ED" w:rsidRPr="00676C22" w:rsidRDefault="000253ED">
      <w:pPr>
        <w:pStyle w:val="LO-normal"/>
        <w:rPr>
          <w:rFonts w:asciiTheme="majorHAnsi" w:hAnsiTheme="majorHAnsi" w:cstheme="majorHAnsi"/>
          <w:sz w:val="18"/>
          <w:szCs w:val="18"/>
        </w:rPr>
      </w:pPr>
    </w:p>
    <w:tbl>
      <w:tblPr>
        <w:tblStyle w:val="TableNormal"/>
        <w:tblW w:w="5000" w:type="pct"/>
        <w:tblInd w:w="0" w:type="dxa"/>
        <w:tblCellMar>
          <w:top w:w="40" w:type="dxa"/>
          <w:left w:w="40" w:type="dxa"/>
          <w:bottom w:w="40" w:type="dxa"/>
          <w:right w:w="40" w:type="dxa"/>
        </w:tblCellMar>
        <w:tblLook w:val="0600" w:firstRow="0" w:lastRow="0" w:firstColumn="0" w:lastColumn="0" w:noHBand="1" w:noVBand="1"/>
      </w:tblPr>
      <w:tblGrid>
        <w:gridCol w:w="2668"/>
        <w:gridCol w:w="1428"/>
        <w:gridCol w:w="1025"/>
        <w:gridCol w:w="754"/>
        <w:gridCol w:w="3215"/>
        <w:gridCol w:w="969"/>
        <w:gridCol w:w="1489"/>
        <w:gridCol w:w="1917"/>
        <w:gridCol w:w="1917"/>
      </w:tblGrid>
      <w:tr w:rsidR="000C1D62" w:rsidRPr="00665321" w14:paraId="6B3C4382" w14:textId="77777777" w:rsidTr="00696C0D">
        <w:trPr>
          <w:trHeight w:val="900"/>
        </w:trPr>
        <w:tc>
          <w:tcPr>
            <w:tcW w:w="867" w:type="pct"/>
            <w:tcBorders>
              <w:top w:val="single" w:sz="6" w:space="0" w:color="000000"/>
              <w:left w:val="single" w:sz="6" w:space="0" w:color="000000"/>
              <w:bottom w:val="single" w:sz="6" w:space="0" w:color="000000"/>
              <w:right w:val="single" w:sz="6" w:space="0" w:color="000000"/>
            </w:tcBorders>
            <w:shd w:val="clear" w:color="auto" w:fill="FFFFFF"/>
          </w:tcPr>
          <w:p w14:paraId="54C9F72C" w14:textId="3D59C972"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eastAsia="Arial" w:hAnsiTheme="majorHAnsi" w:cstheme="majorHAnsi"/>
                <w:b/>
                <w:bCs/>
                <w:sz w:val="18"/>
                <w:szCs w:val="18"/>
              </w:rPr>
              <w:t>Study parameters</w:t>
            </w:r>
          </w:p>
        </w:tc>
        <w:tc>
          <w:tcPr>
            <w:tcW w:w="464" w:type="pct"/>
            <w:tcBorders>
              <w:top w:val="single" w:sz="6" w:space="0" w:color="000000"/>
              <w:left w:val="single" w:sz="6" w:space="0" w:color="000000"/>
              <w:bottom w:val="single" w:sz="6" w:space="0" w:color="000000"/>
              <w:right w:val="single" w:sz="6" w:space="0" w:color="000000"/>
            </w:tcBorders>
            <w:shd w:val="clear" w:color="auto" w:fill="FFFFFF"/>
          </w:tcPr>
          <w:p w14:paraId="4B2CC99C" w14:textId="5B17EB2A" w:rsidR="0097297B" w:rsidRPr="00665321" w:rsidRDefault="0097297B" w:rsidP="00696C0D">
            <w:pPr>
              <w:pStyle w:val="LO-normal"/>
              <w:rPr>
                <w:rFonts w:asciiTheme="majorHAnsi" w:hAnsiTheme="majorHAnsi" w:cstheme="majorHAnsi"/>
                <w:b/>
                <w:bCs/>
                <w:sz w:val="18"/>
                <w:szCs w:val="18"/>
              </w:rPr>
            </w:pPr>
            <w:r w:rsidRPr="00665321">
              <w:rPr>
                <w:rFonts w:asciiTheme="majorHAnsi" w:hAnsiTheme="majorHAnsi" w:cstheme="majorHAnsi"/>
                <w:b/>
                <w:bCs/>
                <w:sz w:val="18"/>
                <w:szCs w:val="18"/>
              </w:rPr>
              <w:t>Type of parameter</w:t>
            </w:r>
          </w:p>
        </w:tc>
        <w:tc>
          <w:tcPr>
            <w:tcW w:w="333" w:type="pct"/>
            <w:tcBorders>
              <w:top w:val="single" w:sz="6" w:space="0" w:color="000000"/>
              <w:left w:val="single" w:sz="6" w:space="0" w:color="000000"/>
              <w:bottom w:val="single" w:sz="6" w:space="0" w:color="000000"/>
              <w:right w:val="single" w:sz="6" w:space="0" w:color="000000"/>
            </w:tcBorders>
            <w:shd w:val="clear" w:color="auto" w:fill="FFFFFF"/>
          </w:tcPr>
          <w:p w14:paraId="103F3540" w14:textId="497694FF"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Number of plots</w:t>
            </w:r>
          </w:p>
        </w:tc>
        <w:tc>
          <w:tcPr>
            <w:tcW w:w="245" w:type="pct"/>
            <w:tcBorders>
              <w:top w:val="single" w:sz="6" w:space="0" w:color="000000"/>
              <w:left w:val="single" w:sz="6" w:space="0" w:color="000000"/>
              <w:bottom w:val="single" w:sz="6" w:space="0" w:color="000000"/>
              <w:right w:val="single" w:sz="6" w:space="0" w:color="000000"/>
            </w:tcBorders>
            <w:shd w:val="clear" w:color="auto" w:fill="FFFFFF"/>
          </w:tcPr>
          <w:p w14:paraId="63EA87FA" w14:textId="77777777"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Year</w:t>
            </w:r>
          </w:p>
        </w:tc>
        <w:tc>
          <w:tcPr>
            <w:tcW w:w="1045" w:type="pct"/>
            <w:tcBorders>
              <w:top w:val="single" w:sz="6" w:space="0" w:color="000000"/>
              <w:left w:val="single" w:sz="6" w:space="0" w:color="000000"/>
              <w:bottom w:val="single" w:sz="6" w:space="0" w:color="000000"/>
              <w:right w:val="single" w:sz="6" w:space="0" w:color="000000"/>
            </w:tcBorders>
            <w:shd w:val="clear" w:color="auto" w:fill="FFFFFF"/>
          </w:tcPr>
          <w:p w14:paraId="376F76B6" w14:textId="77777777"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Sampling method [units]</w:t>
            </w:r>
          </w:p>
        </w:tc>
        <w:tc>
          <w:tcPr>
            <w:tcW w:w="315" w:type="pct"/>
            <w:tcBorders>
              <w:top w:val="single" w:sz="6" w:space="0" w:color="000000"/>
              <w:left w:val="single" w:sz="6" w:space="0" w:color="000000"/>
              <w:bottom w:val="single" w:sz="6" w:space="0" w:color="000000"/>
              <w:right w:val="single" w:sz="6" w:space="0" w:color="000000"/>
            </w:tcBorders>
            <w:shd w:val="clear" w:color="auto" w:fill="FFFFFF"/>
          </w:tcPr>
          <w:p w14:paraId="44519C18" w14:textId="77777777"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Dataset ID</w:t>
            </w:r>
          </w:p>
        </w:tc>
        <w:tc>
          <w:tcPr>
            <w:tcW w:w="484" w:type="pct"/>
            <w:tcBorders>
              <w:top w:val="single" w:sz="6" w:space="0" w:color="000000"/>
              <w:left w:val="single" w:sz="6" w:space="0" w:color="000000"/>
              <w:bottom w:val="single" w:sz="6" w:space="0" w:color="000000"/>
              <w:right w:val="single" w:sz="6" w:space="0" w:color="000000"/>
            </w:tcBorders>
            <w:shd w:val="clear" w:color="auto" w:fill="FFFFFF"/>
          </w:tcPr>
          <w:p w14:paraId="09DE271A" w14:textId="77777777"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Data Contact person</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2A8ED6E1" w14:textId="56BD40EA"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Project name</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44D645B0" w14:textId="77777777" w:rsidR="0097297B" w:rsidRPr="00665321" w:rsidRDefault="0097297B" w:rsidP="00696C0D">
            <w:pPr>
              <w:pStyle w:val="LO-normal"/>
              <w:rPr>
                <w:rFonts w:asciiTheme="majorHAnsi" w:eastAsia="Arial" w:hAnsiTheme="majorHAnsi" w:cstheme="majorHAnsi"/>
                <w:b/>
                <w:bCs/>
                <w:sz w:val="18"/>
                <w:szCs w:val="18"/>
              </w:rPr>
            </w:pPr>
            <w:r w:rsidRPr="00665321">
              <w:rPr>
                <w:rFonts w:asciiTheme="majorHAnsi" w:hAnsiTheme="majorHAnsi" w:cstheme="majorHAnsi"/>
                <w:b/>
                <w:bCs/>
                <w:sz w:val="18"/>
                <w:szCs w:val="18"/>
              </w:rPr>
              <w:t>References</w:t>
            </w:r>
          </w:p>
        </w:tc>
      </w:tr>
      <w:tr w:rsidR="000C1D62" w:rsidRPr="00462043" w14:paraId="28B41ADD" w14:textId="77777777" w:rsidTr="00696C0D">
        <w:trPr>
          <w:trHeight w:val="780"/>
        </w:trPr>
        <w:tc>
          <w:tcPr>
            <w:tcW w:w="867" w:type="pct"/>
            <w:tcBorders>
              <w:top w:val="single" w:sz="6" w:space="0" w:color="000000"/>
              <w:left w:val="single" w:sz="6" w:space="0" w:color="000000"/>
              <w:bottom w:val="single" w:sz="6" w:space="0" w:color="000000"/>
              <w:right w:val="single" w:sz="6" w:space="0" w:color="000000"/>
            </w:tcBorders>
            <w:shd w:val="clear" w:color="auto" w:fill="FFFFFF"/>
          </w:tcPr>
          <w:p w14:paraId="01F6B283" w14:textId="5210F7BA"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Plant communities</w:t>
            </w:r>
            <w:r w:rsidRPr="00676C22">
              <w:rPr>
                <w:rFonts w:asciiTheme="majorHAnsi" w:eastAsia="Arial" w:hAnsiTheme="majorHAnsi" w:cstheme="majorHAnsi"/>
                <w:sz w:val="18"/>
                <w:szCs w:val="18"/>
              </w:rPr>
              <w:t xml:space="preserve"> </w:t>
            </w:r>
          </w:p>
        </w:tc>
        <w:tc>
          <w:tcPr>
            <w:tcW w:w="464" w:type="pct"/>
            <w:tcBorders>
              <w:top w:val="single" w:sz="6" w:space="0" w:color="000000"/>
              <w:left w:val="single" w:sz="6" w:space="0" w:color="000000"/>
              <w:bottom w:val="single" w:sz="6" w:space="0" w:color="000000"/>
              <w:right w:val="single" w:sz="6" w:space="0" w:color="000000"/>
            </w:tcBorders>
            <w:shd w:val="clear" w:color="auto" w:fill="FFFFFF"/>
          </w:tcPr>
          <w:p w14:paraId="3EE3A5B1" w14:textId="67695B22" w:rsidR="0097297B" w:rsidRPr="00676C22" w:rsidRDefault="0097297B" w:rsidP="00696C0D">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 xml:space="preserve">Response </w:t>
            </w:r>
          </w:p>
        </w:tc>
        <w:tc>
          <w:tcPr>
            <w:tcW w:w="333" w:type="pct"/>
            <w:tcBorders>
              <w:top w:val="single" w:sz="6" w:space="0" w:color="000000"/>
              <w:left w:val="single" w:sz="6" w:space="0" w:color="000000"/>
              <w:bottom w:val="single" w:sz="6" w:space="0" w:color="000000"/>
              <w:right w:val="single" w:sz="6" w:space="0" w:color="000000"/>
            </w:tcBorders>
            <w:shd w:val="clear" w:color="auto" w:fill="FFFFFF"/>
          </w:tcPr>
          <w:p w14:paraId="3E585257" w14:textId="256029C6"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150</w:t>
            </w:r>
          </w:p>
        </w:tc>
        <w:tc>
          <w:tcPr>
            <w:tcW w:w="245" w:type="pct"/>
            <w:tcBorders>
              <w:top w:val="single" w:sz="6" w:space="0" w:color="000000"/>
              <w:left w:val="single" w:sz="6" w:space="0" w:color="000000"/>
              <w:bottom w:val="single" w:sz="6" w:space="0" w:color="000000"/>
              <w:right w:val="single" w:sz="6" w:space="0" w:color="000000"/>
            </w:tcBorders>
            <w:shd w:val="clear" w:color="auto" w:fill="FFFFFF"/>
          </w:tcPr>
          <w:p w14:paraId="5D5BA1AE" w14:textId="41003915"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2008-2018</w:t>
            </w:r>
          </w:p>
        </w:tc>
        <w:tc>
          <w:tcPr>
            <w:tcW w:w="1045" w:type="pct"/>
            <w:tcBorders>
              <w:top w:val="single" w:sz="6" w:space="0" w:color="000000"/>
              <w:left w:val="single" w:sz="6" w:space="0" w:color="000000"/>
              <w:bottom w:val="single" w:sz="6" w:space="0" w:color="000000"/>
              <w:right w:val="single" w:sz="6" w:space="0" w:color="000000"/>
            </w:tcBorders>
            <w:shd w:val="clear" w:color="auto" w:fill="FFFFFF"/>
          </w:tcPr>
          <w:p w14:paraId="52BBF48C" w14:textId="729CDA1C" w:rsidR="0097297B" w:rsidRPr="00676C22" w:rsidRDefault="0097297B" w:rsidP="00696C0D">
            <w:pPr>
              <w:pStyle w:val="LO-normal"/>
              <w:widowControl w:val="0"/>
              <w:rPr>
                <w:rFonts w:asciiTheme="majorHAnsi" w:hAnsiTheme="majorHAnsi" w:cstheme="majorHAnsi"/>
                <w:sz w:val="18"/>
                <w:szCs w:val="18"/>
              </w:rPr>
            </w:pPr>
            <w:r w:rsidRPr="00676C22">
              <w:rPr>
                <w:rFonts w:asciiTheme="majorHAnsi" w:hAnsiTheme="majorHAnsi" w:cstheme="majorHAnsi"/>
                <w:sz w:val="18"/>
                <w:szCs w:val="18"/>
              </w:rPr>
              <w:t>Vascular plants were sampled in 4 m × 4 m subplots in each plot once every year in early summer. Data on relative abundance of occurring species was used to calculate indices of α and β diversity.</w:t>
            </w:r>
          </w:p>
        </w:tc>
        <w:tc>
          <w:tcPr>
            <w:tcW w:w="315" w:type="pct"/>
            <w:tcBorders>
              <w:top w:val="single" w:sz="6" w:space="0" w:color="000000"/>
              <w:left w:val="single" w:sz="6" w:space="0" w:color="000000"/>
              <w:bottom w:val="single" w:sz="6" w:space="0" w:color="000000"/>
              <w:right w:val="single" w:sz="6" w:space="0" w:color="000000"/>
            </w:tcBorders>
            <w:shd w:val="clear" w:color="auto" w:fill="FFFFFF"/>
          </w:tcPr>
          <w:p w14:paraId="4191B1D6" w14:textId="10FC5D32" w:rsidR="0097297B" w:rsidRPr="00676C22" w:rsidRDefault="0097297B" w:rsidP="00696C0D">
            <w:pPr>
              <w:pStyle w:val="LO-normal"/>
              <w:rPr>
                <w:rFonts w:asciiTheme="majorHAnsi" w:hAnsiTheme="majorHAnsi" w:cstheme="majorHAnsi"/>
                <w:sz w:val="18"/>
                <w:szCs w:val="18"/>
              </w:rPr>
            </w:pPr>
            <w:r w:rsidRPr="00676C22">
              <w:rPr>
                <w:rFonts w:asciiTheme="majorHAnsi" w:hAnsiTheme="majorHAnsi" w:cstheme="majorHAnsi"/>
                <w:sz w:val="18"/>
                <w:szCs w:val="18"/>
              </w:rPr>
              <w:t>24247</w:t>
            </w:r>
          </w:p>
        </w:tc>
        <w:tc>
          <w:tcPr>
            <w:tcW w:w="484" w:type="pct"/>
            <w:tcBorders>
              <w:top w:val="single" w:sz="6" w:space="0" w:color="000000"/>
              <w:left w:val="single" w:sz="6" w:space="0" w:color="000000"/>
              <w:bottom w:val="single" w:sz="6" w:space="0" w:color="000000"/>
              <w:right w:val="single" w:sz="6" w:space="0" w:color="000000"/>
            </w:tcBorders>
            <w:shd w:val="clear" w:color="auto" w:fill="FFFFFF"/>
          </w:tcPr>
          <w:p w14:paraId="0D60373C" w14:textId="54C7D5FD" w:rsidR="0097297B" w:rsidRPr="00676C22" w:rsidRDefault="000E5A89" w:rsidP="00696C0D">
            <w:pPr>
              <w:pStyle w:val="LO-normal"/>
              <w:rPr>
                <w:rFonts w:asciiTheme="majorHAnsi" w:eastAsia="Arial" w:hAnsiTheme="majorHAnsi" w:cstheme="majorHAnsi"/>
                <w:sz w:val="18"/>
                <w:szCs w:val="18"/>
              </w:rPr>
            </w:pPr>
            <w:r>
              <w:rPr>
                <w:rFonts w:asciiTheme="majorHAnsi" w:hAnsiTheme="majorHAnsi" w:cstheme="majorHAnsi"/>
                <w:sz w:val="18"/>
                <w:szCs w:val="18"/>
              </w:rPr>
              <w:t xml:space="preserve">Ralph </w:t>
            </w:r>
            <w:proofErr w:type="spellStart"/>
            <w:r>
              <w:rPr>
                <w:rFonts w:asciiTheme="majorHAnsi" w:hAnsiTheme="majorHAnsi" w:cstheme="majorHAnsi"/>
                <w:sz w:val="18"/>
                <w:szCs w:val="18"/>
              </w:rPr>
              <w:t>Bolliger</w:t>
            </w:r>
            <w:proofErr w:type="spellEnd"/>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3F33C021" w14:textId="77777777"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Botany (core)</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04AB2EB6" w14:textId="308BA759" w:rsidR="009E6DB7" w:rsidRPr="00462043" w:rsidRDefault="009E6DB7" w:rsidP="00696C0D">
            <w:pPr>
              <w:pStyle w:val="LO-normal"/>
              <w:rPr>
                <w:rFonts w:asciiTheme="majorHAnsi" w:hAnsiTheme="majorHAnsi" w:cstheme="majorHAnsi"/>
                <w:i/>
                <w:iCs/>
                <w:sz w:val="18"/>
                <w:szCs w:val="18"/>
              </w:rPr>
            </w:pPr>
            <w:r w:rsidRPr="00462043">
              <w:rPr>
                <w:rFonts w:asciiTheme="majorHAnsi" w:hAnsiTheme="majorHAnsi" w:cstheme="majorHAnsi"/>
                <w:i/>
                <w:iCs/>
                <w:sz w:val="18"/>
                <w:szCs w:val="18"/>
              </w:rPr>
              <w:t>Datasets:</w:t>
            </w:r>
          </w:p>
          <w:p w14:paraId="789FDD91" w14:textId="78188BB5" w:rsidR="009E6DB7" w:rsidRPr="00462043" w:rsidRDefault="00793D2A" w:rsidP="00696C0D">
            <w:pPr>
              <w:pStyle w:val="LO-normal"/>
              <w:rPr>
                <w:rFonts w:asciiTheme="majorHAnsi" w:hAnsiTheme="majorHAnsi" w:cstheme="majorHAnsi"/>
                <w:sz w:val="18"/>
                <w:szCs w:val="18"/>
              </w:rPr>
            </w:pPr>
            <w:proofErr w:type="spellStart"/>
            <w:r w:rsidRPr="00462043">
              <w:rPr>
                <w:rFonts w:asciiTheme="majorHAnsi" w:hAnsiTheme="majorHAnsi" w:cstheme="majorHAnsi"/>
                <w:sz w:val="18"/>
                <w:szCs w:val="18"/>
              </w:rPr>
              <w:t>Bolliger</w:t>
            </w:r>
            <w:proofErr w:type="spellEnd"/>
            <w:r w:rsidRPr="00462043">
              <w:rPr>
                <w:rFonts w:asciiTheme="majorHAnsi" w:hAnsiTheme="majorHAnsi" w:cstheme="majorHAnsi"/>
                <w:sz w:val="18"/>
                <w:szCs w:val="18"/>
              </w:rPr>
              <w:t xml:space="preserve"> et al. 2020</w:t>
            </w:r>
          </w:p>
          <w:p w14:paraId="60B4A759" w14:textId="77777777" w:rsidR="00793D2A" w:rsidRPr="00462043" w:rsidRDefault="00793D2A" w:rsidP="00696C0D">
            <w:pPr>
              <w:pStyle w:val="LO-normal"/>
              <w:rPr>
                <w:rFonts w:asciiTheme="majorHAnsi" w:hAnsiTheme="majorHAnsi" w:cstheme="majorHAnsi"/>
                <w:sz w:val="18"/>
                <w:szCs w:val="18"/>
              </w:rPr>
            </w:pPr>
          </w:p>
          <w:p w14:paraId="3AC85B13" w14:textId="70DF646E" w:rsidR="009E6DB7" w:rsidRPr="009E6DB7" w:rsidRDefault="009E6DB7" w:rsidP="00696C0D">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3F5E88D5" w14:textId="49B37563" w:rsidR="0097297B" w:rsidRPr="00462043" w:rsidRDefault="0097297B" w:rsidP="00696C0D">
            <w:pPr>
              <w:pStyle w:val="LO-normal"/>
              <w:rPr>
                <w:rFonts w:asciiTheme="majorHAnsi" w:hAnsiTheme="majorHAnsi" w:cstheme="majorHAnsi"/>
                <w:sz w:val="18"/>
                <w:szCs w:val="18"/>
                <w:lang w:val="de-DE"/>
              </w:rPr>
            </w:pPr>
            <w:r w:rsidRPr="00462043">
              <w:rPr>
                <w:rFonts w:asciiTheme="majorHAnsi" w:hAnsiTheme="majorHAnsi" w:cstheme="majorHAnsi"/>
                <w:sz w:val="18"/>
                <w:szCs w:val="18"/>
                <w:lang w:val="de-DE"/>
              </w:rPr>
              <w:t>e.g. Socher et al. 2012</w:t>
            </w:r>
          </w:p>
        </w:tc>
      </w:tr>
      <w:tr w:rsidR="000C1D62" w:rsidRPr="00462043" w14:paraId="5C75C7EE" w14:textId="77777777" w:rsidTr="00696C0D">
        <w:trPr>
          <w:trHeight w:val="780"/>
        </w:trPr>
        <w:tc>
          <w:tcPr>
            <w:tcW w:w="867" w:type="pct"/>
            <w:tcBorders>
              <w:top w:val="single" w:sz="6" w:space="0" w:color="000000"/>
              <w:left w:val="single" w:sz="6" w:space="0" w:color="000000"/>
              <w:bottom w:val="single" w:sz="6" w:space="0" w:color="000000"/>
              <w:right w:val="single" w:sz="6" w:space="0" w:color="000000"/>
            </w:tcBorders>
            <w:shd w:val="clear" w:color="auto" w:fill="FFFFFF"/>
          </w:tcPr>
          <w:p w14:paraId="20774EB4" w14:textId="112DFC4E"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Arthropod communities</w:t>
            </w:r>
          </w:p>
        </w:tc>
        <w:tc>
          <w:tcPr>
            <w:tcW w:w="464" w:type="pct"/>
            <w:tcBorders>
              <w:top w:val="single" w:sz="6" w:space="0" w:color="000000"/>
              <w:left w:val="single" w:sz="6" w:space="0" w:color="000000"/>
              <w:bottom w:val="single" w:sz="6" w:space="0" w:color="000000"/>
              <w:right w:val="single" w:sz="6" w:space="0" w:color="000000"/>
            </w:tcBorders>
            <w:shd w:val="clear" w:color="auto" w:fill="FFFFFF"/>
          </w:tcPr>
          <w:p w14:paraId="22251C05" w14:textId="2E65EF11" w:rsidR="0097297B" w:rsidRPr="00676C22" w:rsidRDefault="00431201" w:rsidP="00696C0D">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R</w:t>
            </w:r>
            <w:r w:rsidR="0097297B" w:rsidRPr="00676C22">
              <w:rPr>
                <w:rFonts w:asciiTheme="majorHAnsi" w:eastAsia="Arial" w:hAnsiTheme="majorHAnsi" w:cstheme="majorHAnsi"/>
                <w:sz w:val="18"/>
                <w:szCs w:val="18"/>
              </w:rPr>
              <w:t>esponse</w:t>
            </w:r>
          </w:p>
        </w:tc>
        <w:tc>
          <w:tcPr>
            <w:tcW w:w="333" w:type="pct"/>
            <w:tcBorders>
              <w:top w:val="single" w:sz="6" w:space="0" w:color="000000"/>
              <w:left w:val="single" w:sz="6" w:space="0" w:color="000000"/>
              <w:bottom w:val="single" w:sz="6" w:space="0" w:color="000000"/>
              <w:right w:val="single" w:sz="6" w:space="0" w:color="000000"/>
            </w:tcBorders>
            <w:shd w:val="clear" w:color="auto" w:fill="FFFFFF"/>
          </w:tcPr>
          <w:p w14:paraId="04B0A404" w14:textId="3AE1CD41" w:rsidR="0097297B" w:rsidRPr="00676C22" w:rsidRDefault="00431201" w:rsidP="00696C0D">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150</w:t>
            </w:r>
          </w:p>
        </w:tc>
        <w:tc>
          <w:tcPr>
            <w:tcW w:w="245" w:type="pct"/>
            <w:tcBorders>
              <w:top w:val="single" w:sz="6" w:space="0" w:color="000000"/>
              <w:left w:val="single" w:sz="6" w:space="0" w:color="000000"/>
              <w:bottom w:val="single" w:sz="6" w:space="0" w:color="000000"/>
              <w:right w:val="single" w:sz="6" w:space="0" w:color="000000"/>
            </w:tcBorders>
            <w:shd w:val="clear" w:color="auto" w:fill="FFFFFF"/>
          </w:tcPr>
          <w:p w14:paraId="0790E9C6" w14:textId="2BE46740"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2008-2017</w:t>
            </w:r>
          </w:p>
        </w:tc>
        <w:tc>
          <w:tcPr>
            <w:tcW w:w="1045" w:type="pct"/>
            <w:tcBorders>
              <w:top w:val="single" w:sz="6" w:space="0" w:color="000000"/>
              <w:left w:val="single" w:sz="6" w:space="0" w:color="000000"/>
              <w:bottom w:val="single" w:sz="6" w:space="0" w:color="000000"/>
              <w:right w:val="single" w:sz="6" w:space="0" w:color="000000"/>
            </w:tcBorders>
            <w:shd w:val="clear" w:color="auto" w:fill="FFFFFF"/>
          </w:tcPr>
          <w:p w14:paraId="05C2D9F0" w14:textId="77777777" w:rsidR="0097297B" w:rsidRPr="00676C22" w:rsidRDefault="0097297B" w:rsidP="00696C0D">
            <w:pPr>
              <w:pStyle w:val="LO-normal"/>
              <w:widowControl w:val="0"/>
              <w:rPr>
                <w:rFonts w:asciiTheme="majorHAnsi" w:hAnsiTheme="majorHAnsi" w:cstheme="majorHAnsi"/>
                <w:sz w:val="18"/>
                <w:szCs w:val="18"/>
              </w:rPr>
            </w:pPr>
            <w:r w:rsidRPr="00676C22">
              <w:rPr>
                <w:rFonts w:asciiTheme="majorHAnsi" w:hAnsiTheme="majorHAnsi" w:cstheme="majorHAnsi"/>
                <w:sz w:val="18"/>
                <w:szCs w:val="18"/>
              </w:rPr>
              <w:t>Arthropods were sampled by sweep netting along a 150-m long transect</w:t>
            </w:r>
          </w:p>
          <w:p w14:paraId="1F2F7C5E" w14:textId="77777777" w:rsidR="0097297B" w:rsidRPr="00676C22" w:rsidRDefault="0097297B" w:rsidP="00696C0D">
            <w:pPr>
              <w:pStyle w:val="LO-normal"/>
              <w:widowControl w:val="0"/>
              <w:rPr>
                <w:rFonts w:asciiTheme="majorHAnsi" w:hAnsiTheme="majorHAnsi" w:cstheme="majorHAnsi"/>
                <w:sz w:val="18"/>
                <w:szCs w:val="18"/>
              </w:rPr>
            </w:pPr>
            <w:r w:rsidRPr="00676C22">
              <w:rPr>
                <w:rFonts w:asciiTheme="majorHAnsi" w:hAnsiTheme="majorHAnsi" w:cstheme="majorHAnsi"/>
                <w:sz w:val="18"/>
                <w:szCs w:val="18"/>
              </w:rPr>
              <w:t>comprising three of the virtual borders of a site by conducting 60</w:t>
            </w:r>
          </w:p>
          <w:p w14:paraId="7BC2F41E" w14:textId="77777777" w:rsidR="0097297B" w:rsidRPr="00676C22" w:rsidRDefault="0097297B" w:rsidP="00696C0D">
            <w:pPr>
              <w:pStyle w:val="LO-normal"/>
              <w:widowControl w:val="0"/>
              <w:rPr>
                <w:rFonts w:asciiTheme="majorHAnsi" w:hAnsiTheme="majorHAnsi" w:cstheme="majorHAnsi"/>
                <w:sz w:val="18"/>
                <w:szCs w:val="18"/>
              </w:rPr>
            </w:pPr>
            <w:r w:rsidRPr="00676C22">
              <w:rPr>
                <w:rFonts w:asciiTheme="majorHAnsi" w:hAnsiTheme="majorHAnsi" w:cstheme="majorHAnsi"/>
                <w:sz w:val="18"/>
                <w:szCs w:val="18"/>
              </w:rPr>
              <w:t>double sweeps per site. Sweep netting was only conducted on days without rain, low wind speed and after morning dew had dried.</w:t>
            </w:r>
          </w:p>
          <w:p w14:paraId="011C182A" w14:textId="77777777" w:rsidR="0097297B" w:rsidRPr="00676C22" w:rsidRDefault="0097297B" w:rsidP="00696C0D">
            <w:pPr>
              <w:pStyle w:val="LO-normal"/>
              <w:widowControl w:val="0"/>
              <w:rPr>
                <w:rFonts w:asciiTheme="majorHAnsi" w:hAnsiTheme="majorHAnsi" w:cstheme="majorHAnsi"/>
                <w:sz w:val="18"/>
                <w:szCs w:val="18"/>
              </w:rPr>
            </w:pPr>
          </w:p>
          <w:p w14:paraId="5093BF89" w14:textId="3594882A" w:rsidR="0097297B" w:rsidRPr="00676C22" w:rsidRDefault="0097297B" w:rsidP="00696C0D">
            <w:pPr>
              <w:pStyle w:val="LO-normal"/>
              <w:rPr>
                <w:rFonts w:asciiTheme="majorHAnsi" w:hAnsiTheme="majorHAnsi" w:cstheme="majorHAnsi"/>
                <w:sz w:val="18"/>
                <w:szCs w:val="18"/>
              </w:rPr>
            </w:pPr>
            <w:r w:rsidRPr="00676C22">
              <w:rPr>
                <w:rFonts w:asciiTheme="majorHAnsi" w:hAnsiTheme="majorHAnsi" w:cstheme="majorHAnsi"/>
                <w:sz w:val="18"/>
                <w:szCs w:val="18"/>
              </w:rPr>
              <w:t>Plot-year combinations with insufficient sampling quality were removed from the data set following Seibold et al. (2019).</w:t>
            </w:r>
          </w:p>
          <w:p w14:paraId="46D06243" w14:textId="77777777" w:rsidR="0097297B" w:rsidRPr="00676C22" w:rsidRDefault="0097297B" w:rsidP="00696C0D">
            <w:pPr>
              <w:pStyle w:val="LO-normal"/>
              <w:rPr>
                <w:rFonts w:asciiTheme="majorHAnsi" w:eastAsia="Arial" w:hAnsiTheme="majorHAnsi" w:cstheme="majorHAnsi"/>
                <w:sz w:val="18"/>
                <w:szCs w:val="18"/>
              </w:rPr>
            </w:pPr>
          </w:p>
          <w:p w14:paraId="51BCC515" w14:textId="419FED0C" w:rsidR="0097297B" w:rsidRPr="00676C22" w:rsidRDefault="0097297B" w:rsidP="00696C0D">
            <w:pPr>
              <w:spacing w:after="120"/>
              <w:rPr>
                <w:rFonts w:asciiTheme="majorHAnsi" w:hAnsiTheme="majorHAnsi" w:cstheme="majorHAnsi"/>
                <w:color w:val="000000"/>
                <w:sz w:val="18"/>
                <w:szCs w:val="18"/>
              </w:rPr>
            </w:pPr>
            <w:r w:rsidRPr="00676C22">
              <w:rPr>
                <w:rFonts w:asciiTheme="majorHAnsi" w:hAnsiTheme="majorHAnsi" w:cstheme="majorHAnsi"/>
                <w:color w:val="000000"/>
                <w:sz w:val="18"/>
                <w:szCs w:val="18"/>
              </w:rPr>
              <w:t xml:space="preserve">Division into trophic groups (herbivore, secondary consumer, decomposers) based on their known food source as adults (Gossner et al. 2015). Decomposers were excluded from the dataset as there were too few species to reliably estimate plot-level temporal trends. </w:t>
            </w:r>
          </w:p>
          <w:p w14:paraId="5D650CDF" w14:textId="61DD92B5" w:rsidR="0097297B" w:rsidRPr="00676C22" w:rsidRDefault="0097297B"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Data on relative abundance of occurring species was used to calculate indices of α and β diversity for arthropod herbivores and secondary consumers.</w:t>
            </w:r>
          </w:p>
        </w:tc>
        <w:tc>
          <w:tcPr>
            <w:tcW w:w="315" w:type="pct"/>
            <w:tcBorders>
              <w:top w:val="single" w:sz="6" w:space="0" w:color="000000"/>
              <w:left w:val="single" w:sz="6" w:space="0" w:color="000000"/>
              <w:bottom w:val="single" w:sz="6" w:space="0" w:color="000000"/>
              <w:right w:val="single" w:sz="6" w:space="0" w:color="000000"/>
            </w:tcBorders>
            <w:shd w:val="clear" w:color="auto" w:fill="FFFFFF"/>
          </w:tcPr>
          <w:p w14:paraId="395B78E7" w14:textId="77777777" w:rsidR="0097297B" w:rsidRDefault="00D13449" w:rsidP="00696C0D">
            <w:pPr>
              <w:pStyle w:val="LO-normal"/>
              <w:rPr>
                <w:rFonts w:asciiTheme="majorHAnsi" w:hAnsiTheme="majorHAnsi" w:cstheme="majorHAnsi"/>
                <w:sz w:val="18"/>
                <w:szCs w:val="18"/>
              </w:rPr>
            </w:pPr>
            <w:r>
              <w:rPr>
                <w:rFonts w:asciiTheme="majorHAnsi" w:hAnsiTheme="majorHAnsi" w:cstheme="majorHAnsi"/>
                <w:sz w:val="18"/>
                <w:szCs w:val="18"/>
              </w:rPr>
              <w:t>21969</w:t>
            </w:r>
          </w:p>
          <w:p w14:paraId="55D97C69" w14:textId="77777777" w:rsidR="00D13449" w:rsidRDefault="00D13449" w:rsidP="00696C0D">
            <w:pPr>
              <w:pStyle w:val="LO-normal"/>
              <w:rPr>
                <w:rFonts w:asciiTheme="majorHAnsi" w:eastAsia="Arial" w:hAnsiTheme="majorHAnsi" w:cstheme="majorHAnsi"/>
                <w:sz w:val="18"/>
                <w:szCs w:val="18"/>
              </w:rPr>
            </w:pPr>
            <w:r>
              <w:rPr>
                <w:rFonts w:asciiTheme="majorHAnsi" w:eastAsia="Arial" w:hAnsiTheme="majorHAnsi" w:cstheme="majorHAnsi"/>
                <w:sz w:val="18"/>
                <w:szCs w:val="18"/>
              </w:rPr>
              <w:t>26008</w:t>
            </w:r>
          </w:p>
          <w:p w14:paraId="3D12882D" w14:textId="15FD8B91" w:rsidR="00D13449" w:rsidRPr="00676C22" w:rsidRDefault="00D13449" w:rsidP="00696C0D">
            <w:pPr>
              <w:pStyle w:val="LO-normal"/>
              <w:rPr>
                <w:rFonts w:asciiTheme="majorHAnsi" w:eastAsia="Arial" w:hAnsiTheme="majorHAnsi" w:cstheme="majorHAnsi"/>
                <w:sz w:val="18"/>
                <w:szCs w:val="18"/>
              </w:rPr>
            </w:pPr>
            <w:r>
              <w:rPr>
                <w:rFonts w:asciiTheme="majorHAnsi" w:eastAsia="Arial" w:hAnsiTheme="majorHAnsi" w:cstheme="majorHAnsi"/>
                <w:sz w:val="18"/>
                <w:szCs w:val="18"/>
              </w:rPr>
              <w:t>27706</w:t>
            </w:r>
          </w:p>
        </w:tc>
        <w:tc>
          <w:tcPr>
            <w:tcW w:w="484" w:type="pct"/>
            <w:tcBorders>
              <w:top w:val="single" w:sz="6" w:space="0" w:color="000000"/>
              <w:left w:val="single" w:sz="6" w:space="0" w:color="000000"/>
              <w:bottom w:val="single" w:sz="6" w:space="0" w:color="000000"/>
              <w:right w:val="single" w:sz="6" w:space="0" w:color="000000"/>
            </w:tcBorders>
            <w:shd w:val="clear" w:color="auto" w:fill="FFFFFF"/>
          </w:tcPr>
          <w:p w14:paraId="55B07DF4" w14:textId="1EB5FA66" w:rsidR="0097297B" w:rsidRDefault="00D13449" w:rsidP="00696C0D">
            <w:pPr>
              <w:pStyle w:val="LO-normal"/>
              <w:rPr>
                <w:rFonts w:asciiTheme="majorHAnsi" w:hAnsiTheme="majorHAnsi" w:cstheme="majorHAnsi"/>
                <w:sz w:val="18"/>
                <w:szCs w:val="18"/>
              </w:rPr>
            </w:pPr>
            <w:r>
              <w:rPr>
                <w:rFonts w:asciiTheme="majorHAnsi" w:hAnsiTheme="majorHAnsi" w:cstheme="majorHAnsi"/>
                <w:sz w:val="18"/>
                <w:szCs w:val="18"/>
              </w:rPr>
              <w:t>Wolfgang Weisser</w:t>
            </w:r>
          </w:p>
          <w:p w14:paraId="0AFEF88C" w14:textId="414137F2" w:rsidR="00D13449" w:rsidRPr="00676C22" w:rsidRDefault="00D13449" w:rsidP="00696C0D">
            <w:pPr>
              <w:pStyle w:val="LO-normal"/>
              <w:rPr>
                <w:rFonts w:asciiTheme="majorHAnsi" w:eastAsia="Arial" w:hAnsiTheme="majorHAnsi" w:cstheme="majorHAnsi"/>
                <w:sz w:val="18"/>
                <w:szCs w:val="18"/>
              </w:rPr>
            </w:pPr>
            <w:r>
              <w:rPr>
                <w:rFonts w:asciiTheme="majorHAnsi" w:hAnsiTheme="majorHAnsi" w:cstheme="majorHAnsi"/>
                <w:sz w:val="18"/>
                <w:szCs w:val="18"/>
              </w:rPr>
              <w:t>Eric Allan</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7DBD0036" w14:textId="622D5998" w:rsidR="0097297B" w:rsidRDefault="0097297B" w:rsidP="00696C0D">
            <w:pPr>
              <w:pStyle w:val="LO-normal"/>
              <w:rPr>
                <w:rFonts w:asciiTheme="majorHAnsi" w:hAnsiTheme="majorHAnsi" w:cstheme="majorHAnsi"/>
                <w:sz w:val="18"/>
                <w:szCs w:val="18"/>
              </w:rPr>
            </w:pPr>
            <w:r w:rsidRPr="00676C22">
              <w:rPr>
                <w:rFonts w:asciiTheme="majorHAnsi" w:hAnsiTheme="majorHAnsi" w:cstheme="majorHAnsi"/>
                <w:sz w:val="18"/>
                <w:szCs w:val="18"/>
              </w:rPr>
              <w:t>Arthropods (core)</w:t>
            </w:r>
            <w:r w:rsidR="00D13449">
              <w:rPr>
                <w:rFonts w:asciiTheme="majorHAnsi" w:hAnsiTheme="majorHAnsi" w:cstheme="majorHAnsi"/>
                <w:sz w:val="18"/>
                <w:szCs w:val="18"/>
              </w:rPr>
              <w:t>,</w:t>
            </w:r>
          </w:p>
          <w:p w14:paraId="7291D04C" w14:textId="3A181F85" w:rsidR="00D13449" w:rsidRPr="00676C22" w:rsidRDefault="00D13449" w:rsidP="00696C0D">
            <w:pPr>
              <w:pStyle w:val="LO-normal"/>
              <w:rPr>
                <w:rFonts w:asciiTheme="majorHAnsi" w:eastAsia="Arial" w:hAnsiTheme="majorHAnsi" w:cstheme="majorHAnsi"/>
                <w:sz w:val="18"/>
                <w:szCs w:val="18"/>
              </w:rPr>
            </w:pPr>
            <w:r>
              <w:rPr>
                <w:rFonts w:asciiTheme="majorHAnsi" w:eastAsia="Arial" w:hAnsiTheme="majorHAnsi" w:cstheme="majorHAnsi"/>
                <w:sz w:val="18"/>
                <w:szCs w:val="18"/>
              </w:rPr>
              <w:t>Synthesis (core)</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1F0CDE68" w14:textId="77777777" w:rsidR="009E6DB7" w:rsidRPr="00462043" w:rsidRDefault="009E6DB7" w:rsidP="009E6DB7">
            <w:pPr>
              <w:pStyle w:val="LO-normal"/>
              <w:rPr>
                <w:rFonts w:asciiTheme="majorHAnsi" w:hAnsiTheme="majorHAnsi" w:cstheme="majorHAnsi"/>
                <w:i/>
                <w:iCs/>
                <w:sz w:val="18"/>
                <w:szCs w:val="18"/>
                <w:lang w:val="de-DE"/>
              </w:rPr>
            </w:pPr>
            <w:r w:rsidRPr="00462043">
              <w:rPr>
                <w:rFonts w:asciiTheme="majorHAnsi" w:hAnsiTheme="majorHAnsi" w:cstheme="majorHAnsi"/>
                <w:i/>
                <w:iCs/>
                <w:sz w:val="18"/>
                <w:szCs w:val="18"/>
                <w:lang w:val="de-DE"/>
              </w:rPr>
              <w:t>Datasets:</w:t>
            </w:r>
          </w:p>
          <w:p w14:paraId="14D46BD3" w14:textId="3CC17544" w:rsidR="001D766D" w:rsidRDefault="001D766D" w:rsidP="00696C0D">
            <w:pPr>
              <w:pStyle w:val="LO-normal"/>
              <w:rPr>
                <w:rFonts w:asciiTheme="majorHAnsi" w:hAnsiTheme="majorHAnsi" w:cstheme="majorHAnsi"/>
                <w:sz w:val="18"/>
                <w:szCs w:val="18"/>
                <w:lang w:val="es-ES"/>
              </w:rPr>
            </w:pPr>
            <w:proofErr w:type="spellStart"/>
            <w:r>
              <w:rPr>
                <w:rFonts w:asciiTheme="majorHAnsi" w:hAnsiTheme="majorHAnsi" w:cstheme="majorHAnsi"/>
                <w:sz w:val="18"/>
                <w:szCs w:val="18"/>
                <w:lang w:val="es-ES"/>
              </w:rPr>
              <w:t>Weisser</w:t>
            </w:r>
            <w:proofErr w:type="spellEnd"/>
            <w:r>
              <w:rPr>
                <w:rFonts w:asciiTheme="majorHAnsi" w:hAnsiTheme="majorHAnsi" w:cstheme="majorHAnsi"/>
                <w:sz w:val="18"/>
                <w:szCs w:val="18"/>
                <w:lang w:val="es-ES"/>
              </w:rPr>
              <w:t xml:space="preserve"> et al. 2023</w:t>
            </w:r>
          </w:p>
          <w:p w14:paraId="798AF9B2" w14:textId="005D42B3" w:rsidR="009E6DB7" w:rsidRDefault="00312A2D" w:rsidP="00696C0D">
            <w:pPr>
              <w:pStyle w:val="LO-normal"/>
              <w:rPr>
                <w:rFonts w:asciiTheme="majorHAnsi" w:hAnsiTheme="majorHAnsi" w:cstheme="majorHAnsi"/>
                <w:sz w:val="18"/>
                <w:szCs w:val="18"/>
                <w:lang w:val="es-ES"/>
              </w:rPr>
            </w:pPr>
            <w:proofErr w:type="spellStart"/>
            <w:r>
              <w:rPr>
                <w:rFonts w:asciiTheme="majorHAnsi" w:hAnsiTheme="majorHAnsi" w:cstheme="majorHAnsi"/>
                <w:sz w:val="18"/>
                <w:szCs w:val="18"/>
                <w:lang w:val="es-ES"/>
              </w:rPr>
              <w:t>Weisser</w:t>
            </w:r>
            <w:proofErr w:type="spellEnd"/>
            <w:r>
              <w:rPr>
                <w:rFonts w:asciiTheme="majorHAnsi" w:hAnsiTheme="majorHAnsi" w:cstheme="majorHAnsi"/>
                <w:sz w:val="18"/>
                <w:szCs w:val="18"/>
                <w:lang w:val="es-ES"/>
              </w:rPr>
              <w:t xml:space="preserve"> et al. 2024</w:t>
            </w:r>
          </w:p>
          <w:p w14:paraId="54C206EF" w14:textId="462780A5" w:rsidR="00312A2D" w:rsidRDefault="00312A2D" w:rsidP="00696C0D">
            <w:pPr>
              <w:pStyle w:val="LO-normal"/>
              <w:rPr>
                <w:rFonts w:asciiTheme="majorHAnsi" w:hAnsiTheme="majorHAnsi" w:cstheme="majorHAnsi"/>
                <w:sz w:val="18"/>
                <w:szCs w:val="18"/>
                <w:lang w:val="es-ES"/>
              </w:rPr>
            </w:pPr>
            <w:r>
              <w:rPr>
                <w:rFonts w:asciiTheme="majorHAnsi" w:hAnsiTheme="majorHAnsi" w:cstheme="majorHAnsi"/>
                <w:sz w:val="18"/>
                <w:szCs w:val="18"/>
                <w:lang w:val="es-ES"/>
              </w:rPr>
              <w:t>Allan et al. 2024</w:t>
            </w:r>
          </w:p>
          <w:p w14:paraId="629070ED" w14:textId="77777777" w:rsidR="00312A2D" w:rsidRDefault="00312A2D" w:rsidP="00696C0D">
            <w:pPr>
              <w:pStyle w:val="LO-normal"/>
              <w:rPr>
                <w:rFonts w:asciiTheme="majorHAnsi" w:hAnsiTheme="majorHAnsi" w:cstheme="majorHAnsi"/>
                <w:sz w:val="18"/>
                <w:szCs w:val="18"/>
                <w:lang w:val="es-ES"/>
              </w:rPr>
            </w:pPr>
          </w:p>
          <w:p w14:paraId="27B0DA66" w14:textId="13D55B6E" w:rsidR="009E6DB7" w:rsidRPr="009E6DB7" w:rsidRDefault="009E6DB7" w:rsidP="00696C0D">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255BAFC9" w14:textId="639A0B50" w:rsidR="0097297B" w:rsidRPr="00676C22" w:rsidRDefault="0097297B" w:rsidP="00696C0D">
            <w:pPr>
              <w:pStyle w:val="LO-normal"/>
              <w:rPr>
                <w:rFonts w:asciiTheme="majorHAnsi" w:hAnsiTheme="majorHAnsi" w:cstheme="majorHAnsi"/>
                <w:sz w:val="18"/>
                <w:szCs w:val="18"/>
                <w:lang w:val="es-ES"/>
              </w:rPr>
            </w:pPr>
            <w:r w:rsidRPr="00676C22">
              <w:rPr>
                <w:rFonts w:asciiTheme="majorHAnsi" w:hAnsiTheme="majorHAnsi" w:cstheme="majorHAnsi"/>
                <w:sz w:val="18"/>
                <w:szCs w:val="18"/>
                <w:lang w:val="es-ES"/>
              </w:rPr>
              <w:t>Simons et al. 2014, 2015</w:t>
            </w:r>
          </w:p>
          <w:p w14:paraId="5EF0F1B6" w14:textId="02C12DAD" w:rsidR="0097297B" w:rsidRPr="00462043" w:rsidRDefault="0097297B" w:rsidP="00696C0D">
            <w:pPr>
              <w:pStyle w:val="LO-normal"/>
              <w:rPr>
                <w:rFonts w:asciiTheme="majorHAnsi" w:hAnsiTheme="majorHAnsi" w:cstheme="majorHAnsi"/>
                <w:sz w:val="18"/>
                <w:szCs w:val="18"/>
                <w:lang w:val="de-DE"/>
              </w:rPr>
            </w:pPr>
            <w:proofErr w:type="spellStart"/>
            <w:r w:rsidRPr="00462043">
              <w:rPr>
                <w:rFonts w:asciiTheme="majorHAnsi" w:hAnsiTheme="majorHAnsi" w:cstheme="majorHAnsi"/>
                <w:sz w:val="18"/>
                <w:szCs w:val="18"/>
                <w:lang w:val="de-DE"/>
              </w:rPr>
              <w:t>Gossner</w:t>
            </w:r>
            <w:proofErr w:type="spellEnd"/>
            <w:r w:rsidRPr="00462043">
              <w:rPr>
                <w:rFonts w:asciiTheme="majorHAnsi" w:hAnsiTheme="majorHAnsi" w:cstheme="majorHAnsi"/>
                <w:sz w:val="18"/>
                <w:szCs w:val="18"/>
                <w:lang w:val="de-DE"/>
              </w:rPr>
              <w:t xml:space="preserve"> et al. 2015</w:t>
            </w:r>
            <w:r w:rsidRPr="00462043">
              <w:rPr>
                <w:rFonts w:asciiTheme="majorHAnsi" w:hAnsiTheme="majorHAnsi" w:cstheme="majorHAnsi"/>
                <w:sz w:val="18"/>
                <w:szCs w:val="18"/>
                <w:lang w:val="de-DE"/>
              </w:rPr>
              <w:br/>
              <w:t>Seibold et al. 2019</w:t>
            </w:r>
          </w:p>
        </w:tc>
      </w:tr>
      <w:tr w:rsidR="00696C0D" w:rsidRPr="00462043" w14:paraId="5E9138FE" w14:textId="77777777" w:rsidTr="00696C0D">
        <w:trPr>
          <w:trHeight w:val="345"/>
        </w:trPr>
        <w:tc>
          <w:tcPr>
            <w:tcW w:w="867" w:type="pct"/>
            <w:tcBorders>
              <w:top w:val="single" w:sz="6" w:space="0" w:color="000000"/>
              <w:left w:val="single" w:sz="6" w:space="0" w:color="000000"/>
              <w:bottom w:val="single" w:sz="6" w:space="0" w:color="000000"/>
              <w:right w:val="single" w:sz="6" w:space="0" w:color="000000"/>
            </w:tcBorders>
            <w:shd w:val="clear" w:color="auto" w:fill="FFFFFF"/>
          </w:tcPr>
          <w:p w14:paraId="16BF4C21" w14:textId="0F6849F7" w:rsidR="00696C0D" w:rsidRPr="00676C22" w:rsidRDefault="00696C0D"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lastRenderedPageBreak/>
              <w:t>Land-use-intensity</w:t>
            </w:r>
          </w:p>
        </w:tc>
        <w:tc>
          <w:tcPr>
            <w:tcW w:w="464" w:type="pct"/>
            <w:tcBorders>
              <w:top w:val="single" w:sz="6" w:space="0" w:color="000000"/>
              <w:left w:val="single" w:sz="6" w:space="0" w:color="000000"/>
              <w:bottom w:val="single" w:sz="6" w:space="0" w:color="000000"/>
              <w:right w:val="single" w:sz="6" w:space="0" w:color="000000"/>
            </w:tcBorders>
            <w:shd w:val="clear" w:color="auto" w:fill="FFFFFF"/>
          </w:tcPr>
          <w:p w14:paraId="5B00BC24" w14:textId="4940FAC3" w:rsidR="00696C0D" w:rsidRPr="00676C22" w:rsidRDefault="00696C0D" w:rsidP="00696C0D">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Explanatory variable</w:t>
            </w:r>
          </w:p>
        </w:tc>
        <w:tc>
          <w:tcPr>
            <w:tcW w:w="333" w:type="pct"/>
            <w:tcBorders>
              <w:top w:val="single" w:sz="6" w:space="0" w:color="000000"/>
              <w:left w:val="single" w:sz="6" w:space="0" w:color="000000"/>
              <w:bottom w:val="single" w:sz="6" w:space="0" w:color="000000"/>
              <w:right w:val="single" w:sz="6" w:space="0" w:color="000000"/>
            </w:tcBorders>
            <w:shd w:val="clear" w:color="auto" w:fill="FFFFFF"/>
          </w:tcPr>
          <w:p w14:paraId="463E9FBF" w14:textId="77777777" w:rsidR="00696C0D" w:rsidRPr="00676C22" w:rsidRDefault="00696C0D"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150</w:t>
            </w:r>
          </w:p>
        </w:tc>
        <w:tc>
          <w:tcPr>
            <w:tcW w:w="245" w:type="pct"/>
            <w:tcBorders>
              <w:top w:val="single" w:sz="6" w:space="0" w:color="000000"/>
              <w:left w:val="single" w:sz="6" w:space="0" w:color="000000"/>
              <w:bottom w:val="single" w:sz="6" w:space="0" w:color="000000"/>
              <w:right w:val="single" w:sz="6" w:space="0" w:color="000000"/>
            </w:tcBorders>
            <w:shd w:val="clear" w:color="auto" w:fill="FFFFFF"/>
          </w:tcPr>
          <w:p w14:paraId="6B834717" w14:textId="431F3D2F" w:rsidR="00696C0D" w:rsidRPr="00676C22" w:rsidRDefault="00696C0D"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2008-2018</w:t>
            </w:r>
          </w:p>
        </w:tc>
        <w:tc>
          <w:tcPr>
            <w:tcW w:w="1045" w:type="pct"/>
            <w:tcBorders>
              <w:top w:val="single" w:sz="6" w:space="0" w:color="000000"/>
              <w:left w:val="single" w:sz="6" w:space="0" w:color="000000"/>
              <w:bottom w:val="single" w:sz="6" w:space="0" w:color="000000"/>
              <w:right w:val="single" w:sz="6" w:space="0" w:color="000000"/>
            </w:tcBorders>
            <w:shd w:val="clear" w:color="auto" w:fill="FFFFFF"/>
          </w:tcPr>
          <w:p w14:paraId="264B1BFE" w14:textId="585FA85E" w:rsidR="00696C0D" w:rsidRPr="00676C22" w:rsidRDefault="00696C0D" w:rsidP="00696C0D">
            <w:pPr>
              <w:pStyle w:val="LO-normal"/>
              <w:rPr>
                <w:rFonts w:asciiTheme="majorHAnsi" w:eastAsia="Arial" w:hAnsiTheme="majorHAnsi" w:cstheme="majorHAnsi"/>
                <w:sz w:val="18"/>
                <w:szCs w:val="18"/>
              </w:rPr>
            </w:pPr>
            <w:r w:rsidRPr="00676C22">
              <w:rPr>
                <w:rFonts w:asciiTheme="majorHAnsi" w:hAnsiTheme="majorHAnsi" w:cstheme="majorHAnsi"/>
                <w:sz w:val="18"/>
                <w:szCs w:val="18"/>
              </w:rPr>
              <w:t xml:space="preserve">Based on the annual land-use questionnaires by the local management teams with land-owners complemented with observations by the local management teams, the land management compounds (mowing, grazing, </w:t>
            </w:r>
            <w:proofErr w:type="spellStart"/>
            <w:r w:rsidRPr="00676C22">
              <w:rPr>
                <w:rFonts w:asciiTheme="majorHAnsi" w:hAnsiTheme="majorHAnsi" w:cstheme="majorHAnsi"/>
                <w:sz w:val="18"/>
                <w:szCs w:val="18"/>
              </w:rPr>
              <w:t>fertilisation</w:t>
            </w:r>
            <w:proofErr w:type="spellEnd"/>
            <w:r w:rsidRPr="00676C22">
              <w:rPr>
                <w:rFonts w:asciiTheme="majorHAnsi" w:hAnsiTheme="majorHAnsi" w:cstheme="majorHAnsi"/>
                <w:sz w:val="18"/>
                <w:szCs w:val="18"/>
              </w:rPr>
              <w:t xml:space="preserve">) were quantified. Mowing represents the number of cuts per year. Grazing was measured as number of livestock units * days / ha, summed up for all grazing periods. Livestock units were calculated based on species group (cattle, sheep, goat, ponies, small horses, horses) and age. </w:t>
            </w:r>
            <w:proofErr w:type="spellStart"/>
            <w:r w:rsidRPr="00676C22">
              <w:rPr>
                <w:rFonts w:asciiTheme="majorHAnsi" w:hAnsiTheme="majorHAnsi" w:cstheme="majorHAnsi"/>
                <w:sz w:val="18"/>
                <w:szCs w:val="18"/>
              </w:rPr>
              <w:t>Fertilisation</w:t>
            </w:r>
            <w:proofErr w:type="spellEnd"/>
            <w:r w:rsidRPr="00676C22">
              <w:rPr>
                <w:rFonts w:asciiTheme="majorHAnsi" w:hAnsiTheme="majorHAnsi" w:cstheme="majorHAnsi"/>
                <w:sz w:val="18"/>
                <w:szCs w:val="18"/>
              </w:rPr>
              <w:t xml:space="preserve"> was measured as the amount of applied nitrogen within the </w:t>
            </w:r>
            <w:proofErr w:type="spellStart"/>
            <w:r w:rsidRPr="00676C22">
              <w:rPr>
                <w:rFonts w:asciiTheme="majorHAnsi" w:hAnsiTheme="majorHAnsi" w:cstheme="majorHAnsi"/>
                <w:sz w:val="18"/>
                <w:szCs w:val="18"/>
              </w:rPr>
              <w:t>fertiliser</w:t>
            </w:r>
            <w:proofErr w:type="spellEnd"/>
            <w:r w:rsidRPr="00676C22">
              <w:rPr>
                <w:rFonts w:asciiTheme="majorHAnsi" w:hAnsiTheme="majorHAnsi" w:cstheme="majorHAnsi"/>
                <w:sz w:val="18"/>
                <w:szCs w:val="18"/>
              </w:rPr>
              <w:t xml:space="preserve"> per ha (calibrated for different </w:t>
            </w:r>
            <w:proofErr w:type="spellStart"/>
            <w:r w:rsidRPr="00676C22">
              <w:rPr>
                <w:rFonts w:asciiTheme="majorHAnsi" w:hAnsiTheme="majorHAnsi" w:cstheme="majorHAnsi"/>
                <w:sz w:val="18"/>
                <w:szCs w:val="18"/>
              </w:rPr>
              <w:t>fertiliser</w:t>
            </w:r>
            <w:proofErr w:type="spellEnd"/>
            <w:r w:rsidRPr="00676C22">
              <w:rPr>
                <w:rFonts w:asciiTheme="majorHAnsi" w:hAnsiTheme="majorHAnsi" w:cstheme="majorHAnsi"/>
                <w:sz w:val="18"/>
                <w:szCs w:val="18"/>
              </w:rPr>
              <w:t xml:space="preserve"> types: manure of cattle or sheep, slurry of cattle or pig, mixed and biogas/digestate). Land-use intensity (LUI) was calculated following (Blüthgen et al. 2012): </w:t>
            </w:r>
            <w:proofErr w:type="gramStart"/>
            <w:r w:rsidRPr="00676C22">
              <w:rPr>
                <w:rFonts w:asciiTheme="majorHAnsi" w:hAnsiTheme="majorHAnsi" w:cstheme="majorHAnsi"/>
                <w:sz w:val="18"/>
                <w:szCs w:val="18"/>
              </w:rPr>
              <w:t>sqrt(</w:t>
            </w:r>
            <w:proofErr w:type="gramEnd"/>
            <w:r w:rsidRPr="00676C22">
              <w:rPr>
                <w:rFonts w:asciiTheme="majorHAnsi" w:hAnsiTheme="majorHAnsi" w:cstheme="majorHAnsi"/>
                <w:sz w:val="18"/>
                <w:szCs w:val="18"/>
              </w:rPr>
              <w:t>(</w:t>
            </w:r>
            <w:proofErr w:type="spellStart"/>
            <w:r w:rsidRPr="00676C22">
              <w:rPr>
                <w:rFonts w:asciiTheme="majorHAnsi" w:hAnsiTheme="majorHAnsi" w:cstheme="majorHAnsi"/>
                <w:sz w:val="18"/>
                <w:szCs w:val="18"/>
              </w:rPr>
              <w:t>Fertilisation</w:t>
            </w:r>
            <w:proofErr w:type="spellEnd"/>
            <w:r w:rsidRPr="00676C22">
              <w:rPr>
                <w:rFonts w:asciiTheme="majorHAnsi" w:hAnsiTheme="majorHAnsi" w:cstheme="majorHAnsi"/>
                <w:sz w:val="18"/>
                <w:szCs w:val="18"/>
              </w:rPr>
              <w:t xml:space="preserve"> / Global mean </w:t>
            </w:r>
            <w:proofErr w:type="spellStart"/>
            <w:r w:rsidRPr="00676C22">
              <w:rPr>
                <w:rFonts w:asciiTheme="majorHAnsi" w:hAnsiTheme="majorHAnsi" w:cstheme="majorHAnsi"/>
                <w:sz w:val="18"/>
                <w:szCs w:val="18"/>
              </w:rPr>
              <w:t>Fertilisation</w:t>
            </w:r>
            <w:proofErr w:type="spellEnd"/>
            <w:r w:rsidRPr="00676C22">
              <w:rPr>
                <w:rFonts w:asciiTheme="majorHAnsi" w:hAnsiTheme="majorHAnsi" w:cstheme="majorHAnsi"/>
                <w:sz w:val="18"/>
                <w:szCs w:val="18"/>
              </w:rPr>
              <w:t xml:space="preserve">) + (Mowing / Global mean Mowing) + (Grazing / Global mean Grazing)) and subsequently calculating the mean for each year between 2008-2018. </w:t>
            </w:r>
          </w:p>
        </w:tc>
        <w:tc>
          <w:tcPr>
            <w:tcW w:w="315" w:type="pct"/>
            <w:tcBorders>
              <w:top w:val="single" w:sz="6" w:space="0" w:color="000000"/>
              <w:left w:val="single" w:sz="6" w:space="0" w:color="000000"/>
              <w:bottom w:val="single" w:sz="6" w:space="0" w:color="000000"/>
              <w:right w:val="single" w:sz="6" w:space="0" w:color="000000"/>
            </w:tcBorders>
            <w:shd w:val="clear" w:color="auto" w:fill="FFFFFF"/>
          </w:tcPr>
          <w:p w14:paraId="30D50602" w14:textId="282455E3" w:rsidR="00696C0D" w:rsidRPr="00665321" w:rsidRDefault="00696C0D" w:rsidP="00696C0D">
            <w:pPr>
              <w:pStyle w:val="LO-normal"/>
              <w:rPr>
                <w:rFonts w:asciiTheme="majorHAnsi" w:hAnsiTheme="majorHAnsi" w:cstheme="majorHAnsi"/>
                <w:sz w:val="18"/>
                <w:szCs w:val="18"/>
              </w:rPr>
            </w:pPr>
            <w:r w:rsidRPr="00665321">
              <w:rPr>
                <w:rFonts w:asciiTheme="majorHAnsi" w:hAnsiTheme="majorHAnsi" w:cstheme="majorHAnsi"/>
                <w:sz w:val="18"/>
                <w:szCs w:val="18"/>
              </w:rPr>
              <w:t>25086</w:t>
            </w:r>
          </w:p>
        </w:tc>
        <w:tc>
          <w:tcPr>
            <w:tcW w:w="484" w:type="pct"/>
            <w:tcBorders>
              <w:top w:val="single" w:sz="6" w:space="0" w:color="000000"/>
              <w:left w:val="single" w:sz="6" w:space="0" w:color="000000"/>
              <w:bottom w:val="single" w:sz="6" w:space="0" w:color="000000"/>
              <w:right w:val="single" w:sz="6" w:space="0" w:color="000000"/>
            </w:tcBorders>
            <w:shd w:val="clear" w:color="auto" w:fill="FFFFFF"/>
          </w:tcPr>
          <w:p w14:paraId="77543671" w14:textId="5B3BAB23" w:rsidR="00696C0D" w:rsidRPr="00665321" w:rsidRDefault="00A908E8" w:rsidP="00696C0D">
            <w:pPr>
              <w:pStyle w:val="LO-normal"/>
              <w:rPr>
                <w:rFonts w:asciiTheme="majorHAnsi" w:hAnsiTheme="majorHAnsi" w:cstheme="majorHAnsi"/>
                <w:sz w:val="18"/>
                <w:szCs w:val="18"/>
              </w:rPr>
            </w:pPr>
            <w:r w:rsidRPr="00A908E8">
              <w:rPr>
                <w:rFonts w:asciiTheme="majorHAnsi" w:hAnsiTheme="majorHAnsi" w:cstheme="majorHAnsi"/>
                <w:sz w:val="18"/>
                <w:szCs w:val="18"/>
              </w:rPr>
              <w:t>Katrin Lorenzen</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74B98455" w14:textId="6A8F68EA" w:rsidR="00696C0D" w:rsidRPr="00665321" w:rsidRDefault="00696C0D" w:rsidP="00696C0D">
            <w:pPr>
              <w:pStyle w:val="LO-normal"/>
              <w:rPr>
                <w:rFonts w:asciiTheme="majorHAnsi" w:hAnsiTheme="majorHAnsi" w:cstheme="majorHAnsi"/>
                <w:sz w:val="18"/>
                <w:szCs w:val="18"/>
              </w:rPr>
            </w:pPr>
            <w:r w:rsidRPr="00665321">
              <w:rPr>
                <w:rFonts w:asciiTheme="majorHAnsi" w:hAnsiTheme="majorHAnsi" w:cstheme="majorHAnsi"/>
                <w:sz w:val="18"/>
                <w:szCs w:val="18"/>
              </w:rPr>
              <w:t>LMT (core), BExIS (core)</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4BBD07E8" w14:textId="77777777" w:rsidR="009E6DB7" w:rsidRPr="00793D2A" w:rsidRDefault="009E6DB7" w:rsidP="009E6DB7">
            <w:pPr>
              <w:pStyle w:val="LO-normal"/>
              <w:rPr>
                <w:rFonts w:asciiTheme="majorHAnsi" w:hAnsiTheme="majorHAnsi" w:cstheme="majorHAnsi"/>
                <w:i/>
                <w:iCs/>
                <w:sz w:val="18"/>
                <w:szCs w:val="18"/>
              </w:rPr>
            </w:pPr>
            <w:r w:rsidRPr="00793D2A">
              <w:rPr>
                <w:rFonts w:asciiTheme="majorHAnsi" w:hAnsiTheme="majorHAnsi" w:cstheme="majorHAnsi"/>
                <w:i/>
                <w:iCs/>
                <w:sz w:val="18"/>
                <w:szCs w:val="18"/>
              </w:rPr>
              <w:t>Datasets:</w:t>
            </w:r>
          </w:p>
          <w:p w14:paraId="4E8C37B9" w14:textId="0270E458" w:rsidR="009E6DB7" w:rsidRPr="00793D2A" w:rsidRDefault="00793D2A" w:rsidP="00696C0D">
            <w:pPr>
              <w:pStyle w:val="LO-normal"/>
              <w:rPr>
                <w:rFonts w:asciiTheme="majorHAnsi" w:hAnsiTheme="majorHAnsi" w:cstheme="majorHAnsi"/>
                <w:sz w:val="18"/>
                <w:szCs w:val="18"/>
              </w:rPr>
            </w:pPr>
            <w:r w:rsidRPr="00793D2A">
              <w:rPr>
                <w:rFonts w:asciiTheme="majorHAnsi" w:hAnsiTheme="majorHAnsi" w:cstheme="majorHAnsi"/>
                <w:sz w:val="18"/>
                <w:szCs w:val="18"/>
              </w:rPr>
              <w:t>Lorenzen et al. 2023</w:t>
            </w:r>
          </w:p>
          <w:p w14:paraId="7BF2DD7D" w14:textId="77777777" w:rsidR="00793D2A" w:rsidRDefault="00793D2A" w:rsidP="00696C0D">
            <w:pPr>
              <w:pStyle w:val="LO-normal"/>
              <w:rPr>
                <w:rFonts w:asciiTheme="majorHAnsi" w:hAnsiTheme="majorHAnsi" w:cstheme="majorHAnsi"/>
                <w:i/>
                <w:iCs/>
                <w:sz w:val="18"/>
                <w:szCs w:val="18"/>
              </w:rPr>
            </w:pPr>
          </w:p>
          <w:p w14:paraId="56D90812" w14:textId="1E1DE550" w:rsidR="009E6DB7" w:rsidRPr="009E6DB7" w:rsidRDefault="009E6DB7" w:rsidP="00696C0D">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0C16B7AE" w14:textId="497CE138" w:rsidR="00696C0D" w:rsidRPr="00D25569" w:rsidRDefault="00696C0D" w:rsidP="00696C0D">
            <w:pPr>
              <w:pStyle w:val="LO-normal"/>
              <w:rPr>
                <w:rFonts w:asciiTheme="majorHAnsi" w:hAnsiTheme="majorHAnsi" w:cstheme="majorHAnsi"/>
                <w:sz w:val="18"/>
                <w:szCs w:val="18"/>
                <w:lang w:val="de-DE"/>
              </w:rPr>
            </w:pPr>
            <w:r w:rsidRPr="00D25569">
              <w:rPr>
                <w:rFonts w:asciiTheme="majorHAnsi" w:hAnsiTheme="majorHAnsi" w:cstheme="majorHAnsi"/>
                <w:sz w:val="18"/>
                <w:szCs w:val="18"/>
                <w:lang w:val="de-DE"/>
              </w:rPr>
              <w:t>e.g. Blüthgen et al. 2012, Vogt et al. 2019</w:t>
            </w:r>
          </w:p>
        </w:tc>
      </w:tr>
      <w:tr w:rsidR="008357DC" w:rsidRPr="00676C22" w14:paraId="4F75D4A2" w14:textId="77777777" w:rsidTr="00696C0D">
        <w:tblPrEx>
          <w:tblCellMar>
            <w:top w:w="0" w:type="dxa"/>
            <w:left w:w="0" w:type="dxa"/>
            <w:bottom w:w="0" w:type="dxa"/>
            <w:right w:w="0" w:type="dxa"/>
          </w:tblCellMar>
          <w:tblLook w:val="04A0" w:firstRow="1" w:lastRow="0" w:firstColumn="1" w:lastColumn="0" w:noHBand="0" w:noVBand="1"/>
        </w:tblPrEx>
        <w:trPr>
          <w:trHeight w:val="480"/>
        </w:trPr>
        <w:tc>
          <w:tcPr>
            <w:tcW w:w="867" w:type="pct"/>
            <w:tcBorders>
              <w:top w:val="single" w:sz="4" w:space="0" w:color="auto"/>
              <w:left w:val="single" w:sz="4" w:space="0" w:color="auto"/>
              <w:bottom w:val="single" w:sz="4" w:space="0" w:color="auto"/>
              <w:right w:val="single" w:sz="4" w:space="0" w:color="auto"/>
            </w:tcBorders>
          </w:tcPr>
          <w:p w14:paraId="19D05A18" w14:textId="77777777" w:rsidR="008357DC" w:rsidRPr="00676C22" w:rsidRDefault="008357DC" w:rsidP="008357DC">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 xml:space="preserve">Geographic position </w:t>
            </w:r>
          </w:p>
        </w:tc>
        <w:tc>
          <w:tcPr>
            <w:tcW w:w="464" w:type="pct"/>
            <w:tcBorders>
              <w:top w:val="single" w:sz="4" w:space="0" w:color="auto"/>
              <w:left w:val="single" w:sz="4" w:space="0" w:color="auto"/>
              <w:bottom w:val="single" w:sz="4" w:space="0" w:color="auto"/>
              <w:right w:val="single" w:sz="4" w:space="0" w:color="auto"/>
            </w:tcBorders>
          </w:tcPr>
          <w:p w14:paraId="691D1425" w14:textId="77777777" w:rsidR="008357DC" w:rsidRPr="00676C22" w:rsidRDefault="008357DC" w:rsidP="008357DC">
            <w:pPr>
              <w:pStyle w:val="LO-normal"/>
              <w:rPr>
                <w:rFonts w:asciiTheme="majorHAnsi" w:hAnsiTheme="majorHAnsi" w:cstheme="majorHAnsi"/>
                <w:sz w:val="18"/>
                <w:szCs w:val="18"/>
              </w:rPr>
            </w:pPr>
            <w:r w:rsidRPr="00676C22">
              <w:rPr>
                <w:rFonts w:asciiTheme="majorHAnsi" w:hAnsiTheme="majorHAnsi" w:cstheme="majorHAnsi"/>
                <w:sz w:val="18"/>
                <w:szCs w:val="18"/>
              </w:rPr>
              <w:t>Explanatory variable</w:t>
            </w:r>
          </w:p>
        </w:tc>
        <w:tc>
          <w:tcPr>
            <w:tcW w:w="333" w:type="pct"/>
            <w:tcBorders>
              <w:top w:val="single" w:sz="4" w:space="0" w:color="auto"/>
              <w:left w:val="single" w:sz="4" w:space="0" w:color="auto"/>
              <w:bottom w:val="single" w:sz="4" w:space="0" w:color="auto"/>
              <w:right w:val="single" w:sz="4" w:space="0" w:color="auto"/>
            </w:tcBorders>
          </w:tcPr>
          <w:p w14:paraId="1B9ACFF2" w14:textId="4FB43DD3" w:rsidR="008357DC" w:rsidRPr="00676C22" w:rsidRDefault="008357DC" w:rsidP="008357DC">
            <w:pPr>
              <w:pStyle w:val="LO-normal"/>
              <w:rPr>
                <w:rFonts w:asciiTheme="majorHAnsi" w:hAnsiTheme="majorHAnsi" w:cstheme="majorHAnsi"/>
                <w:sz w:val="18"/>
                <w:szCs w:val="18"/>
              </w:rPr>
            </w:pPr>
            <w:r>
              <w:rPr>
                <w:rFonts w:asciiTheme="majorHAnsi" w:hAnsiTheme="majorHAnsi" w:cstheme="majorHAnsi"/>
                <w:sz w:val="18"/>
                <w:szCs w:val="18"/>
              </w:rPr>
              <w:t>150</w:t>
            </w:r>
          </w:p>
        </w:tc>
        <w:tc>
          <w:tcPr>
            <w:tcW w:w="245" w:type="pct"/>
            <w:tcBorders>
              <w:top w:val="single" w:sz="4" w:space="0" w:color="auto"/>
              <w:left w:val="single" w:sz="4" w:space="0" w:color="auto"/>
              <w:bottom w:val="single" w:sz="4" w:space="0" w:color="auto"/>
              <w:right w:val="single" w:sz="4" w:space="0" w:color="auto"/>
            </w:tcBorders>
          </w:tcPr>
          <w:p w14:paraId="1D283E19" w14:textId="77777777" w:rsidR="008357DC" w:rsidRPr="00676C22" w:rsidRDefault="008357DC" w:rsidP="008357DC">
            <w:pPr>
              <w:pStyle w:val="LO-normal"/>
              <w:rPr>
                <w:rFonts w:asciiTheme="majorHAnsi" w:hAnsiTheme="majorHAnsi" w:cstheme="majorHAnsi"/>
                <w:sz w:val="18"/>
                <w:szCs w:val="18"/>
              </w:rPr>
            </w:pPr>
            <w:r w:rsidRPr="00676C22">
              <w:rPr>
                <w:rFonts w:asciiTheme="majorHAnsi" w:hAnsiTheme="majorHAnsi" w:cstheme="majorHAnsi"/>
                <w:sz w:val="18"/>
                <w:szCs w:val="18"/>
              </w:rPr>
              <w:t>2008</w:t>
            </w:r>
          </w:p>
        </w:tc>
        <w:tc>
          <w:tcPr>
            <w:tcW w:w="1045" w:type="pct"/>
            <w:tcBorders>
              <w:top w:val="single" w:sz="4" w:space="0" w:color="auto"/>
              <w:left w:val="single" w:sz="4" w:space="0" w:color="auto"/>
              <w:bottom w:val="single" w:sz="4" w:space="0" w:color="auto"/>
              <w:right w:val="single" w:sz="4" w:space="0" w:color="auto"/>
            </w:tcBorders>
          </w:tcPr>
          <w:p w14:paraId="2BE30DFD" w14:textId="77777777" w:rsidR="008357DC" w:rsidRPr="00676C22" w:rsidRDefault="008357DC" w:rsidP="008357DC">
            <w:pPr>
              <w:pStyle w:val="LO-normal"/>
              <w:rPr>
                <w:rFonts w:asciiTheme="majorHAnsi" w:hAnsiTheme="majorHAnsi" w:cstheme="majorHAnsi"/>
                <w:sz w:val="18"/>
                <w:szCs w:val="18"/>
              </w:rPr>
            </w:pPr>
            <w:r w:rsidRPr="00676C22">
              <w:rPr>
                <w:rFonts w:asciiTheme="majorHAnsi" w:hAnsiTheme="majorHAnsi" w:cstheme="majorHAnsi"/>
                <w:sz w:val="18"/>
                <w:szCs w:val="18"/>
              </w:rPr>
              <w:t xml:space="preserve">Decimal coordinates of exact plot </w:t>
            </w:r>
            <w:proofErr w:type="spellStart"/>
            <w:r w:rsidRPr="00676C22">
              <w:rPr>
                <w:rFonts w:asciiTheme="majorHAnsi" w:hAnsiTheme="majorHAnsi" w:cstheme="majorHAnsi"/>
                <w:sz w:val="18"/>
                <w:szCs w:val="18"/>
              </w:rPr>
              <w:t>centre</w:t>
            </w:r>
            <w:proofErr w:type="spellEnd"/>
            <w:r w:rsidRPr="00676C22">
              <w:rPr>
                <w:rFonts w:asciiTheme="majorHAnsi" w:hAnsiTheme="majorHAnsi" w:cstheme="majorHAnsi"/>
                <w:sz w:val="18"/>
                <w:szCs w:val="18"/>
              </w:rPr>
              <w:t xml:space="preserve"> [degrees].</w:t>
            </w:r>
          </w:p>
        </w:tc>
        <w:tc>
          <w:tcPr>
            <w:tcW w:w="315" w:type="pct"/>
            <w:tcBorders>
              <w:top w:val="single" w:sz="4" w:space="0" w:color="auto"/>
              <w:left w:val="single" w:sz="4" w:space="0" w:color="auto"/>
              <w:bottom w:val="single" w:sz="4" w:space="0" w:color="auto"/>
              <w:right w:val="single" w:sz="4" w:space="0" w:color="auto"/>
            </w:tcBorders>
          </w:tcPr>
          <w:p w14:paraId="409C72A2" w14:textId="2196D0BC" w:rsidR="008357DC" w:rsidRPr="00676C22" w:rsidRDefault="00EA5A7E" w:rsidP="008357DC">
            <w:pPr>
              <w:pStyle w:val="LO-normal"/>
              <w:rPr>
                <w:rFonts w:asciiTheme="majorHAnsi" w:hAnsiTheme="majorHAnsi" w:cstheme="majorHAnsi"/>
                <w:sz w:val="18"/>
                <w:szCs w:val="18"/>
              </w:rPr>
            </w:pPr>
            <w:r w:rsidRPr="00EA5A7E">
              <w:rPr>
                <w:rFonts w:asciiTheme="majorHAnsi" w:hAnsiTheme="majorHAnsi" w:cstheme="majorHAnsi"/>
                <w:sz w:val="18"/>
                <w:szCs w:val="18"/>
              </w:rPr>
              <w:t>20826</w:t>
            </w:r>
          </w:p>
        </w:tc>
        <w:tc>
          <w:tcPr>
            <w:tcW w:w="484" w:type="pct"/>
            <w:tcBorders>
              <w:top w:val="single" w:sz="4" w:space="0" w:color="auto"/>
              <w:left w:val="single" w:sz="4" w:space="0" w:color="auto"/>
              <w:bottom w:val="single" w:sz="4" w:space="0" w:color="auto"/>
              <w:right w:val="single" w:sz="4" w:space="0" w:color="auto"/>
            </w:tcBorders>
          </w:tcPr>
          <w:p w14:paraId="4CE694E1" w14:textId="0FA7B4DF" w:rsidR="008357DC" w:rsidRPr="00676C22" w:rsidRDefault="00A908E8" w:rsidP="008357DC">
            <w:pPr>
              <w:pStyle w:val="LO-normal"/>
              <w:rPr>
                <w:rFonts w:asciiTheme="majorHAnsi" w:hAnsiTheme="majorHAnsi" w:cstheme="majorHAnsi"/>
                <w:sz w:val="18"/>
                <w:szCs w:val="18"/>
              </w:rPr>
            </w:pPr>
            <w:r w:rsidRPr="00A908E8">
              <w:rPr>
                <w:rFonts w:asciiTheme="majorHAnsi" w:hAnsiTheme="majorHAnsi" w:cstheme="majorHAnsi"/>
                <w:sz w:val="18"/>
                <w:szCs w:val="18"/>
              </w:rPr>
              <w:t xml:space="preserve">Jens </w:t>
            </w:r>
            <w:proofErr w:type="spellStart"/>
            <w:r w:rsidRPr="00A908E8">
              <w:rPr>
                <w:rFonts w:asciiTheme="majorHAnsi" w:hAnsiTheme="majorHAnsi" w:cstheme="majorHAnsi"/>
                <w:sz w:val="18"/>
                <w:szCs w:val="18"/>
              </w:rPr>
              <w:t>Nieschulze</w:t>
            </w:r>
            <w:proofErr w:type="spellEnd"/>
          </w:p>
        </w:tc>
        <w:tc>
          <w:tcPr>
            <w:tcW w:w="623" w:type="pct"/>
            <w:tcBorders>
              <w:top w:val="single" w:sz="4" w:space="0" w:color="auto"/>
              <w:left w:val="single" w:sz="4" w:space="0" w:color="auto"/>
              <w:bottom w:val="single" w:sz="4" w:space="0" w:color="auto"/>
              <w:right w:val="single" w:sz="4" w:space="0" w:color="auto"/>
            </w:tcBorders>
          </w:tcPr>
          <w:p w14:paraId="44EA6862" w14:textId="63B74638" w:rsidR="008357DC" w:rsidRPr="00676C22" w:rsidRDefault="008357DC" w:rsidP="008357DC">
            <w:pPr>
              <w:pStyle w:val="LO-normal"/>
              <w:rPr>
                <w:rFonts w:asciiTheme="majorHAnsi" w:hAnsiTheme="majorHAnsi" w:cstheme="majorHAnsi"/>
                <w:sz w:val="18"/>
                <w:szCs w:val="18"/>
              </w:rPr>
            </w:pPr>
            <w:r w:rsidRPr="00665321">
              <w:rPr>
                <w:rFonts w:asciiTheme="majorHAnsi" w:hAnsiTheme="majorHAnsi" w:cstheme="majorHAnsi"/>
                <w:sz w:val="18"/>
                <w:szCs w:val="18"/>
              </w:rPr>
              <w:t>LMT (core), BExIS (core)</w:t>
            </w:r>
          </w:p>
        </w:tc>
        <w:tc>
          <w:tcPr>
            <w:tcW w:w="623" w:type="pct"/>
            <w:tcBorders>
              <w:top w:val="single" w:sz="4" w:space="0" w:color="auto"/>
              <w:left w:val="single" w:sz="4" w:space="0" w:color="auto"/>
              <w:bottom w:val="single" w:sz="4" w:space="0" w:color="auto"/>
              <w:right w:val="single" w:sz="4" w:space="0" w:color="auto"/>
            </w:tcBorders>
          </w:tcPr>
          <w:p w14:paraId="2741E954" w14:textId="77777777" w:rsidR="009E6DB7" w:rsidRPr="00312A2D" w:rsidRDefault="009E6DB7" w:rsidP="009E6DB7">
            <w:pPr>
              <w:pStyle w:val="LO-normal"/>
              <w:rPr>
                <w:rFonts w:asciiTheme="majorHAnsi" w:hAnsiTheme="majorHAnsi" w:cstheme="majorHAnsi"/>
                <w:i/>
                <w:iCs/>
                <w:sz w:val="18"/>
                <w:szCs w:val="18"/>
              </w:rPr>
            </w:pPr>
            <w:r w:rsidRPr="00312A2D">
              <w:rPr>
                <w:rFonts w:asciiTheme="majorHAnsi" w:hAnsiTheme="majorHAnsi" w:cstheme="majorHAnsi"/>
                <w:i/>
                <w:iCs/>
                <w:sz w:val="18"/>
                <w:szCs w:val="18"/>
              </w:rPr>
              <w:t>Datasets:</w:t>
            </w:r>
          </w:p>
          <w:p w14:paraId="37CBF9FB" w14:textId="3780BCC7" w:rsidR="009E6DB7" w:rsidRDefault="00312A2D" w:rsidP="008357DC">
            <w:pPr>
              <w:pStyle w:val="LO-normal"/>
              <w:rPr>
                <w:rFonts w:asciiTheme="majorHAnsi" w:hAnsiTheme="majorHAnsi" w:cstheme="majorHAnsi"/>
                <w:sz w:val="18"/>
                <w:szCs w:val="18"/>
              </w:rPr>
            </w:pPr>
            <w:proofErr w:type="spellStart"/>
            <w:r w:rsidRPr="00312A2D">
              <w:rPr>
                <w:rFonts w:asciiTheme="majorHAnsi" w:hAnsiTheme="majorHAnsi" w:cstheme="majorHAnsi"/>
                <w:sz w:val="18"/>
                <w:szCs w:val="18"/>
              </w:rPr>
              <w:t>Nieschulze</w:t>
            </w:r>
            <w:proofErr w:type="spellEnd"/>
            <w:r w:rsidRPr="00312A2D">
              <w:rPr>
                <w:rFonts w:asciiTheme="majorHAnsi" w:hAnsiTheme="majorHAnsi" w:cstheme="majorHAnsi"/>
                <w:sz w:val="18"/>
                <w:szCs w:val="18"/>
              </w:rPr>
              <w:t xml:space="preserve"> et al. 2023</w:t>
            </w:r>
          </w:p>
          <w:p w14:paraId="60D6FAAE" w14:textId="77777777" w:rsidR="00312A2D" w:rsidRPr="00312A2D" w:rsidRDefault="00312A2D" w:rsidP="008357DC">
            <w:pPr>
              <w:pStyle w:val="LO-normal"/>
              <w:rPr>
                <w:rFonts w:asciiTheme="majorHAnsi" w:hAnsiTheme="majorHAnsi" w:cstheme="majorHAnsi"/>
                <w:sz w:val="18"/>
                <w:szCs w:val="18"/>
              </w:rPr>
            </w:pPr>
          </w:p>
          <w:p w14:paraId="2DF9FC8A" w14:textId="74428A99" w:rsidR="009E6DB7" w:rsidRPr="009E6DB7" w:rsidRDefault="009E6DB7" w:rsidP="008357DC">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6FB35FF9" w14:textId="7FA9BE64" w:rsidR="008357DC" w:rsidRPr="00665321" w:rsidRDefault="008357DC" w:rsidP="008357DC">
            <w:pPr>
              <w:pStyle w:val="LO-normal"/>
              <w:rPr>
                <w:rFonts w:asciiTheme="majorHAnsi" w:hAnsiTheme="majorHAnsi" w:cstheme="majorHAnsi"/>
                <w:sz w:val="18"/>
                <w:szCs w:val="18"/>
              </w:rPr>
            </w:pPr>
            <w:proofErr w:type="gramStart"/>
            <w:r w:rsidRPr="00665321">
              <w:rPr>
                <w:rFonts w:asciiTheme="majorHAnsi" w:hAnsiTheme="majorHAnsi" w:cstheme="majorHAnsi"/>
                <w:sz w:val="18"/>
                <w:szCs w:val="18"/>
              </w:rPr>
              <w:t>e.g.</w:t>
            </w:r>
            <w:proofErr w:type="gramEnd"/>
            <w:r w:rsidRPr="00665321">
              <w:rPr>
                <w:rFonts w:asciiTheme="majorHAnsi" w:hAnsiTheme="majorHAnsi" w:cstheme="majorHAnsi"/>
                <w:sz w:val="18"/>
                <w:szCs w:val="18"/>
              </w:rPr>
              <w:t xml:space="preserve"> Gossner et al. 2016, Le Provost et al. 2021</w:t>
            </w:r>
          </w:p>
        </w:tc>
      </w:tr>
      <w:tr w:rsidR="00A908E8" w:rsidRPr="00462043" w14:paraId="6BBFEAE4" w14:textId="77777777" w:rsidTr="00696C0D">
        <w:tblPrEx>
          <w:tblCellMar>
            <w:top w:w="0" w:type="dxa"/>
            <w:left w:w="0" w:type="dxa"/>
            <w:bottom w:w="0" w:type="dxa"/>
            <w:right w:w="0" w:type="dxa"/>
          </w:tblCellMar>
          <w:tblLook w:val="04A0" w:firstRow="1" w:lastRow="0" w:firstColumn="1" w:lastColumn="0" w:noHBand="0" w:noVBand="1"/>
        </w:tblPrEx>
        <w:trPr>
          <w:trHeight w:val="480"/>
        </w:trPr>
        <w:tc>
          <w:tcPr>
            <w:tcW w:w="867" w:type="pct"/>
            <w:tcBorders>
              <w:top w:val="single" w:sz="4" w:space="0" w:color="auto"/>
              <w:left w:val="single" w:sz="4" w:space="0" w:color="auto"/>
              <w:bottom w:val="single" w:sz="4" w:space="0" w:color="auto"/>
              <w:right w:val="single" w:sz="4" w:space="0" w:color="auto"/>
            </w:tcBorders>
          </w:tcPr>
          <w:p w14:paraId="766B2A62" w14:textId="77777777"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Year</w:t>
            </w:r>
          </w:p>
        </w:tc>
        <w:tc>
          <w:tcPr>
            <w:tcW w:w="464" w:type="pct"/>
            <w:tcBorders>
              <w:top w:val="single" w:sz="4" w:space="0" w:color="auto"/>
              <w:left w:val="single" w:sz="4" w:space="0" w:color="auto"/>
              <w:bottom w:val="single" w:sz="4" w:space="0" w:color="auto"/>
              <w:right w:val="single" w:sz="4" w:space="0" w:color="auto"/>
            </w:tcBorders>
          </w:tcPr>
          <w:p w14:paraId="0845E226" w14:textId="77777777"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Explanatory variable</w:t>
            </w:r>
          </w:p>
        </w:tc>
        <w:tc>
          <w:tcPr>
            <w:tcW w:w="333" w:type="pct"/>
            <w:tcBorders>
              <w:top w:val="single" w:sz="4" w:space="0" w:color="auto"/>
              <w:left w:val="single" w:sz="4" w:space="0" w:color="auto"/>
              <w:bottom w:val="single" w:sz="4" w:space="0" w:color="auto"/>
              <w:right w:val="single" w:sz="4" w:space="0" w:color="auto"/>
            </w:tcBorders>
          </w:tcPr>
          <w:p w14:paraId="7C0178AF" w14:textId="7CD7135E" w:rsidR="00A908E8" w:rsidRPr="00676C22" w:rsidRDefault="00A908E8" w:rsidP="00A908E8">
            <w:pPr>
              <w:pStyle w:val="LO-normal"/>
              <w:rPr>
                <w:rFonts w:asciiTheme="majorHAnsi" w:hAnsiTheme="majorHAnsi" w:cstheme="majorHAnsi"/>
                <w:sz w:val="18"/>
                <w:szCs w:val="18"/>
              </w:rPr>
            </w:pPr>
            <w:r>
              <w:rPr>
                <w:rFonts w:asciiTheme="majorHAnsi" w:hAnsiTheme="majorHAnsi" w:cstheme="majorHAnsi"/>
                <w:sz w:val="18"/>
                <w:szCs w:val="18"/>
              </w:rPr>
              <w:t>150</w:t>
            </w:r>
          </w:p>
        </w:tc>
        <w:tc>
          <w:tcPr>
            <w:tcW w:w="245" w:type="pct"/>
            <w:tcBorders>
              <w:top w:val="single" w:sz="4" w:space="0" w:color="auto"/>
              <w:left w:val="single" w:sz="4" w:space="0" w:color="auto"/>
              <w:bottom w:val="single" w:sz="4" w:space="0" w:color="auto"/>
              <w:right w:val="single" w:sz="4" w:space="0" w:color="auto"/>
            </w:tcBorders>
          </w:tcPr>
          <w:p w14:paraId="5F7FCA35" w14:textId="77777777"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2008-2018</w:t>
            </w:r>
          </w:p>
        </w:tc>
        <w:tc>
          <w:tcPr>
            <w:tcW w:w="1045" w:type="pct"/>
            <w:tcBorders>
              <w:top w:val="single" w:sz="4" w:space="0" w:color="auto"/>
              <w:left w:val="single" w:sz="4" w:space="0" w:color="auto"/>
              <w:bottom w:val="single" w:sz="4" w:space="0" w:color="auto"/>
              <w:right w:val="single" w:sz="4" w:space="0" w:color="auto"/>
            </w:tcBorders>
          </w:tcPr>
          <w:p w14:paraId="447D3E2D" w14:textId="77777777"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 xml:space="preserve">Year of sampling to calculate temporal distance between samples as explanatory variable. </w:t>
            </w:r>
          </w:p>
        </w:tc>
        <w:tc>
          <w:tcPr>
            <w:tcW w:w="315" w:type="pct"/>
            <w:tcBorders>
              <w:top w:val="single" w:sz="4" w:space="0" w:color="auto"/>
              <w:left w:val="single" w:sz="4" w:space="0" w:color="auto"/>
              <w:bottom w:val="single" w:sz="4" w:space="0" w:color="auto"/>
              <w:right w:val="single" w:sz="4" w:space="0" w:color="auto"/>
            </w:tcBorders>
          </w:tcPr>
          <w:p w14:paraId="13C725E8" w14:textId="537982E5" w:rsidR="00A908E8" w:rsidRPr="00676C22" w:rsidRDefault="00A908E8" w:rsidP="00A908E8">
            <w:pPr>
              <w:pStyle w:val="LO-normal"/>
              <w:rPr>
                <w:rFonts w:asciiTheme="majorHAnsi" w:hAnsiTheme="majorHAnsi" w:cstheme="majorHAnsi"/>
                <w:sz w:val="18"/>
                <w:szCs w:val="18"/>
              </w:rPr>
            </w:pPr>
            <w:r w:rsidRPr="00665321">
              <w:rPr>
                <w:rFonts w:asciiTheme="majorHAnsi" w:hAnsiTheme="majorHAnsi" w:cstheme="majorHAnsi"/>
                <w:sz w:val="18"/>
                <w:szCs w:val="18"/>
              </w:rPr>
              <w:t>25086</w:t>
            </w:r>
          </w:p>
        </w:tc>
        <w:tc>
          <w:tcPr>
            <w:tcW w:w="484" w:type="pct"/>
            <w:tcBorders>
              <w:top w:val="single" w:sz="4" w:space="0" w:color="auto"/>
              <w:left w:val="single" w:sz="4" w:space="0" w:color="auto"/>
              <w:bottom w:val="single" w:sz="4" w:space="0" w:color="auto"/>
              <w:right w:val="single" w:sz="4" w:space="0" w:color="auto"/>
            </w:tcBorders>
          </w:tcPr>
          <w:p w14:paraId="5A05FBCA" w14:textId="7A6D33CB" w:rsidR="00A908E8" w:rsidRPr="00676C22" w:rsidRDefault="00A908E8" w:rsidP="00A908E8">
            <w:pPr>
              <w:pStyle w:val="LO-normal"/>
              <w:rPr>
                <w:rFonts w:asciiTheme="majorHAnsi" w:hAnsiTheme="majorHAnsi" w:cstheme="majorHAnsi"/>
                <w:sz w:val="18"/>
                <w:szCs w:val="18"/>
              </w:rPr>
            </w:pPr>
            <w:r w:rsidRPr="00A908E8">
              <w:rPr>
                <w:rFonts w:asciiTheme="majorHAnsi" w:hAnsiTheme="majorHAnsi" w:cstheme="majorHAnsi"/>
                <w:sz w:val="18"/>
                <w:szCs w:val="18"/>
              </w:rPr>
              <w:t>Katrin Lorenzen</w:t>
            </w:r>
          </w:p>
        </w:tc>
        <w:tc>
          <w:tcPr>
            <w:tcW w:w="623" w:type="pct"/>
            <w:tcBorders>
              <w:top w:val="single" w:sz="4" w:space="0" w:color="auto"/>
              <w:left w:val="single" w:sz="4" w:space="0" w:color="auto"/>
              <w:bottom w:val="single" w:sz="4" w:space="0" w:color="auto"/>
              <w:right w:val="single" w:sz="4" w:space="0" w:color="auto"/>
            </w:tcBorders>
          </w:tcPr>
          <w:p w14:paraId="32994B4D" w14:textId="79CB96C8" w:rsidR="00A908E8" w:rsidRPr="00676C22" w:rsidRDefault="00A908E8" w:rsidP="00A908E8">
            <w:pPr>
              <w:pStyle w:val="LO-normal"/>
              <w:rPr>
                <w:rFonts w:asciiTheme="majorHAnsi" w:hAnsiTheme="majorHAnsi" w:cstheme="majorHAnsi"/>
                <w:sz w:val="18"/>
                <w:szCs w:val="18"/>
              </w:rPr>
            </w:pPr>
            <w:r w:rsidRPr="00665321">
              <w:rPr>
                <w:rFonts w:asciiTheme="majorHAnsi" w:hAnsiTheme="majorHAnsi" w:cstheme="majorHAnsi"/>
                <w:sz w:val="18"/>
                <w:szCs w:val="18"/>
              </w:rPr>
              <w:t>LMT (core), BExIS (core)</w:t>
            </w:r>
          </w:p>
        </w:tc>
        <w:tc>
          <w:tcPr>
            <w:tcW w:w="623" w:type="pct"/>
            <w:tcBorders>
              <w:top w:val="single" w:sz="4" w:space="0" w:color="auto"/>
              <w:left w:val="single" w:sz="4" w:space="0" w:color="auto"/>
              <w:bottom w:val="single" w:sz="4" w:space="0" w:color="auto"/>
              <w:right w:val="single" w:sz="4" w:space="0" w:color="auto"/>
            </w:tcBorders>
          </w:tcPr>
          <w:p w14:paraId="7512406A" w14:textId="77777777" w:rsidR="009E6DB7" w:rsidRPr="00AC79DE" w:rsidRDefault="009E6DB7" w:rsidP="009E6DB7">
            <w:pPr>
              <w:pStyle w:val="LO-normal"/>
              <w:rPr>
                <w:rFonts w:asciiTheme="majorHAnsi" w:hAnsiTheme="majorHAnsi" w:cstheme="majorHAnsi"/>
                <w:i/>
                <w:iCs/>
                <w:sz w:val="18"/>
                <w:szCs w:val="18"/>
              </w:rPr>
            </w:pPr>
            <w:r w:rsidRPr="00AC79DE">
              <w:rPr>
                <w:rFonts w:asciiTheme="majorHAnsi" w:hAnsiTheme="majorHAnsi" w:cstheme="majorHAnsi"/>
                <w:i/>
                <w:iCs/>
                <w:sz w:val="18"/>
                <w:szCs w:val="18"/>
              </w:rPr>
              <w:t>Datasets:</w:t>
            </w:r>
          </w:p>
          <w:p w14:paraId="30B15530" w14:textId="77777777" w:rsidR="00793D2A" w:rsidRPr="00793D2A" w:rsidRDefault="00793D2A" w:rsidP="00793D2A">
            <w:pPr>
              <w:pStyle w:val="LO-normal"/>
              <w:rPr>
                <w:rFonts w:asciiTheme="majorHAnsi" w:hAnsiTheme="majorHAnsi" w:cstheme="majorHAnsi"/>
                <w:sz w:val="18"/>
                <w:szCs w:val="18"/>
              </w:rPr>
            </w:pPr>
            <w:r w:rsidRPr="00793D2A">
              <w:rPr>
                <w:rFonts w:asciiTheme="majorHAnsi" w:hAnsiTheme="majorHAnsi" w:cstheme="majorHAnsi"/>
                <w:sz w:val="18"/>
                <w:szCs w:val="18"/>
              </w:rPr>
              <w:t>Lorenzen et al. 2023</w:t>
            </w:r>
          </w:p>
          <w:p w14:paraId="67FB2DCC" w14:textId="77777777" w:rsidR="00AC79DE" w:rsidRDefault="00AC79DE" w:rsidP="00A908E8">
            <w:pPr>
              <w:pStyle w:val="LO-normal"/>
              <w:rPr>
                <w:rFonts w:asciiTheme="majorHAnsi" w:hAnsiTheme="majorHAnsi" w:cstheme="majorHAnsi"/>
                <w:i/>
                <w:iCs/>
                <w:sz w:val="18"/>
                <w:szCs w:val="18"/>
              </w:rPr>
            </w:pPr>
          </w:p>
          <w:p w14:paraId="067E1A6B" w14:textId="26A0F882" w:rsidR="009E6DB7" w:rsidRPr="009E6DB7" w:rsidRDefault="009E6DB7" w:rsidP="00A908E8">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3DEA976C" w14:textId="6A8EE1EC" w:rsidR="00A908E8" w:rsidRPr="00D25569" w:rsidRDefault="00A908E8" w:rsidP="00A908E8">
            <w:pPr>
              <w:pStyle w:val="LO-normal"/>
              <w:rPr>
                <w:rFonts w:asciiTheme="majorHAnsi" w:hAnsiTheme="majorHAnsi" w:cstheme="majorHAnsi"/>
                <w:sz w:val="18"/>
                <w:szCs w:val="18"/>
                <w:lang w:val="de-DE"/>
              </w:rPr>
            </w:pPr>
            <w:r w:rsidRPr="00D25569">
              <w:rPr>
                <w:rFonts w:asciiTheme="majorHAnsi" w:hAnsiTheme="majorHAnsi" w:cstheme="majorHAnsi"/>
                <w:sz w:val="18"/>
                <w:szCs w:val="18"/>
                <w:lang w:val="de-DE"/>
              </w:rPr>
              <w:t xml:space="preserve">e.g. </w:t>
            </w:r>
            <w:proofErr w:type="spellStart"/>
            <w:r w:rsidRPr="00D25569">
              <w:rPr>
                <w:rFonts w:asciiTheme="majorHAnsi" w:hAnsiTheme="majorHAnsi" w:cstheme="majorHAnsi"/>
                <w:sz w:val="18"/>
                <w:szCs w:val="18"/>
                <w:lang w:val="de-DE"/>
              </w:rPr>
              <w:t>Allan</w:t>
            </w:r>
            <w:proofErr w:type="spellEnd"/>
            <w:r w:rsidRPr="00D25569">
              <w:rPr>
                <w:rFonts w:asciiTheme="majorHAnsi" w:hAnsiTheme="majorHAnsi" w:cstheme="majorHAnsi"/>
                <w:sz w:val="18"/>
                <w:szCs w:val="18"/>
                <w:lang w:val="de-DE"/>
              </w:rPr>
              <w:t xml:space="preserve"> et al. 2014, </w:t>
            </w:r>
            <w:proofErr w:type="spellStart"/>
            <w:r w:rsidRPr="00D25569">
              <w:rPr>
                <w:rFonts w:asciiTheme="majorHAnsi" w:hAnsiTheme="majorHAnsi" w:cstheme="majorHAnsi"/>
                <w:sz w:val="18"/>
                <w:szCs w:val="18"/>
                <w:lang w:val="de-DE"/>
              </w:rPr>
              <w:t>Bazichetto</w:t>
            </w:r>
            <w:proofErr w:type="spellEnd"/>
            <w:r w:rsidRPr="00D25569">
              <w:rPr>
                <w:rFonts w:asciiTheme="majorHAnsi" w:hAnsiTheme="majorHAnsi" w:cstheme="majorHAnsi"/>
                <w:sz w:val="18"/>
                <w:szCs w:val="18"/>
                <w:lang w:val="de-DE"/>
              </w:rPr>
              <w:t xml:space="preserve"> et al. 2024</w:t>
            </w:r>
          </w:p>
        </w:tc>
      </w:tr>
      <w:tr w:rsidR="00A908E8" w:rsidRPr="009E6DB7" w14:paraId="40D5E129" w14:textId="77777777" w:rsidTr="00696C0D">
        <w:tblPrEx>
          <w:tblCellMar>
            <w:top w:w="0" w:type="dxa"/>
            <w:left w:w="0" w:type="dxa"/>
            <w:bottom w:w="0" w:type="dxa"/>
            <w:right w:w="0" w:type="dxa"/>
          </w:tblCellMar>
          <w:tblLook w:val="04A0" w:firstRow="1" w:lastRow="0" w:firstColumn="1" w:lastColumn="0" w:noHBand="0" w:noVBand="1"/>
        </w:tblPrEx>
        <w:trPr>
          <w:trHeight w:val="480"/>
        </w:trPr>
        <w:tc>
          <w:tcPr>
            <w:tcW w:w="867" w:type="pct"/>
            <w:tcBorders>
              <w:top w:val="single" w:sz="4" w:space="0" w:color="auto"/>
              <w:left w:val="single" w:sz="4" w:space="0" w:color="auto"/>
              <w:bottom w:val="single" w:sz="4" w:space="0" w:color="auto"/>
              <w:right w:val="single" w:sz="4" w:space="0" w:color="auto"/>
            </w:tcBorders>
          </w:tcPr>
          <w:p w14:paraId="5AED9F81" w14:textId="1C75589B"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lastRenderedPageBreak/>
              <w:t>Grassland permanency</w:t>
            </w:r>
          </w:p>
        </w:tc>
        <w:tc>
          <w:tcPr>
            <w:tcW w:w="464" w:type="pct"/>
            <w:tcBorders>
              <w:top w:val="single" w:sz="4" w:space="0" w:color="auto"/>
              <w:left w:val="single" w:sz="4" w:space="0" w:color="auto"/>
              <w:bottom w:val="single" w:sz="4" w:space="0" w:color="auto"/>
              <w:right w:val="single" w:sz="4" w:space="0" w:color="auto"/>
            </w:tcBorders>
          </w:tcPr>
          <w:p w14:paraId="690D0688" w14:textId="0A33A38A"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Covariate</w:t>
            </w:r>
          </w:p>
        </w:tc>
        <w:tc>
          <w:tcPr>
            <w:tcW w:w="333" w:type="pct"/>
            <w:tcBorders>
              <w:top w:val="single" w:sz="4" w:space="0" w:color="auto"/>
              <w:left w:val="single" w:sz="4" w:space="0" w:color="auto"/>
              <w:bottom w:val="single" w:sz="4" w:space="0" w:color="auto"/>
              <w:right w:val="single" w:sz="4" w:space="0" w:color="auto"/>
            </w:tcBorders>
          </w:tcPr>
          <w:p w14:paraId="33C0741C" w14:textId="302C5252" w:rsidR="00A908E8" w:rsidRPr="00676C22" w:rsidRDefault="00A908E8" w:rsidP="00A908E8">
            <w:pPr>
              <w:pStyle w:val="LO-normal"/>
              <w:rPr>
                <w:rFonts w:asciiTheme="majorHAnsi" w:hAnsiTheme="majorHAnsi" w:cstheme="majorHAnsi"/>
                <w:sz w:val="18"/>
                <w:szCs w:val="18"/>
              </w:rPr>
            </w:pPr>
            <w:r>
              <w:rPr>
                <w:rFonts w:asciiTheme="majorHAnsi" w:hAnsiTheme="majorHAnsi" w:cstheme="majorHAnsi"/>
                <w:sz w:val="18"/>
                <w:szCs w:val="18"/>
              </w:rPr>
              <w:t>150</w:t>
            </w:r>
          </w:p>
        </w:tc>
        <w:tc>
          <w:tcPr>
            <w:tcW w:w="245" w:type="pct"/>
            <w:tcBorders>
              <w:top w:val="single" w:sz="4" w:space="0" w:color="auto"/>
              <w:left w:val="single" w:sz="4" w:space="0" w:color="auto"/>
              <w:bottom w:val="single" w:sz="4" w:space="0" w:color="auto"/>
              <w:right w:val="single" w:sz="4" w:space="0" w:color="auto"/>
            </w:tcBorders>
          </w:tcPr>
          <w:p w14:paraId="793334CE" w14:textId="400FE6AF"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2008</w:t>
            </w:r>
          </w:p>
        </w:tc>
        <w:tc>
          <w:tcPr>
            <w:tcW w:w="1045" w:type="pct"/>
            <w:tcBorders>
              <w:top w:val="single" w:sz="4" w:space="0" w:color="auto"/>
              <w:left w:val="single" w:sz="4" w:space="0" w:color="auto"/>
              <w:bottom w:val="single" w:sz="4" w:space="0" w:color="auto"/>
              <w:right w:val="single" w:sz="4" w:space="0" w:color="auto"/>
            </w:tcBorders>
          </w:tcPr>
          <w:p w14:paraId="3C7DAC7C" w14:textId="37832F20"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color w:val="000000"/>
                <w:sz w:val="18"/>
                <w:szCs w:val="18"/>
                <w:lang w:val="en-GB"/>
              </w:rPr>
              <w:t xml:space="preserve">Grassland permanency was calculated based on historical land-use maps quantifying the stability of grassland covers between 1820/50 (1820: </w:t>
            </w:r>
            <w:proofErr w:type="spellStart"/>
            <w:r w:rsidRPr="00676C22">
              <w:rPr>
                <w:rFonts w:asciiTheme="majorHAnsi" w:hAnsiTheme="majorHAnsi" w:cstheme="majorHAnsi"/>
                <w:color w:val="000000"/>
                <w:sz w:val="18"/>
                <w:szCs w:val="18"/>
                <w:lang w:val="en-GB"/>
              </w:rPr>
              <w:t>Schwaebische</w:t>
            </w:r>
            <w:proofErr w:type="spellEnd"/>
            <w:r w:rsidRPr="00676C22">
              <w:rPr>
                <w:rFonts w:asciiTheme="majorHAnsi" w:hAnsiTheme="majorHAnsi" w:cstheme="majorHAnsi"/>
                <w:color w:val="000000"/>
                <w:sz w:val="18"/>
                <w:szCs w:val="18"/>
                <w:lang w:val="en-GB"/>
              </w:rPr>
              <w:t xml:space="preserve"> Alb; 1850: </w:t>
            </w:r>
            <w:proofErr w:type="spellStart"/>
            <w:r w:rsidRPr="00676C22">
              <w:rPr>
                <w:rFonts w:asciiTheme="majorHAnsi" w:hAnsiTheme="majorHAnsi" w:cstheme="majorHAnsi"/>
                <w:color w:val="000000"/>
                <w:sz w:val="18"/>
                <w:szCs w:val="18"/>
                <w:lang w:val="en-GB"/>
              </w:rPr>
              <w:t>Hainich</w:t>
            </w:r>
            <w:proofErr w:type="spellEnd"/>
            <w:r w:rsidRPr="00676C22">
              <w:rPr>
                <w:rFonts w:asciiTheme="majorHAnsi" w:hAnsiTheme="majorHAnsi" w:cstheme="majorHAnsi"/>
                <w:color w:val="000000"/>
                <w:sz w:val="18"/>
                <w:szCs w:val="18"/>
                <w:lang w:val="en-GB"/>
              </w:rPr>
              <w:t xml:space="preserve">, </w:t>
            </w:r>
            <w:proofErr w:type="spellStart"/>
            <w:r w:rsidRPr="00676C22">
              <w:rPr>
                <w:rFonts w:asciiTheme="majorHAnsi" w:hAnsiTheme="majorHAnsi" w:cstheme="majorHAnsi"/>
                <w:color w:val="000000"/>
                <w:sz w:val="18"/>
                <w:szCs w:val="18"/>
                <w:lang w:val="en-GB"/>
              </w:rPr>
              <w:t>Schorfheide-Corin</w:t>
            </w:r>
            <w:proofErr w:type="spellEnd"/>
            <w:r w:rsidRPr="00676C22">
              <w:rPr>
                <w:rFonts w:asciiTheme="majorHAnsi" w:hAnsiTheme="majorHAnsi" w:cstheme="majorHAnsi"/>
                <w:color w:val="000000"/>
                <w:sz w:val="18"/>
                <w:szCs w:val="18"/>
                <w:lang w:val="en-GB"/>
              </w:rPr>
              <w:t xml:space="preserve">) and 2008 within 500 m radius of each plot </w:t>
            </w:r>
          </w:p>
        </w:tc>
        <w:tc>
          <w:tcPr>
            <w:tcW w:w="315" w:type="pct"/>
            <w:tcBorders>
              <w:top w:val="single" w:sz="4" w:space="0" w:color="auto"/>
              <w:left w:val="single" w:sz="4" w:space="0" w:color="auto"/>
              <w:bottom w:val="single" w:sz="4" w:space="0" w:color="auto"/>
              <w:right w:val="single" w:sz="4" w:space="0" w:color="auto"/>
            </w:tcBorders>
          </w:tcPr>
          <w:p w14:paraId="3C4EEF62" w14:textId="1A37D014"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31018</w:t>
            </w:r>
          </w:p>
        </w:tc>
        <w:tc>
          <w:tcPr>
            <w:tcW w:w="484" w:type="pct"/>
            <w:tcBorders>
              <w:top w:val="single" w:sz="4" w:space="0" w:color="auto"/>
              <w:left w:val="single" w:sz="4" w:space="0" w:color="auto"/>
              <w:bottom w:val="single" w:sz="4" w:space="0" w:color="auto"/>
              <w:right w:val="single" w:sz="4" w:space="0" w:color="auto"/>
            </w:tcBorders>
          </w:tcPr>
          <w:p w14:paraId="3B425061" w14:textId="55F2135D" w:rsidR="00A908E8" w:rsidRPr="00676C22" w:rsidRDefault="00A908E8" w:rsidP="00A908E8">
            <w:pPr>
              <w:pStyle w:val="LO-normal"/>
              <w:rPr>
                <w:rFonts w:asciiTheme="majorHAnsi" w:hAnsiTheme="majorHAnsi" w:cstheme="majorHAnsi"/>
                <w:sz w:val="18"/>
                <w:szCs w:val="18"/>
              </w:rPr>
            </w:pPr>
            <w:r w:rsidRPr="00676C22">
              <w:rPr>
                <w:rFonts w:asciiTheme="majorHAnsi" w:hAnsiTheme="majorHAnsi" w:cstheme="majorHAnsi"/>
                <w:sz w:val="18"/>
                <w:szCs w:val="18"/>
              </w:rPr>
              <w:t>Peter Manning</w:t>
            </w:r>
          </w:p>
        </w:tc>
        <w:tc>
          <w:tcPr>
            <w:tcW w:w="623" w:type="pct"/>
            <w:tcBorders>
              <w:top w:val="single" w:sz="4" w:space="0" w:color="auto"/>
              <w:left w:val="single" w:sz="4" w:space="0" w:color="auto"/>
              <w:bottom w:val="single" w:sz="4" w:space="0" w:color="auto"/>
              <w:right w:val="single" w:sz="4" w:space="0" w:color="auto"/>
            </w:tcBorders>
          </w:tcPr>
          <w:p w14:paraId="7A12618A" w14:textId="16AE9287" w:rsidR="00A908E8" w:rsidRPr="00676C22" w:rsidRDefault="00A908E8" w:rsidP="00A908E8">
            <w:pPr>
              <w:pStyle w:val="LO-normal"/>
              <w:rPr>
                <w:rFonts w:asciiTheme="majorHAnsi" w:hAnsiTheme="majorHAnsi" w:cstheme="majorHAnsi"/>
                <w:sz w:val="18"/>
                <w:szCs w:val="18"/>
              </w:rPr>
            </w:pPr>
            <w:proofErr w:type="spellStart"/>
            <w:r w:rsidRPr="00676C22">
              <w:rPr>
                <w:rFonts w:asciiTheme="majorHAnsi" w:hAnsiTheme="majorHAnsi" w:cstheme="majorHAnsi"/>
                <w:sz w:val="18"/>
                <w:szCs w:val="18"/>
              </w:rPr>
              <w:t>BEFup</w:t>
            </w:r>
            <w:proofErr w:type="spellEnd"/>
          </w:p>
        </w:tc>
        <w:tc>
          <w:tcPr>
            <w:tcW w:w="623" w:type="pct"/>
            <w:tcBorders>
              <w:top w:val="single" w:sz="4" w:space="0" w:color="auto"/>
              <w:left w:val="single" w:sz="4" w:space="0" w:color="auto"/>
              <w:bottom w:val="single" w:sz="4" w:space="0" w:color="auto"/>
              <w:right w:val="single" w:sz="4" w:space="0" w:color="auto"/>
            </w:tcBorders>
          </w:tcPr>
          <w:p w14:paraId="293DCF25" w14:textId="77777777" w:rsidR="009E6DB7" w:rsidRPr="009E6DB7" w:rsidRDefault="009E6DB7" w:rsidP="009E6DB7">
            <w:pPr>
              <w:pStyle w:val="LO-normal"/>
              <w:rPr>
                <w:rFonts w:asciiTheme="majorHAnsi" w:hAnsiTheme="majorHAnsi" w:cstheme="majorHAnsi"/>
                <w:i/>
                <w:iCs/>
                <w:sz w:val="18"/>
                <w:szCs w:val="18"/>
                <w:lang w:val="de-DE"/>
              </w:rPr>
            </w:pPr>
            <w:r w:rsidRPr="009E6DB7">
              <w:rPr>
                <w:rFonts w:asciiTheme="majorHAnsi" w:hAnsiTheme="majorHAnsi" w:cstheme="majorHAnsi"/>
                <w:i/>
                <w:iCs/>
                <w:sz w:val="18"/>
                <w:szCs w:val="18"/>
                <w:lang w:val="de-DE"/>
              </w:rPr>
              <w:t>Datasets:</w:t>
            </w:r>
          </w:p>
          <w:p w14:paraId="626A7600" w14:textId="6EE9B4F0" w:rsidR="009E6DB7" w:rsidRDefault="00312A2D" w:rsidP="00A908E8">
            <w:pPr>
              <w:pStyle w:val="LO-normal"/>
              <w:rPr>
                <w:rFonts w:asciiTheme="majorHAnsi" w:hAnsiTheme="majorHAnsi" w:cstheme="majorHAnsi"/>
                <w:sz w:val="18"/>
                <w:szCs w:val="18"/>
              </w:rPr>
            </w:pPr>
            <w:r w:rsidRPr="00312A2D">
              <w:rPr>
                <w:rFonts w:asciiTheme="majorHAnsi" w:hAnsiTheme="majorHAnsi" w:cstheme="majorHAnsi"/>
                <w:sz w:val="18"/>
                <w:szCs w:val="18"/>
              </w:rPr>
              <w:t>Manning 2023</w:t>
            </w:r>
          </w:p>
          <w:p w14:paraId="16CF5C24" w14:textId="77777777" w:rsidR="00312A2D" w:rsidRPr="00312A2D" w:rsidRDefault="00312A2D" w:rsidP="00A908E8">
            <w:pPr>
              <w:pStyle w:val="LO-normal"/>
              <w:rPr>
                <w:rFonts w:asciiTheme="majorHAnsi" w:hAnsiTheme="majorHAnsi" w:cstheme="majorHAnsi"/>
                <w:sz w:val="18"/>
                <w:szCs w:val="18"/>
              </w:rPr>
            </w:pPr>
          </w:p>
          <w:p w14:paraId="51B8F90D" w14:textId="583E2050" w:rsidR="009E6DB7" w:rsidRPr="009E6DB7" w:rsidRDefault="009E6DB7" w:rsidP="00A908E8">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2E34F633" w14:textId="586910DE" w:rsidR="00A908E8" w:rsidRPr="00A77187" w:rsidRDefault="00A908E8" w:rsidP="00A908E8">
            <w:pPr>
              <w:pStyle w:val="LO-normal"/>
              <w:rPr>
                <w:rFonts w:asciiTheme="majorHAnsi" w:hAnsiTheme="majorHAnsi" w:cstheme="majorHAnsi"/>
                <w:sz w:val="18"/>
                <w:szCs w:val="18"/>
                <w:lang w:val="de-DE"/>
              </w:rPr>
            </w:pPr>
            <w:r w:rsidRPr="00A77187">
              <w:rPr>
                <w:rFonts w:asciiTheme="majorHAnsi" w:hAnsiTheme="majorHAnsi" w:cstheme="majorHAnsi"/>
                <w:sz w:val="18"/>
                <w:szCs w:val="18"/>
                <w:lang w:val="de-DE"/>
              </w:rPr>
              <w:t xml:space="preserve">e.g. Le Provost et al. </w:t>
            </w:r>
            <w:r w:rsidRPr="00D25569">
              <w:rPr>
                <w:rFonts w:asciiTheme="majorHAnsi" w:hAnsiTheme="majorHAnsi" w:cstheme="majorHAnsi"/>
                <w:sz w:val="18"/>
                <w:szCs w:val="18"/>
                <w:lang w:val="de-DE"/>
              </w:rPr>
              <w:t xml:space="preserve">2021, </w:t>
            </w:r>
            <w:proofErr w:type="spellStart"/>
            <w:r w:rsidRPr="00D25569">
              <w:rPr>
                <w:rFonts w:asciiTheme="majorHAnsi" w:hAnsiTheme="majorHAnsi" w:cstheme="majorHAnsi"/>
                <w:sz w:val="18"/>
                <w:szCs w:val="18"/>
                <w:lang w:val="de-DE"/>
              </w:rPr>
              <w:t>Scherreiks</w:t>
            </w:r>
            <w:proofErr w:type="spellEnd"/>
            <w:r w:rsidRPr="00D25569">
              <w:rPr>
                <w:rFonts w:asciiTheme="majorHAnsi" w:hAnsiTheme="majorHAnsi" w:cstheme="majorHAnsi"/>
                <w:sz w:val="18"/>
                <w:szCs w:val="18"/>
                <w:lang w:val="de-DE"/>
              </w:rPr>
              <w:t xml:space="preserve"> et al. 2022</w:t>
            </w:r>
          </w:p>
        </w:tc>
      </w:tr>
      <w:tr w:rsidR="00A908E8" w:rsidRPr="00676C22" w14:paraId="48F9EB4B" w14:textId="77777777" w:rsidTr="00696C0D">
        <w:trPr>
          <w:trHeight w:val="585"/>
        </w:trPr>
        <w:tc>
          <w:tcPr>
            <w:tcW w:w="867" w:type="pct"/>
            <w:tcBorders>
              <w:top w:val="single" w:sz="4" w:space="0" w:color="auto"/>
              <w:left w:val="single" w:sz="4" w:space="0" w:color="auto"/>
              <w:bottom w:val="single" w:sz="4" w:space="0" w:color="auto"/>
              <w:right w:val="single" w:sz="4" w:space="0" w:color="auto"/>
            </w:tcBorders>
            <w:shd w:val="clear" w:color="auto" w:fill="FFFFFF"/>
          </w:tcPr>
          <w:p w14:paraId="2E3544A0" w14:textId="46E41C34"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Grassland isolation</w:t>
            </w:r>
          </w:p>
        </w:tc>
        <w:tc>
          <w:tcPr>
            <w:tcW w:w="464" w:type="pct"/>
            <w:tcBorders>
              <w:top w:val="single" w:sz="4" w:space="0" w:color="auto"/>
              <w:left w:val="single" w:sz="4" w:space="0" w:color="auto"/>
              <w:bottom w:val="single" w:sz="4" w:space="0" w:color="auto"/>
              <w:right w:val="single" w:sz="4" w:space="0" w:color="auto"/>
            </w:tcBorders>
            <w:shd w:val="clear" w:color="auto" w:fill="FFFFFF"/>
          </w:tcPr>
          <w:p w14:paraId="45E80088" w14:textId="292D8E9D"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Covariate</w:t>
            </w:r>
          </w:p>
        </w:tc>
        <w:tc>
          <w:tcPr>
            <w:tcW w:w="333" w:type="pct"/>
            <w:tcBorders>
              <w:top w:val="single" w:sz="4" w:space="0" w:color="auto"/>
              <w:left w:val="single" w:sz="4" w:space="0" w:color="auto"/>
              <w:bottom w:val="single" w:sz="4" w:space="0" w:color="auto"/>
              <w:right w:val="single" w:sz="4" w:space="0" w:color="auto"/>
            </w:tcBorders>
            <w:shd w:val="clear" w:color="auto" w:fill="FFFFFF"/>
          </w:tcPr>
          <w:p w14:paraId="70693EEA" w14:textId="68344DFA"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1</w:t>
            </w:r>
            <w:r>
              <w:rPr>
                <w:rFonts w:asciiTheme="majorHAnsi" w:hAnsiTheme="majorHAnsi" w:cstheme="majorHAnsi"/>
                <w:sz w:val="18"/>
                <w:szCs w:val="18"/>
              </w:rPr>
              <w:t>50</w:t>
            </w:r>
          </w:p>
        </w:tc>
        <w:tc>
          <w:tcPr>
            <w:tcW w:w="245" w:type="pct"/>
            <w:tcBorders>
              <w:top w:val="single" w:sz="4" w:space="0" w:color="auto"/>
              <w:left w:val="single" w:sz="4" w:space="0" w:color="auto"/>
              <w:bottom w:val="single" w:sz="4" w:space="0" w:color="auto"/>
              <w:right w:val="single" w:sz="4" w:space="0" w:color="auto"/>
            </w:tcBorders>
            <w:shd w:val="clear" w:color="auto" w:fill="FFFFFF"/>
          </w:tcPr>
          <w:p w14:paraId="109F8B3A" w14:textId="010B7E7A"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w:t>
            </w:r>
            <w:r>
              <w:rPr>
                <w:rFonts w:asciiTheme="majorHAnsi" w:hAnsiTheme="majorHAnsi" w:cstheme="majorHAnsi"/>
                <w:sz w:val="18"/>
                <w:szCs w:val="18"/>
              </w:rPr>
              <w:t>09</w:t>
            </w:r>
          </w:p>
        </w:tc>
        <w:tc>
          <w:tcPr>
            <w:tcW w:w="1045" w:type="pct"/>
            <w:tcBorders>
              <w:top w:val="single" w:sz="4" w:space="0" w:color="auto"/>
              <w:left w:val="single" w:sz="4" w:space="0" w:color="auto"/>
              <w:bottom w:val="single" w:sz="4" w:space="0" w:color="auto"/>
              <w:right w:val="single" w:sz="4" w:space="0" w:color="auto"/>
            </w:tcBorders>
            <w:shd w:val="clear" w:color="auto" w:fill="FFFFFF"/>
          </w:tcPr>
          <w:p w14:paraId="53ACD90E" w14:textId="0EA0E9CF"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color w:val="000000"/>
                <w:sz w:val="18"/>
                <w:szCs w:val="18"/>
                <w:lang w:val="en-GB"/>
              </w:rPr>
              <w:t>Grassland isolation was calculated as described in Gossner et al. (2016). Based on arial photographs with 40 cm resolution from 2008 we measured the cover of all potential grassland habitats within a 500 m radius of each plot; one minus this grassland proportion was used as an estimate of grassland isolation.</w:t>
            </w:r>
          </w:p>
        </w:tc>
        <w:tc>
          <w:tcPr>
            <w:tcW w:w="315" w:type="pct"/>
            <w:tcBorders>
              <w:top w:val="single" w:sz="4" w:space="0" w:color="auto"/>
              <w:left w:val="single" w:sz="4" w:space="0" w:color="auto"/>
              <w:bottom w:val="single" w:sz="4" w:space="0" w:color="auto"/>
              <w:right w:val="single" w:sz="4" w:space="0" w:color="auto"/>
            </w:tcBorders>
            <w:shd w:val="clear" w:color="auto" w:fill="FFFFFF"/>
          </w:tcPr>
          <w:p w14:paraId="5F83A91A" w14:textId="453CB13E" w:rsidR="00A908E8" w:rsidRPr="00676C22" w:rsidRDefault="00A908E8" w:rsidP="00A908E8">
            <w:pPr>
              <w:pStyle w:val="LO-normal"/>
              <w:rPr>
                <w:rFonts w:asciiTheme="majorHAnsi" w:eastAsia="Arial" w:hAnsiTheme="majorHAnsi" w:cstheme="majorHAnsi"/>
                <w:sz w:val="18"/>
                <w:szCs w:val="18"/>
              </w:rPr>
            </w:pPr>
            <w:r>
              <w:rPr>
                <w:rFonts w:asciiTheme="majorHAnsi" w:hAnsiTheme="majorHAnsi" w:cstheme="majorHAnsi"/>
                <w:noProof/>
                <w:sz w:val="18"/>
                <w:szCs w:val="18"/>
              </w:rPr>
              <w:t>18148</w:t>
            </w:r>
          </w:p>
        </w:tc>
        <w:tc>
          <w:tcPr>
            <w:tcW w:w="484" w:type="pct"/>
            <w:tcBorders>
              <w:top w:val="single" w:sz="4" w:space="0" w:color="auto"/>
              <w:left w:val="single" w:sz="4" w:space="0" w:color="auto"/>
              <w:bottom w:val="single" w:sz="4" w:space="0" w:color="auto"/>
              <w:right w:val="single" w:sz="4" w:space="0" w:color="auto"/>
            </w:tcBorders>
            <w:shd w:val="clear" w:color="auto" w:fill="FFFFFF"/>
          </w:tcPr>
          <w:p w14:paraId="58FB30F2" w14:textId="355D4EE1" w:rsidR="00A908E8" w:rsidRPr="00676C22" w:rsidRDefault="00A908E8" w:rsidP="00A908E8">
            <w:pPr>
              <w:pStyle w:val="LO-normal"/>
              <w:rPr>
                <w:rFonts w:asciiTheme="majorHAnsi" w:eastAsia="Arial" w:hAnsiTheme="majorHAnsi" w:cstheme="majorHAnsi"/>
                <w:sz w:val="18"/>
                <w:szCs w:val="18"/>
              </w:rPr>
            </w:pPr>
            <w:r>
              <w:rPr>
                <w:rFonts w:asciiTheme="majorHAnsi" w:hAnsiTheme="majorHAnsi" w:cstheme="majorHAnsi"/>
                <w:sz w:val="18"/>
                <w:szCs w:val="18"/>
              </w:rPr>
              <w:t>Catrin Westphal</w:t>
            </w:r>
          </w:p>
        </w:tc>
        <w:tc>
          <w:tcPr>
            <w:tcW w:w="623" w:type="pct"/>
            <w:tcBorders>
              <w:top w:val="single" w:sz="4" w:space="0" w:color="auto"/>
              <w:left w:val="single" w:sz="4" w:space="0" w:color="auto"/>
              <w:bottom w:val="single" w:sz="4" w:space="0" w:color="auto"/>
              <w:right w:val="single" w:sz="4" w:space="0" w:color="auto"/>
            </w:tcBorders>
            <w:shd w:val="clear" w:color="auto" w:fill="FFFFFF"/>
          </w:tcPr>
          <w:p w14:paraId="3791A056" w14:textId="77AFDAC1" w:rsidR="00A908E8" w:rsidRPr="00676C22" w:rsidRDefault="00A908E8" w:rsidP="00A908E8">
            <w:pPr>
              <w:pStyle w:val="LO-normal"/>
              <w:rPr>
                <w:rFonts w:asciiTheme="majorHAnsi" w:eastAsia="Arial" w:hAnsiTheme="majorHAnsi" w:cstheme="majorHAnsi"/>
                <w:sz w:val="18"/>
                <w:szCs w:val="18"/>
              </w:rPr>
            </w:pPr>
            <w:r w:rsidRPr="00665321">
              <w:rPr>
                <w:rFonts w:asciiTheme="majorHAnsi" w:hAnsiTheme="majorHAnsi" w:cstheme="majorHAnsi"/>
                <w:noProof/>
                <w:sz w:val="18"/>
                <w:szCs w:val="18"/>
              </w:rPr>
              <w:t>InsectScale</w:t>
            </w:r>
          </w:p>
        </w:tc>
        <w:tc>
          <w:tcPr>
            <w:tcW w:w="623" w:type="pct"/>
            <w:tcBorders>
              <w:top w:val="single" w:sz="4" w:space="0" w:color="auto"/>
              <w:left w:val="single" w:sz="4" w:space="0" w:color="auto"/>
              <w:bottom w:val="single" w:sz="4" w:space="0" w:color="auto"/>
              <w:right w:val="single" w:sz="4" w:space="0" w:color="auto"/>
            </w:tcBorders>
            <w:shd w:val="clear" w:color="auto" w:fill="FFFFFF"/>
          </w:tcPr>
          <w:p w14:paraId="77EC39DB" w14:textId="77777777" w:rsidR="009E6DB7" w:rsidRPr="009E6DB7" w:rsidRDefault="009E6DB7" w:rsidP="009E6DB7">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Datasets:</w:t>
            </w:r>
          </w:p>
          <w:p w14:paraId="091B4546" w14:textId="527E5D9A" w:rsidR="00AC79DE" w:rsidRPr="00AC79DE" w:rsidRDefault="00AC79DE" w:rsidP="00A908E8">
            <w:pPr>
              <w:pStyle w:val="LO-normal"/>
              <w:rPr>
                <w:rFonts w:asciiTheme="majorHAnsi" w:hAnsiTheme="majorHAnsi" w:cstheme="majorHAnsi"/>
                <w:sz w:val="18"/>
                <w:szCs w:val="18"/>
              </w:rPr>
            </w:pPr>
            <w:r w:rsidRPr="00AC79DE">
              <w:rPr>
                <w:rFonts w:asciiTheme="majorHAnsi" w:hAnsiTheme="majorHAnsi" w:cstheme="majorHAnsi"/>
                <w:sz w:val="18"/>
                <w:szCs w:val="18"/>
              </w:rPr>
              <w:t>Westphal et al. 2017</w:t>
            </w:r>
          </w:p>
          <w:p w14:paraId="311A4D5B" w14:textId="77777777" w:rsidR="00793D2A" w:rsidRDefault="00793D2A" w:rsidP="00A908E8">
            <w:pPr>
              <w:pStyle w:val="LO-normal"/>
              <w:rPr>
                <w:rFonts w:asciiTheme="majorHAnsi" w:hAnsiTheme="majorHAnsi" w:cstheme="majorHAnsi"/>
                <w:i/>
                <w:iCs/>
                <w:sz w:val="18"/>
                <w:szCs w:val="18"/>
              </w:rPr>
            </w:pPr>
          </w:p>
          <w:p w14:paraId="2CF9ECC7" w14:textId="660035BC" w:rsidR="009E6DB7" w:rsidRPr="009E6DB7" w:rsidRDefault="009E6DB7" w:rsidP="00A908E8">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68C0D6B6" w14:textId="272AB8A2" w:rsidR="00A908E8" w:rsidRPr="00676C22" w:rsidRDefault="00A908E8" w:rsidP="00A908E8">
            <w:pPr>
              <w:pStyle w:val="LO-normal"/>
              <w:rPr>
                <w:rFonts w:asciiTheme="majorHAnsi" w:hAnsiTheme="majorHAnsi" w:cstheme="majorHAnsi"/>
                <w:sz w:val="18"/>
                <w:szCs w:val="18"/>
                <w:lang w:val="es-ES"/>
              </w:rPr>
            </w:pPr>
            <w:proofErr w:type="spellStart"/>
            <w:r w:rsidRPr="00676C22">
              <w:rPr>
                <w:rFonts w:asciiTheme="majorHAnsi" w:hAnsiTheme="majorHAnsi" w:cstheme="majorHAnsi"/>
                <w:sz w:val="18"/>
                <w:szCs w:val="18"/>
                <w:lang w:val="es-ES"/>
              </w:rPr>
              <w:t>e.g</w:t>
            </w:r>
            <w:proofErr w:type="spellEnd"/>
            <w:r w:rsidRPr="00676C22">
              <w:rPr>
                <w:rFonts w:asciiTheme="majorHAnsi" w:hAnsiTheme="majorHAnsi" w:cstheme="majorHAnsi"/>
                <w:sz w:val="18"/>
                <w:szCs w:val="18"/>
                <w:lang w:val="es-ES"/>
              </w:rPr>
              <w:t>. Gossner et al. 2016, Le Provost et al. 2021</w:t>
            </w:r>
          </w:p>
        </w:tc>
      </w:tr>
      <w:tr w:rsidR="00A908E8" w:rsidRPr="00462043" w14:paraId="2194D53A" w14:textId="77777777" w:rsidTr="00696C0D">
        <w:trPr>
          <w:trHeight w:val="780"/>
        </w:trPr>
        <w:tc>
          <w:tcPr>
            <w:tcW w:w="867" w:type="pct"/>
            <w:tcBorders>
              <w:top w:val="single" w:sz="4" w:space="0" w:color="auto"/>
              <w:left w:val="single" w:sz="6" w:space="0" w:color="000000"/>
              <w:bottom w:val="single" w:sz="6" w:space="0" w:color="000000"/>
              <w:right w:val="single" w:sz="6" w:space="0" w:color="000000"/>
            </w:tcBorders>
            <w:shd w:val="clear" w:color="auto" w:fill="FFFFFF"/>
          </w:tcPr>
          <w:p w14:paraId="36C47AA8" w14:textId="6E5D378F"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Soil conditions (pH, soil nutrients)</w:t>
            </w:r>
          </w:p>
        </w:tc>
        <w:tc>
          <w:tcPr>
            <w:tcW w:w="464" w:type="pct"/>
            <w:tcBorders>
              <w:top w:val="single" w:sz="4" w:space="0" w:color="auto"/>
              <w:left w:val="single" w:sz="6" w:space="0" w:color="000000"/>
              <w:bottom w:val="single" w:sz="6" w:space="0" w:color="000000"/>
              <w:right w:val="single" w:sz="6" w:space="0" w:color="000000"/>
            </w:tcBorders>
            <w:shd w:val="clear" w:color="auto" w:fill="FFFFFF"/>
          </w:tcPr>
          <w:p w14:paraId="3074BD7B" w14:textId="43939FD4"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Covariate</w:t>
            </w:r>
          </w:p>
        </w:tc>
        <w:tc>
          <w:tcPr>
            <w:tcW w:w="333" w:type="pct"/>
            <w:tcBorders>
              <w:top w:val="single" w:sz="4" w:space="0" w:color="auto"/>
              <w:left w:val="single" w:sz="6" w:space="0" w:color="000000"/>
              <w:bottom w:val="single" w:sz="6" w:space="0" w:color="000000"/>
              <w:right w:val="single" w:sz="6" w:space="0" w:color="000000"/>
            </w:tcBorders>
            <w:shd w:val="clear" w:color="auto" w:fill="FFFFFF"/>
          </w:tcPr>
          <w:p w14:paraId="0995D667" w14:textId="79EA3179"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150</w:t>
            </w:r>
          </w:p>
        </w:tc>
        <w:tc>
          <w:tcPr>
            <w:tcW w:w="245" w:type="pct"/>
            <w:tcBorders>
              <w:top w:val="single" w:sz="4" w:space="0" w:color="auto"/>
              <w:left w:val="single" w:sz="6" w:space="0" w:color="000000"/>
              <w:bottom w:val="single" w:sz="6" w:space="0" w:color="000000"/>
              <w:right w:val="single" w:sz="6" w:space="0" w:color="000000"/>
            </w:tcBorders>
            <w:shd w:val="clear" w:color="auto" w:fill="FFFFFF"/>
          </w:tcPr>
          <w:p w14:paraId="544EE22B" w14:textId="2969FB05"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2011</w:t>
            </w:r>
          </w:p>
        </w:tc>
        <w:tc>
          <w:tcPr>
            <w:tcW w:w="1045" w:type="pct"/>
            <w:tcBorders>
              <w:top w:val="single" w:sz="4" w:space="0" w:color="auto"/>
              <w:left w:val="single" w:sz="6" w:space="0" w:color="000000"/>
              <w:bottom w:val="single" w:sz="6" w:space="0" w:color="000000"/>
              <w:right w:val="single" w:sz="6" w:space="0" w:color="000000"/>
            </w:tcBorders>
            <w:shd w:val="clear" w:color="auto" w:fill="FFFFFF"/>
          </w:tcPr>
          <w:p w14:paraId="5A5439D1" w14:textId="58F3B974"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 xml:space="preserve">14 soil cores (5 cm diameter) in the upper mineral soil (0-10 cm depth) were taken in May 2011 as part of the soil sampling campaign along two 20 m transects (3 m distance) on all EPs. They were combined into a composite sample of each plot. 10 g of the sieved (&lt;2 mm) and air-dried samples were </w:t>
            </w:r>
            <w:proofErr w:type="spellStart"/>
            <w:r w:rsidRPr="00676C22">
              <w:rPr>
                <w:rFonts w:asciiTheme="majorHAnsi" w:hAnsiTheme="majorHAnsi" w:cstheme="majorHAnsi"/>
                <w:sz w:val="18"/>
                <w:szCs w:val="18"/>
              </w:rPr>
              <w:t>analysed</w:t>
            </w:r>
            <w:proofErr w:type="spellEnd"/>
            <w:r w:rsidRPr="00676C22">
              <w:rPr>
                <w:rFonts w:asciiTheme="majorHAnsi" w:hAnsiTheme="majorHAnsi" w:cstheme="majorHAnsi"/>
                <w:sz w:val="18"/>
                <w:szCs w:val="18"/>
              </w:rPr>
              <w:t xml:space="preserve"> for pH (CaCl2) and soil nutrients (nitrogen stock, total soil nitrogen, organic carbon stock, soil inorganic carbon, soil organic carbon, soil C:N ratio) according to Birkhofer et al. (2012). These variables were summarized into the soil properties PCA (see methods).</w:t>
            </w:r>
          </w:p>
        </w:tc>
        <w:tc>
          <w:tcPr>
            <w:tcW w:w="315" w:type="pct"/>
            <w:tcBorders>
              <w:top w:val="single" w:sz="4" w:space="0" w:color="auto"/>
              <w:left w:val="single" w:sz="6" w:space="0" w:color="000000"/>
              <w:bottom w:val="single" w:sz="6" w:space="0" w:color="000000"/>
              <w:right w:val="single" w:sz="6" w:space="0" w:color="000000"/>
            </w:tcBorders>
            <w:shd w:val="clear" w:color="auto" w:fill="FFFFFF"/>
          </w:tcPr>
          <w:p w14:paraId="3F52BFA2" w14:textId="77777777" w:rsidR="00A908E8" w:rsidRPr="00676C22" w:rsidRDefault="00A908E8" w:rsidP="00A908E8">
            <w:pPr>
              <w:pStyle w:val="LO-normal"/>
              <w:rPr>
                <w:rFonts w:asciiTheme="majorHAnsi" w:hAnsiTheme="majorHAnsi" w:cstheme="majorHAnsi"/>
                <w:noProof/>
                <w:sz w:val="18"/>
                <w:szCs w:val="18"/>
              </w:rPr>
            </w:pPr>
            <w:r w:rsidRPr="00676C22">
              <w:rPr>
                <w:rFonts w:asciiTheme="majorHAnsi" w:hAnsiTheme="majorHAnsi" w:cstheme="majorHAnsi"/>
                <w:noProof/>
                <w:sz w:val="18"/>
                <w:szCs w:val="18"/>
              </w:rPr>
              <w:t>14446</w:t>
            </w:r>
          </w:p>
          <w:p w14:paraId="52AE477E" w14:textId="77777777" w:rsidR="00A908E8" w:rsidRDefault="00A908E8" w:rsidP="00A908E8">
            <w:pPr>
              <w:pStyle w:val="LO-normal"/>
              <w:rPr>
                <w:rFonts w:asciiTheme="majorHAnsi" w:hAnsiTheme="majorHAnsi" w:cstheme="majorHAnsi"/>
                <w:noProof/>
                <w:sz w:val="18"/>
                <w:szCs w:val="18"/>
              </w:rPr>
            </w:pPr>
            <w:r w:rsidRPr="00676C22">
              <w:rPr>
                <w:rFonts w:asciiTheme="majorHAnsi" w:hAnsiTheme="majorHAnsi" w:cstheme="majorHAnsi"/>
                <w:noProof/>
                <w:sz w:val="18"/>
                <w:szCs w:val="18"/>
              </w:rPr>
              <w:t>14447</w:t>
            </w:r>
          </w:p>
          <w:p w14:paraId="290A19AC" w14:textId="5F739453" w:rsidR="00A908E8" w:rsidRPr="00676C22" w:rsidRDefault="00A908E8" w:rsidP="00A908E8">
            <w:pPr>
              <w:pStyle w:val="LO-normal"/>
              <w:rPr>
                <w:rFonts w:asciiTheme="majorHAnsi" w:eastAsia="Arial" w:hAnsiTheme="majorHAnsi" w:cstheme="majorHAnsi"/>
                <w:sz w:val="18"/>
                <w:szCs w:val="18"/>
              </w:rPr>
            </w:pPr>
            <w:r>
              <w:rPr>
                <w:rFonts w:asciiTheme="majorHAnsi" w:eastAsia="Arial" w:hAnsiTheme="majorHAnsi" w:cstheme="majorHAnsi"/>
                <w:noProof/>
                <w:sz w:val="18"/>
                <w:szCs w:val="18"/>
              </w:rPr>
              <w:t>17086</w:t>
            </w:r>
          </w:p>
        </w:tc>
        <w:tc>
          <w:tcPr>
            <w:tcW w:w="484" w:type="pct"/>
            <w:tcBorders>
              <w:top w:val="single" w:sz="4" w:space="0" w:color="auto"/>
              <w:left w:val="single" w:sz="6" w:space="0" w:color="000000"/>
              <w:bottom w:val="single" w:sz="6" w:space="0" w:color="000000"/>
              <w:right w:val="single" w:sz="6" w:space="0" w:color="000000"/>
            </w:tcBorders>
            <w:shd w:val="clear" w:color="auto" w:fill="FFFFFF"/>
          </w:tcPr>
          <w:p w14:paraId="03879A5A" w14:textId="0DCA366E" w:rsidR="00A908E8" w:rsidRPr="00676C22" w:rsidRDefault="00A908E8" w:rsidP="00A908E8">
            <w:pPr>
              <w:pStyle w:val="LO-normal"/>
              <w:rPr>
                <w:rFonts w:asciiTheme="majorHAnsi" w:eastAsia="Arial" w:hAnsiTheme="majorHAnsi" w:cstheme="majorHAnsi"/>
                <w:sz w:val="18"/>
                <w:szCs w:val="18"/>
              </w:rPr>
            </w:pPr>
            <w:r>
              <w:rPr>
                <w:rFonts w:asciiTheme="majorHAnsi" w:hAnsiTheme="majorHAnsi" w:cstheme="majorHAnsi"/>
                <w:sz w:val="18"/>
                <w:szCs w:val="18"/>
              </w:rPr>
              <w:t>Ingo</w:t>
            </w:r>
            <w:r w:rsidRPr="00676C22">
              <w:rPr>
                <w:rFonts w:asciiTheme="majorHAnsi" w:hAnsiTheme="majorHAnsi" w:cstheme="majorHAnsi"/>
                <w:sz w:val="18"/>
                <w:szCs w:val="18"/>
              </w:rPr>
              <w:t xml:space="preserve"> </w:t>
            </w:r>
            <w:proofErr w:type="spellStart"/>
            <w:r w:rsidRPr="00676C22">
              <w:rPr>
                <w:rFonts w:asciiTheme="majorHAnsi" w:hAnsiTheme="majorHAnsi" w:cstheme="majorHAnsi"/>
                <w:sz w:val="18"/>
                <w:szCs w:val="18"/>
              </w:rPr>
              <w:t>Schöning</w:t>
            </w:r>
            <w:proofErr w:type="spellEnd"/>
          </w:p>
        </w:tc>
        <w:tc>
          <w:tcPr>
            <w:tcW w:w="623" w:type="pct"/>
            <w:tcBorders>
              <w:top w:val="single" w:sz="4" w:space="0" w:color="auto"/>
              <w:left w:val="single" w:sz="6" w:space="0" w:color="000000"/>
              <w:bottom w:val="single" w:sz="6" w:space="0" w:color="000000"/>
              <w:right w:val="single" w:sz="6" w:space="0" w:color="000000"/>
            </w:tcBorders>
            <w:shd w:val="clear" w:color="auto" w:fill="FFFFFF"/>
          </w:tcPr>
          <w:p w14:paraId="04393163" w14:textId="46E56A91"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Soil (Core)</w:t>
            </w:r>
          </w:p>
        </w:tc>
        <w:tc>
          <w:tcPr>
            <w:tcW w:w="623" w:type="pct"/>
            <w:tcBorders>
              <w:top w:val="single" w:sz="4" w:space="0" w:color="auto"/>
              <w:left w:val="single" w:sz="6" w:space="0" w:color="000000"/>
              <w:bottom w:val="single" w:sz="6" w:space="0" w:color="000000"/>
              <w:right w:val="single" w:sz="6" w:space="0" w:color="000000"/>
            </w:tcBorders>
            <w:shd w:val="clear" w:color="auto" w:fill="FFFFFF"/>
          </w:tcPr>
          <w:p w14:paraId="3526DC05" w14:textId="77777777" w:rsidR="009E6DB7" w:rsidRPr="00312A2D" w:rsidRDefault="009E6DB7" w:rsidP="009E6DB7">
            <w:pPr>
              <w:pStyle w:val="LO-normal"/>
              <w:rPr>
                <w:rFonts w:asciiTheme="majorHAnsi" w:hAnsiTheme="majorHAnsi" w:cstheme="majorHAnsi"/>
                <w:i/>
                <w:iCs/>
                <w:sz w:val="18"/>
                <w:szCs w:val="18"/>
              </w:rPr>
            </w:pPr>
            <w:r w:rsidRPr="00312A2D">
              <w:rPr>
                <w:rFonts w:asciiTheme="majorHAnsi" w:hAnsiTheme="majorHAnsi" w:cstheme="majorHAnsi"/>
                <w:i/>
                <w:iCs/>
                <w:sz w:val="18"/>
                <w:szCs w:val="18"/>
              </w:rPr>
              <w:t>Datasets:</w:t>
            </w:r>
          </w:p>
          <w:p w14:paraId="2AE2CB9A" w14:textId="77777777" w:rsidR="00AC79DE" w:rsidRPr="00AC79DE" w:rsidRDefault="00AC79DE" w:rsidP="00AC79DE">
            <w:pPr>
              <w:pStyle w:val="LO-normal"/>
              <w:rPr>
                <w:rFonts w:asciiTheme="majorHAnsi" w:hAnsiTheme="majorHAnsi" w:cstheme="majorHAnsi"/>
                <w:sz w:val="18"/>
                <w:szCs w:val="18"/>
              </w:rPr>
            </w:pPr>
            <w:proofErr w:type="spellStart"/>
            <w:r w:rsidRPr="00AC79DE">
              <w:rPr>
                <w:rFonts w:asciiTheme="majorHAnsi" w:hAnsiTheme="majorHAnsi" w:cstheme="majorHAnsi"/>
                <w:sz w:val="18"/>
                <w:szCs w:val="18"/>
              </w:rPr>
              <w:t>Schöning</w:t>
            </w:r>
            <w:proofErr w:type="spellEnd"/>
            <w:r w:rsidRPr="00AC79DE">
              <w:rPr>
                <w:rFonts w:asciiTheme="majorHAnsi" w:hAnsiTheme="majorHAnsi" w:cstheme="majorHAnsi"/>
                <w:sz w:val="18"/>
                <w:szCs w:val="18"/>
              </w:rPr>
              <w:t xml:space="preserve"> et al. 2023</w:t>
            </w:r>
          </w:p>
          <w:p w14:paraId="5DDE5319" w14:textId="485B4632" w:rsidR="009E6DB7" w:rsidRPr="00312A2D" w:rsidRDefault="00312A2D" w:rsidP="00A908E8">
            <w:pPr>
              <w:pStyle w:val="LO-normal"/>
              <w:rPr>
                <w:rFonts w:asciiTheme="majorHAnsi" w:hAnsiTheme="majorHAnsi" w:cstheme="majorHAnsi"/>
                <w:sz w:val="18"/>
                <w:szCs w:val="18"/>
              </w:rPr>
            </w:pPr>
            <w:proofErr w:type="spellStart"/>
            <w:r w:rsidRPr="00312A2D">
              <w:rPr>
                <w:rFonts w:asciiTheme="majorHAnsi" w:hAnsiTheme="majorHAnsi" w:cstheme="majorHAnsi"/>
                <w:sz w:val="18"/>
                <w:szCs w:val="18"/>
              </w:rPr>
              <w:t>Schöning</w:t>
            </w:r>
            <w:proofErr w:type="spellEnd"/>
            <w:r w:rsidRPr="00312A2D">
              <w:rPr>
                <w:rFonts w:asciiTheme="majorHAnsi" w:hAnsiTheme="majorHAnsi" w:cstheme="majorHAnsi"/>
                <w:sz w:val="18"/>
                <w:szCs w:val="18"/>
              </w:rPr>
              <w:t xml:space="preserve"> 2024</w:t>
            </w:r>
            <w:proofErr w:type="gramStart"/>
            <w:r>
              <w:rPr>
                <w:rFonts w:asciiTheme="majorHAnsi" w:hAnsiTheme="majorHAnsi" w:cstheme="majorHAnsi"/>
                <w:sz w:val="18"/>
                <w:szCs w:val="18"/>
              </w:rPr>
              <w:t>a,b</w:t>
            </w:r>
            <w:proofErr w:type="gramEnd"/>
          </w:p>
          <w:p w14:paraId="33F55665" w14:textId="77777777" w:rsidR="00793D2A" w:rsidRDefault="00793D2A" w:rsidP="00A908E8">
            <w:pPr>
              <w:pStyle w:val="LO-normal"/>
              <w:rPr>
                <w:rFonts w:asciiTheme="majorHAnsi" w:hAnsiTheme="majorHAnsi" w:cstheme="majorHAnsi"/>
                <w:i/>
                <w:iCs/>
                <w:sz w:val="18"/>
                <w:szCs w:val="18"/>
              </w:rPr>
            </w:pPr>
          </w:p>
          <w:p w14:paraId="5431CA88" w14:textId="3B3323E8" w:rsidR="009E6DB7" w:rsidRPr="009E6DB7" w:rsidRDefault="009E6DB7" w:rsidP="00A908E8">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21284968" w14:textId="3AD68ED1" w:rsidR="00A908E8" w:rsidRPr="00676C22" w:rsidRDefault="00A908E8" w:rsidP="00A908E8">
            <w:pPr>
              <w:pStyle w:val="LO-normal"/>
              <w:rPr>
                <w:rFonts w:asciiTheme="majorHAnsi" w:hAnsiTheme="majorHAnsi" w:cstheme="majorHAnsi"/>
                <w:sz w:val="18"/>
                <w:szCs w:val="18"/>
                <w:lang w:val="de-DE"/>
              </w:rPr>
            </w:pPr>
            <w:r w:rsidRPr="00676C22">
              <w:rPr>
                <w:rFonts w:asciiTheme="majorHAnsi" w:hAnsiTheme="majorHAnsi" w:cstheme="majorHAnsi"/>
                <w:sz w:val="18"/>
                <w:szCs w:val="18"/>
                <w:lang w:val="de-DE"/>
              </w:rPr>
              <w:t>e.g. Birkhofer et al. 2012</w:t>
            </w:r>
          </w:p>
        </w:tc>
      </w:tr>
      <w:tr w:rsidR="00A908E8" w:rsidRPr="00462043" w14:paraId="2DD93276" w14:textId="77777777" w:rsidTr="00696C0D">
        <w:trPr>
          <w:trHeight w:val="480"/>
        </w:trPr>
        <w:tc>
          <w:tcPr>
            <w:tcW w:w="867" w:type="pct"/>
            <w:tcBorders>
              <w:top w:val="single" w:sz="6" w:space="0" w:color="000000"/>
              <w:left w:val="single" w:sz="6" w:space="0" w:color="000000"/>
              <w:bottom w:val="single" w:sz="6" w:space="0" w:color="000000"/>
              <w:right w:val="single" w:sz="6" w:space="0" w:color="000000"/>
            </w:tcBorders>
            <w:shd w:val="clear" w:color="auto" w:fill="FFFFFF"/>
          </w:tcPr>
          <w:p w14:paraId="65C4DF9E" w14:textId="1F37D664"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 xml:space="preserve">Climatic conditions </w:t>
            </w:r>
          </w:p>
        </w:tc>
        <w:tc>
          <w:tcPr>
            <w:tcW w:w="464" w:type="pct"/>
            <w:tcBorders>
              <w:top w:val="single" w:sz="6" w:space="0" w:color="000000"/>
              <w:left w:val="single" w:sz="6" w:space="0" w:color="000000"/>
              <w:bottom w:val="single" w:sz="6" w:space="0" w:color="000000"/>
              <w:right w:val="single" w:sz="6" w:space="0" w:color="000000"/>
            </w:tcBorders>
            <w:shd w:val="clear" w:color="auto" w:fill="FFFFFF"/>
          </w:tcPr>
          <w:p w14:paraId="0A57F5C0" w14:textId="43927DB8"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Covariate</w:t>
            </w:r>
          </w:p>
        </w:tc>
        <w:tc>
          <w:tcPr>
            <w:tcW w:w="333" w:type="pct"/>
            <w:tcBorders>
              <w:top w:val="single" w:sz="6" w:space="0" w:color="000000"/>
              <w:left w:val="single" w:sz="6" w:space="0" w:color="000000"/>
              <w:bottom w:val="single" w:sz="6" w:space="0" w:color="000000"/>
              <w:right w:val="single" w:sz="6" w:space="0" w:color="000000"/>
            </w:tcBorders>
            <w:shd w:val="clear" w:color="auto" w:fill="FFFFFF"/>
          </w:tcPr>
          <w:p w14:paraId="6B7B7DE5" w14:textId="77777777"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150</w:t>
            </w:r>
          </w:p>
        </w:tc>
        <w:tc>
          <w:tcPr>
            <w:tcW w:w="245" w:type="pct"/>
            <w:tcBorders>
              <w:top w:val="single" w:sz="6" w:space="0" w:color="000000"/>
              <w:left w:val="single" w:sz="6" w:space="0" w:color="000000"/>
              <w:bottom w:val="single" w:sz="6" w:space="0" w:color="000000"/>
              <w:right w:val="single" w:sz="6" w:space="0" w:color="000000"/>
            </w:tcBorders>
            <w:shd w:val="clear" w:color="auto" w:fill="FFFFFF"/>
          </w:tcPr>
          <w:p w14:paraId="7B99AE67" w14:textId="7DD608F1"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sz w:val="18"/>
                <w:szCs w:val="18"/>
              </w:rPr>
              <w:t>2008-2018</w:t>
            </w:r>
          </w:p>
        </w:tc>
        <w:tc>
          <w:tcPr>
            <w:tcW w:w="1045" w:type="pct"/>
            <w:tcBorders>
              <w:top w:val="single" w:sz="6" w:space="0" w:color="000000"/>
              <w:left w:val="single" w:sz="6" w:space="0" w:color="000000"/>
              <w:bottom w:val="single" w:sz="6" w:space="0" w:color="000000"/>
              <w:right w:val="single" w:sz="6" w:space="0" w:color="000000"/>
            </w:tcBorders>
            <w:shd w:val="clear" w:color="auto" w:fill="FFFFFF"/>
          </w:tcPr>
          <w:p w14:paraId="51C49B21" w14:textId="7C3EA9CC" w:rsidR="00A908E8" w:rsidRPr="00676C22" w:rsidRDefault="00A908E8" w:rsidP="00A908E8">
            <w:pPr>
              <w:pStyle w:val="LO-normal"/>
              <w:rPr>
                <w:rFonts w:asciiTheme="majorHAnsi" w:eastAsia="Arial" w:hAnsiTheme="majorHAnsi" w:cstheme="majorHAnsi"/>
                <w:sz w:val="18"/>
                <w:szCs w:val="18"/>
              </w:rPr>
            </w:pPr>
            <w:r w:rsidRPr="00676C22">
              <w:rPr>
                <w:rFonts w:asciiTheme="majorHAnsi" w:hAnsiTheme="majorHAnsi" w:cstheme="majorHAnsi"/>
                <w:color w:val="000000"/>
                <w:sz w:val="18"/>
                <w:szCs w:val="18"/>
              </w:rPr>
              <w:t>Climatic conditions were</w:t>
            </w:r>
            <w:r w:rsidRPr="00676C22">
              <w:rPr>
                <w:rFonts w:asciiTheme="majorHAnsi" w:hAnsiTheme="majorHAnsi" w:cstheme="majorHAnsi"/>
                <w:color w:val="000000"/>
                <w:sz w:val="18"/>
                <w:szCs w:val="18"/>
                <w:lang w:val="en-GB"/>
              </w:rPr>
              <w:t xml:space="preserve"> included through the annual sum of mean day air temperature at 2 m above surface and the number of rainy days in each plot. Temperature data were measured with data loggers on each plot. Information on rainy days is based on precipitation </w:t>
            </w:r>
            <w:r w:rsidRPr="00676C22">
              <w:rPr>
                <w:rFonts w:asciiTheme="majorHAnsi" w:hAnsiTheme="majorHAnsi" w:cstheme="majorHAnsi"/>
                <w:sz w:val="18"/>
                <w:szCs w:val="18"/>
                <w:lang w:val="en-GB"/>
              </w:rPr>
              <w:t>data from the German Weather Service (</w:t>
            </w:r>
            <w:proofErr w:type="spellStart"/>
            <w:r w:rsidRPr="00676C22">
              <w:rPr>
                <w:rFonts w:asciiTheme="majorHAnsi" w:hAnsiTheme="majorHAnsi" w:cstheme="majorHAnsi"/>
                <w:sz w:val="18"/>
                <w:szCs w:val="18"/>
                <w:lang w:val="en-GB"/>
              </w:rPr>
              <w:t>Deutscher</w:t>
            </w:r>
            <w:proofErr w:type="spellEnd"/>
            <w:r w:rsidRPr="00676C22">
              <w:rPr>
                <w:rFonts w:asciiTheme="majorHAnsi" w:hAnsiTheme="majorHAnsi" w:cstheme="majorHAnsi"/>
                <w:sz w:val="18"/>
                <w:szCs w:val="18"/>
                <w:lang w:val="en-GB"/>
              </w:rPr>
              <w:t xml:space="preserve"> </w:t>
            </w:r>
            <w:proofErr w:type="spellStart"/>
            <w:r w:rsidRPr="00676C22">
              <w:rPr>
                <w:rFonts w:asciiTheme="majorHAnsi" w:hAnsiTheme="majorHAnsi" w:cstheme="majorHAnsi"/>
                <w:sz w:val="18"/>
                <w:szCs w:val="18"/>
                <w:lang w:val="en-GB"/>
              </w:rPr>
              <w:t>Wetterdienst</w:t>
            </w:r>
            <w:proofErr w:type="spellEnd"/>
            <w:r w:rsidRPr="00676C22">
              <w:rPr>
                <w:rFonts w:asciiTheme="majorHAnsi" w:hAnsiTheme="majorHAnsi" w:cstheme="majorHAnsi"/>
                <w:sz w:val="18"/>
                <w:szCs w:val="18"/>
                <w:lang w:val="en-GB"/>
              </w:rPr>
              <w:t xml:space="preserve">, </w:t>
            </w:r>
            <w:hyperlink r:id="rId8" w:history="1">
              <w:r w:rsidRPr="00676C22">
                <w:rPr>
                  <w:rStyle w:val="Hyperlink"/>
                  <w:rFonts w:asciiTheme="majorHAnsi" w:hAnsiTheme="majorHAnsi" w:cstheme="majorHAnsi"/>
                  <w:sz w:val="18"/>
                  <w:szCs w:val="18"/>
                  <w:lang w:val="en-GB"/>
                </w:rPr>
                <w:t>https://www.dwd.de/</w:t>
              </w:r>
            </w:hyperlink>
            <w:r w:rsidRPr="00676C22">
              <w:rPr>
                <w:rFonts w:asciiTheme="majorHAnsi" w:hAnsiTheme="majorHAnsi" w:cstheme="majorHAnsi"/>
                <w:sz w:val="18"/>
                <w:szCs w:val="18"/>
                <w:lang w:val="en-GB"/>
              </w:rPr>
              <w:t xml:space="preserve">).  </w:t>
            </w:r>
          </w:p>
        </w:tc>
        <w:tc>
          <w:tcPr>
            <w:tcW w:w="315" w:type="pct"/>
            <w:tcBorders>
              <w:top w:val="single" w:sz="6" w:space="0" w:color="000000"/>
              <w:left w:val="single" w:sz="6" w:space="0" w:color="000000"/>
              <w:bottom w:val="single" w:sz="6" w:space="0" w:color="000000"/>
              <w:right w:val="single" w:sz="6" w:space="0" w:color="000000"/>
            </w:tcBorders>
            <w:shd w:val="clear" w:color="auto" w:fill="FFFFFF"/>
          </w:tcPr>
          <w:p w14:paraId="15A2F0E5" w14:textId="2B2B6D6A"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24766</w:t>
            </w:r>
          </w:p>
        </w:tc>
        <w:tc>
          <w:tcPr>
            <w:tcW w:w="484" w:type="pct"/>
            <w:tcBorders>
              <w:top w:val="single" w:sz="6" w:space="0" w:color="000000"/>
              <w:left w:val="single" w:sz="6" w:space="0" w:color="000000"/>
              <w:bottom w:val="single" w:sz="6" w:space="0" w:color="000000"/>
              <w:right w:val="single" w:sz="6" w:space="0" w:color="000000"/>
            </w:tcBorders>
            <w:shd w:val="clear" w:color="auto" w:fill="FFFFFF"/>
          </w:tcPr>
          <w:p w14:paraId="27003D5C" w14:textId="786B8867" w:rsidR="00A908E8" w:rsidRPr="00676C22" w:rsidRDefault="00A908E8" w:rsidP="00A908E8">
            <w:pPr>
              <w:pStyle w:val="LO-normal"/>
              <w:rPr>
                <w:rFonts w:asciiTheme="majorHAnsi" w:eastAsia="Arial" w:hAnsiTheme="majorHAnsi" w:cstheme="majorHAnsi"/>
                <w:sz w:val="18"/>
                <w:szCs w:val="18"/>
              </w:rPr>
            </w:pPr>
            <w:r w:rsidRPr="00A908E8">
              <w:rPr>
                <w:rFonts w:asciiTheme="majorHAnsi" w:hAnsiTheme="majorHAnsi" w:cstheme="majorHAnsi"/>
                <w:sz w:val="18"/>
                <w:szCs w:val="18"/>
              </w:rPr>
              <w:t xml:space="preserve">Falk </w:t>
            </w:r>
            <w:proofErr w:type="spellStart"/>
            <w:r w:rsidRPr="00A908E8">
              <w:rPr>
                <w:rFonts w:asciiTheme="majorHAnsi" w:hAnsiTheme="majorHAnsi" w:cstheme="majorHAnsi"/>
                <w:sz w:val="18"/>
                <w:szCs w:val="18"/>
              </w:rPr>
              <w:t>Hänsel</w:t>
            </w:r>
            <w:proofErr w:type="spellEnd"/>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4F3EC6CA" w14:textId="5C5D4DC9" w:rsidR="00A908E8" w:rsidRPr="00676C22" w:rsidRDefault="00A908E8" w:rsidP="00A908E8">
            <w:pPr>
              <w:pStyle w:val="LO-normal"/>
              <w:rPr>
                <w:rFonts w:asciiTheme="majorHAnsi" w:eastAsia="Arial" w:hAnsiTheme="majorHAnsi" w:cstheme="majorHAnsi"/>
                <w:sz w:val="18"/>
                <w:szCs w:val="18"/>
              </w:rPr>
            </w:pPr>
            <w:r w:rsidRPr="00676C22">
              <w:rPr>
                <w:rFonts w:asciiTheme="majorHAnsi" w:eastAsia="Arial" w:hAnsiTheme="majorHAnsi" w:cstheme="majorHAnsi"/>
                <w:sz w:val="18"/>
                <w:szCs w:val="18"/>
              </w:rPr>
              <w:t>Instrumentation &amp; remote sensing (core)</w:t>
            </w:r>
          </w:p>
        </w:tc>
        <w:tc>
          <w:tcPr>
            <w:tcW w:w="623" w:type="pct"/>
            <w:tcBorders>
              <w:top w:val="single" w:sz="6" w:space="0" w:color="000000"/>
              <w:left w:val="single" w:sz="6" w:space="0" w:color="000000"/>
              <w:bottom w:val="single" w:sz="6" w:space="0" w:color="000000"/>
              <w:right w:val="single" w:sz="6" w:space="0" w:color="000000"/>
            </w:tcBorders>
            <w:shd w:val="clear" w:color="auto" w:fill="FFFFFF"/>
          </w:tcPr>
          <w:p w14:paraId="3A2CD73F" w14:textId="77777777" w:rsidR="009E6DB7" w:rsidRPr="00312A2D" w:rsidRDefault="009E6DB7" w:rsidP="009E6DB7">
            <w:pPr>
              <w:pStyle w:val="LO-normal"/>
              <w:rPr>
                <w:rFonts w:asciiTheme="majorHAnsi" w:hAnsiTheme="majorHAnsi" w:cstheme="majorHAnsi"/>
                <w:i/>
                <w:iCs/>
                <w:sz w:val="18"/>
                <w:szCs w:val="18"/>
              </w:rPr>
            </w:pPr>
            <w:r w:rsidRPr="00312A2D">
              <w:rPr>
                <w:rFonts w:asciiTheme="majorHAnsi" w:hAnsiTheme="majorHAnsi" w:cstheme="majorHAnsi"/>
                <w:i/>
                <w:iCs/>
                <w:sz w:val="18"/>
                <w:szCs w:val="18"/>
              </w:rPr>
              <w:t>Datasets:</w:t>
            </w:r>
          </w:p>
          <w:p w14:paraId="032B962C" w14:textId="15681E50" w:rsidR="009E6DB7" w:rsidRDefault="00312A2D" w:rsidP="00A908E8">
            <w:pPr>
              <w:pStyle w:val="LO-normal"/>
              <w:rPr>
                <w:rFonts w:asciiTheme="majorHAnsi" w:hAnsiTheme="majorHAnsi" w:cstheme="majorHAnsi"/>
                <w:sz w:val="18"/>
                <w:szCs w:val="18"/>
              </w:rPr>
            </w:pPr>
            <w:proofErr w:type="spellStart"/>
            <w:r w:rsidRPr="00312A2D">
              <w:rPr>
                <w:rFonts w:asciiTheme="majorHAnsi" w:hAnsiTheme="majorHAnsi" w:cstheme="majorHAnsi"/>
                <w:sz w:val="18"/>
                <w:szCs w:val="18"/>
              </w:rPr>
              <w:t>Hänsel</w:t>
            </w:r>
            <w:proofErr w:type="spellEnd"/>
            <w:r w:rsidRPr="00312A2D">
              <w:rPr>
                <w:rFonts w:asciiTheme="majorHAnsi" w:hAnsiTheme="majorHAnsi" w:cstheme="majorHAnsi"/>
                <w:sz w:val="18"/>
                <w:szCs w:val="18"/>
              </w:rPr>
              <w:t xml:space="preserve"> et al. 2024</w:t>
            </w:r>
          </w:p>
          <w:p w14:paraId="565FA61F" w14:textId="77777777" w:rsidR="00312A2D" w:rsidRPr="00312A2D" w:rsidRDefault="00312A2D" w:rsidP="00A908E8">
            <w:pPr>
              <w:pStyle w:val="LO-normal"/>
              <w:rPr>
                <w:rFonts w:asciiTheme="majorHAnsi" w:hAnsiTheme="majorHAnsi" w:cstheme="majorHAnsi"/>
                <w:sz w:val="18"/>
                <w:szCs w:val="18"/>
              </w:rPr>
            </w:pPr>
          </w:p>
          <w:p w14:paraId="63EBC9F6" w14:textId="2ED381E9" w:rsidR="009E6DB7" w:rsidRPr="009E6DB7" w:rsidRDefault="009E6DB7" w:rsidP="00A908E8">
            <w:pPr>
              <w:pStyle w:val="LO-normal"/>
              <w:rPr>
                <w:rFonts w:asciiTheme="majorHAnsi" w:hAnsiTheme="majorHAnsi" w:cstheme="majorHAnsi"/>
                <w:i/>
                <w:iCs/>
                <w:sz w:val="18"/>
                <w:szCs w:val="18"/>
              </w:rPr>
            </w:pPr>
            <w:r w:rsidRPr="009E6DB7">
              <w:rPr>
                <w:rFonts w:asciiTheme="majorHAnsi" w:hAnsiTheme="majorHAnsi" w:cstheme="majorHAnsi"/>
                <w:i/>
                <w:iCs/>
                <w:sz w:val="18"/>
                <w:szCs w:val="18"/>
              </w:rPr>
              <w:t>Application:</w:t>
            </w:r>
          </w:p>
          <w:p w14:paraId="365D2174" w14:textId="40F3CC27" w:rsidR="00A908E8" w:rsidRPr="00676C22" w:rsidRDefault="00A908E8" w:rsidP="00A908E8">
            <w:pPr>
              <w:pStyle w:val="LO-normal"/>
              <w:rPr>
                <w:rFonts w:asciiTheme="majorHAnsi" w:hAnsiTheme="majorHAnsi" w:cstheme="majorHAnsi"/>
                <w:sz w:val="18"/>
                <w:szCs w:val="18"/>
                <w:lang w:val="de-DE"/>
              </w:rPr>
            </w:pPr>
            <w:r w:rsidRPr="00676C22">
              <w:rPr>
                <w:rFonts w:asciiTheme="majorHAnsi" w:hAnsiTheme="majorHAnsi" w:cstheme="majorHAnsi"/>
                <w:sz w:val="18"/>
                <w:szCs w:val="18"/>
                <w:lang w:val="de-DE"/>
              </w:rPr>
              <w:t xml:space="preserve">e.g. </w:t>
            </w:r>
            <w:proofErr w:type="spellStart"/>
            <w:r w:rsidRPr="00676C22">
              <w:rPr>
                <w:rFonts w:asciiTheme="majorHAnsi" w:hAnsiTheme="majorHAnsi" w:cstheme="majorHAnsi"/>
                <w:sz w:val="18"/>
                <w:szCs w:val="18"/>
                <w:lang w:val="de-DE"/>
              </w:rPr>
              <w:t>Bazichetto</w:t>
            </w:r>
            <w:proofErr w:type="spellEnd"/>
            <w:r w:rsidRPr="00676C22">
              <w:rPr>
                <w:rFonts w:asciiTheme="majorHAnsi" w:hAnsiTheme="majorHAnsi" w:cstheme="majorHAnsi"/>
                <w:sz w:val="18"/>
                <w:szCs w:val="18"/>
                <w:lang w:val="de-DE"/>
              </w:rPr>
              <w:t xml:space="preserve"> et al. 2024</w:t>
            </w:r>
          </w:p>
        </w:tc>
      </w:tr>
    </w:tbl>
    <w:p w14:paraId="578FCDC1" w14:textId="77777777" w:rsidR="003D208C" w:rsidRPr="00676C22" w:rsidRDefault="003D208C">
      <w:pPr>
        <w:pStyle w:val="LO-normal"/>
        <w:rPr>
          <w:rFonts w:asciiTheme="majorHAnsi" w:hAnsiTheme="majorHAnsi" w:cstheme="majorHAnsi"/>
          <w:b/>
          <w:color w:val="38761D"/>
          <w:sz w:val="18"/>
          <w:szCs w:val="18"/>
          <w:lang w:val="de-DE"/>
        </w:rPr>
        <w:sectPr w:rsidR="003D208C" w:rsidRPr="00676C22" w:rsidSect="00217906">
          <w:footerReference w:type="default" r:id="rId9"/>
          <w:pgSz w:w="16838" w:h="11906" w:orient="landscape"/>
          <w:pgMar w:top="720" w:right="720" w:bottom="720" w:left="720" w:header="0" w:footer="720" w:gutter="0"/>
          <w:cols w:space="720"/>
          <w:formProt w:val="0"/>
          <w:docGrid w:linePitch="299" w:charSpace="4096"/>
        </w:sectPr>
      </w:pPr>
    </w:p>
    <w:p w14:paraId="161C374E" w14:textId="3E2EE489" w:rsidR="00462043" w:rsidRDefault="00462043">
      <w:pPr>
        <w:pStyle w:val="LO-normal"/>
        <w:rPr>
          <w:rFonts w:asciiTheme="majorHAnsi" w:hAnsiTheme="majorHAnsi" w:cstheme="majorHAnsi"/>
          <w:b/>
          <w:lang w:val="de-DE"/>
        </w:rPr>
      </w:pPr>
      <w:proofErr w:type="spellStart"/>
      <w:r>
        <w:rPr>
          <w:rFonts w:asciiTheme="majorHAnsi" w:hAnsiTheme="majorHAnsi" w:cstheme="majorHAnsi"/>
          <w:b/>
          <w:lang w:val="de-DE"/>
        </w:rPr>
        <w:lastRenderedPageBreak/>
        <w:t>Assembled</w:t>
      </w:r>
      <w:proofErr w:type="spellEnd"/>
      <w:r>
        <w:rPr>
          <w:rFonts w:asciiTheme="majorHAnsi" w:hAnsiTheme="majorHAnsi" w:cstheme="majorHAnsi"/>
          <w:b/>
          <w:lang w:val="de-DE"/>
        </w:rPr>
        <w:t xml:space="preserve"> </w:t>
      </w:r>
      <w:proofErr w:type="spellStart"/>
      <w:r>
        <w:rPr>
          <w:rFonts w:asciiTheme="majorHAnsi" w:hAnsiTheme="majorHAnsi" w:cstheme="majorHAnsi"/>
          <w:b/>
          <w:lang w:val="de-DE"/>
        </w:rPr>
        <w:t>data</w:t>
      </w:r>
      <w:proofErr w:type="spellEnd"/>
      <w:r>
        <w:rPr>
          <w:rFonts w:asciiTheme="majorHAnsi" w:hAnsiTheme="majorHAnsi" w:cstheme="majorHAnsi"/>
          <w:b/>
          <w:lang w:val="de-DE"/>
        </w:rPr>
        <w:t xml:space="preserve"> </w:t>
      </w:r>
      <w:proofErr w:type="spellStart"/>
      <w:r>
        <w:rPr>
          <w:rFonts w:asciiTheme="majorHAnsi" w:hAnsiTheme="majorHAnsi" w:cstheme="majorHAnsi"/>
          <w:b/>
          <w:lang w:val="de-DE"/>
        </w:rPr>
        <w:t>sets</w:t>
      </w:r>
      <w:proofErr w:type="spellEnd"/>
    </w:p>
    <w:p w14:paraId="2802256D" w14:textId="75628F46" w:rsidR="00462043" w:rsidRDefault="00462043">
      <w:pPr>
        <w:pStyle w:val="LO-normal"/>
        <w:rPr>
          <w:rFonts w:asciiTheme="majorHAnsi" w:hAnsiTheme="majorHAnsi" w:cstheme="majorHAnsi"/>
          <w:b/>
          <w:lang w:val="de-DE"/>
        </w:rPr>
      </w:pPr>
    </w:p>
    <w:p w14:paraId="611F77F9" w14:textId="43CE888C" w:rsidR="00462043" w:rsidRDefault="00462043">
      <w:pPr>
        <w:pStyle w:val="LO-normal"/>
        <w:rPr>
          <w:rFonts w:asciiTheme="majorHAnsi" w:hAnsiTheme="majorHAnsi" w:cstheme="majorHAnsi"/>
          <w:bCs/>
        </w:rPr>
      </w:pPr>
      <w:r w:rsidRPr="00462043">
        <w:rPr>
          <w:rFonts w:asciiTheme="majorHAnsi" w:hAnsiTheme="majorHAnsi" w:cstheme="majorHAnsi"/>
          <w:bCs/>
        </w:rPr>
        <w:t xml:space="preserve">The assembled data set </w:t>
      </w:r>
      <w:r>
        <w:rPr>
          <w:rFonts w:asciiTheme="majorHAnsi" w:hAnsiTheme="majorHAnsi" w:cstheme="majorHAnsi"/>
          <w:bCs/>
        </w:rPr>
        <w:t>containing</w:t>
      </w:r>
      <w:r w:rsidRPr="00462043">
        <w:rPr>
          <w:rFonts w:asciiTheme="majorHAnsi" w:hAnsiTheme="majorHAnsi" w:cstheme="majorHAnsi"/>
          <w:bCs/>
        </w:rPr>
        <w:t xml:space="preserve"> pairwise comparison of responses in plant and arthropod community diversity (alpha, beta) to spatial and temporal changes in land-use intensity</w:t>
      </w:r>
      <w:r>
        <w:rPr>
          <w:rFonts w:asciiTheme="majorHAnsi" w:hAnsiTheme="majorHAnsi" w:cstheme="majorHAnsi"/>
          <w:bCs/>
        </w:rPr>
        <w:t xml:space="preserve"> and environmental covariates</w:t>
      </w:r>
      <w:r w:rsidRPr="00462043">
        <w:rPr>
          <w:rFonts w:asciiTheme="majorHAnsi" w:hAnsiTheme="majorHAnsi" w:cstheme="majorHAnsi"/>
          <w:bCs/>
        </w:rPr>
        <w:t xml:space="preserve"> </w:t>
      </w:r>
      <w:r>
        <w:rPr>
          <w:rFonts w:asciiTheme="majorHAnsi" w:hAnsiTheme="majorHAnsi" w:cstheme="majorHAnsi"/>
          <w:bCs/>
        </w:rPr>
        <w:t xml:space="preserve">are archived in the Information System of the Biodiversity </w:t>
      </w:r>
      <w:proofErr w:type="spellStart"/>
      <w:r>
        <w:rPr>
          <w:rFonts w:asciiTheme="majorHAnsi" w:hAnsiTheme="majorHAnsi" w:cstheme="majorHAnsi"/>
          <w:bCs/>
        </w:rPr>
        <w:t>Exploratories</w:t>
      </w:r>
      <w:proofErr w:type="spellEnd"/>
      <w:r>
        <w:rPr>
          <w:rFonts w:asciiTheme="majorHAnsi" w:hAnsiTheme="majorHAnsi" w:cstheme="majorHAnsi"/>
          <w:bCs/>
        </w:rPr>
        <w:t xml:space="preserve"> Infrastructure Project (</w:t>
      </w:r>
      <w:r w:rsidRPr="00462043">
        <w:rPr>
          <w:rFonts w:asciiTheme="majorHAnsi" w:hAnsiTheme="majorHAnsi" w:cstheme="majorHAnsi"/>
          <w:bCs/>
        </w:rPr>
        <w:t>BExIS</w:t>
      </w:r>
      <w:r>
        <w:rPr>
          <w:rFonts w:asciiTheme="majorHAnsi" w:hAnsiTheme="majorHAnsi" w:cstheme="majorHAnsi"/>
          <w:bCs/>
        </w:rPr>
        <w:t xml:space="preserve">, </w:t>
      </w:r>
      <w:r w:rsidRPr="00462043">
        <w:rPr>
          <w:rFonts w:asciiTheme="majorHAnsi" w:hAnsiTheme="majorHAnsi" w:cstheme="majorHAnsi"/>
          <w:bCs/>
        </w:rPr>
        <w:t>https://www.bexis.uni-jena.de/</w:t>
      </w:r>
      <w:r>
        <w:rPr>
          <w:rFonts w:asciiTheme="majorHAnsi" w:hAnsiTheme="majorHAnsi" w:cstheme="majorHAnsi"/>
          <w:bCs/>
        </w:rPr>
        <w:t xml:space="preserve">) under the following names &amp; IDs: </w:t>
      </w:r>
    </w:p>
    <w:p w14:paraId="125BC31D" w14:textId="6558D9F1" w:rsidR="00462043" w:rsidRDefault="00462043">
      <w:pPr>
        <w:pStyle w:val="LO-normal"/>
        <w:rPr>
          <w:rFonts w:asciiTheme="majorHAnsi" w:hAnsiTheme="majorHAnsi" w:cstheme="majorHAnsi"/>
          <w:bCs/>
        </w:rPr>
      </w:pPr>
    </w:p>
    <w:p w14:paraId="1CADEB6A" w14:textId="37D01207" w:rsidR="00462043" w:rsidRPr="00462043" w:rsidRDefault="00462043" w:rsidP="00462043">
      <w:pPr>
        <w:pStyle w:val="LO-normal"/>
        <w:numPr>
          <w:ilvl w:val="0"/>
          <w:numId w:val="1"/>
        </w:numPr>
        <w:rPr>
          <w:rFonts w:asciiTheme="majorHAnsi" w:hAnsiTheme="majorHAnsi" w:cstheme="majorHAnsi"/>
          <w:b/>
        </w:rPr>
      </w:pPr>
      <w:r w:rsidRPr="00462043">
        <w:rPr>
          <w:rFonts w:asciiTheme="majorHAnsi" w:hAnsiTheme="majorHAnsi" w:cstheme="majorHAnsi"/>
          <w:b/>
        </w:rPr>
        <w:t xml:space="preserve">Spatial diversity responses of plant communities: </w:t>
      </w:r>
    </w:p>
    <w:p w14:paraId="7BD17314" w14:textId="77777777" w:rsidR="00BD5204" w:rsidRDefault="00462043" w:rsidP="00774617">
      <w:pPr>
        <w:pStyle w:val="LO-normal"/>
        <w:ind w:left="1080"/>
        <w:rPr>
          <w:rFonts w:asciiTheme="majorHAnsi" w:hAnsiTheme="majorHAnsi" w:cstheme="majorHAnsi"/>
          <w:bCs/>
        </w:rPr>
      </w:pPr>
      <w:r w:rsidRPr="00462043">
        <w:rPr>
          <w:rFonts w:asciiTheme="majorHAnsi" w:hAnsiTheme="majorHAnsi" w:cstheme="majorHAnsi"/>
          <w:bCs/>
        </w:rPr>
        <w:t xml:space="preserve">Spatial pair-wise comparisons of </w:t>
      </w:r>
      <w:r>
        <w:rPr>
          <w:rFonts w:asciiTheme="majorHAnsi" w:hAnsiTheme="majorHAnsi" w:cstheme="majorHAnsi"/>
          <w:bCs/>
        </w:rPr>
        <w:t>plant</w:t>
      </w:r>
      <w:r w:rsidRPr="00462043">
        <w:rPr>
          <w:rFonts w:asciiTheme="majorHAnsi" w:hAnsiTheme="majorHAnsi" w:cstheme="majorHAnsi"/>
          <w:bCs/>
        </w:rPr>
        <w:t xml:space="preserve">-community and land-use data (all </w:t>
      </w:r>
    </w:p>
    <w:p w14:paraId="44505B07" w14:textId="69F51FCA" w:rsidR="00462043" w:rsidRDefault="00462043" w:rsidP="00774617">
      <w:pPr>
        <w:pStyle w:val="LO-normal"/>
        <w:ind w:left="1080"/>
        <w:rPr>
          <w:rFonts w:asciiTheme="majorHAnsi" w:hAnsiTheme="majorHAnsi" w:cstheme="majorHAnsi"/>
          <w:bCs/>
        </w:rPr>
      </w:pPr>
      <w:r w:rsidRPr="00462043">
        <w:rPr>
          <w:rFonts w:asciiTheme="majorHAnsi" w:hAnsiTheme="majorHAnsi" w:cstheme="majorHAnsi"/>
          <w:bCs/>
        </w:rPr>
        <w:t>experimental plots 2008-201</w:t>
      </w:r>
      <w:r w:rsidR="00774617">
        <w:rPr>
          <w:rFonts w:asciiTheme="majorHAnsi" w:hAnsiTheme="majorHAnsi" w:cstheme="majorHAnsi"/>
          <w:bCs/>
        </w:rPr>
        <w:t>8</w:t>
      </w:r>
      <w:r w:rsidRPr="00462043">
        <w:rPr>
          <w:rFonts w:asciiTheme="majorHAnsi" w:hAnsiTheme="majorHAnsi" w:cstheme="majorHAnsi"/>
          <w:bCs/>
        </w:rPr>
        <w:t>) (ID: 3192</w:t>
      </w:r>
      <w:r w:rsidR="00774617">
        <w:rPr>
          <w:rFonts w:asciiTheme="majorHAnsi" w:hAnsiTheme="majorHAnsi" w:cstheme="majorHAnsi"/>
          <w:bCs/>
        </w:rPr>
        <w:t>4</w:t>
      </w:r>
      <w:r w:rsidRPr="00462043">
        <w:rPr>
          <w:rFonts w:asciiTheme="majorHAnsi" w:hAnsiTheme="majorHAnsi" w:cstheme="majorHAnsi"/>
          <w:bCs/>
        </w:rPr>
        <w:t>)</w:t>
      </w:r>
    </w:p>
    <w:p w14:paraId="05D5C939" w14:textId="6CDD5DBC" w:rsidR="00462043" w:rsidRPr="00774617" w:rsidRDefault="00462043" w:rsidP="00462043">
      <w:pPr>
        <w:pStyle w:val="LO-normal"/>
        <w:numPr>
          <w:ilvl w:val="0"/>
          <w:numId w:val="1"/>
        </w:numPr>
        <w:rPr>
          <w:rFonts w:asciiTheme="majorHAnsi" w:hAnsiTheme="majorHAnsi" w:cstheme="majorHAnsi"/>
          <w:b/>
        </w:rPr>
      </w:pPr>
      <w:r w:rsidRPr="00774617">
        <w:rPr>
          <w:rFonts w:asciiTheme="majorHAnsi" w:hAnsiTheme="majorHAnsi" w:cstheme="majorHAnsi"/>
          <w:b/>
        </w:rPr>
        <w:t>Temporal diversity responses of plant communities:</w:t>
      </w:r>
    </w:p>
    <w:p w14:paraId="2CF9105A" w14:textId="77777777" w:rsidR="00BD5204" w:rsidRDefault="00774617" w:rsidP="00774617">
      <w:pPr>
        <w:pStyle w:val="LO-normal"/>
        <w:ind w:left="1080"/>
        <w:rPr>
          <w:rFonts w:asciiTheme="majorHAnsi" w:hAnsiTheme="majorHAnsi" w:cstheme="majorHAnsi"/>
          <w:bCs/>
        </w:rPr>
      </w:pPr>
      <w:r>
        <w:rPr>
          <w:rFonts w:asciiTheme="majorHAnsi" w:hAnsiTheme="majorHAnsi" w:cstheme="majorHAnsi"/>
          <w:bCs/>
        </w:rPr>
        <w:t>Temporal</w:t>
      </w:r>
      <w:r w:rsidRPr="00462043">
        <w:rPr>
          <w:rFonts w:asciiTheme="majorHAnsi" w:hAnsiTheme="majorHAnsi" w:cstheme="majorHAnsi"/>
          <w:bCs/>
        </w:rPr>
        <w:t xml:space="preserve"> pair-wise comparisons of </w:t>
      </w:r>
      <w:r>
        <w:rPr>
          <w:rFonts w:asciiTheme="majorHAnsi" w:hAnsiTheme="majorHAnsi" w:cstheme="majorHAnsi"/>
          <w:bCs/>
        </w:rPr>
        <w:t>plant</w:t>
      </w:r>
      <w:r w:rsidRPr="00462043">
        <w:rPr>
          <w:rFonts w:asciiTheme="majorHAnsi" w:hAnsiTheme="majorHAnsi" w:cstheme="majorHAnsi"/>
          <w:bCs/>
        </w:rPr>
        <w:t xml:space="preserve">-community and land-use data (all </w:t>
      </w:r>
    </w:p>
    <w:p w14:paraId="0361F940" w14:textId="6D35332C" w:rsidR="00774617" w:rsidRPr="00774617" w:rsidRDefault="00774617" w:rsidP="00774617">
      <w:pPr>
        <w:pStyle w:val="LO-normal"/>
        <w:ind w:left="1080"/>
        <w:rPr>
          <w:rFonts w:asciiTheme="majorHAnsi" w:hAnsiTheme="majorHAnsi" w:cstheme="majorHAnsi"/>
          <w:bCs/>
        </w:rPr>
      </w:pPr>
      <w:r w:rsidRPr="00462043">
        <w:rPr>
          <w:rFonts w:asciiTheme="majorHAnsi" w:hAnsiTheme="majorHAnsi" w:cstheme="majorHAnsi"/>
          <w:bCs/>
        </w:rPr>
        <w:t>experimental plots 2008-201</w:t>
      </w:r>
      <w:r>
        <w:rPr>
          <w:rFonts w:asciiTheme="majorHAnsi" w:hAnsiTheme="majorHAnsi" w:cstheme="majorHAnsi"/>
          <w:bCs/>
        </w:rPr>
        <w:t>8</w:t>
      </w:r>
      <w:r w:rsidRPr="00462043">
        <w:rPr>
          <w:rFonts w:asciiTheme="majorHAnsi" w:hAnsiTheme="majorHAnsi" w:cstheme="majorHAnsi"/>
          <w:bCs/>
        </w:rPr>
        <w:t>) (ID: 3192</w:t>
      </w:r>
      <w:r>
        <w:rPr>
          <w:rFonts w:asciiTheme="majorHAnsi" w:hAnsiTheme="majorHAnsi" w:cstheme="majorHAnsi"/>
          <w:bCs/>
        </w:rPr>
        <w:t>1</w:t>
      </w:r>
      <w:r w:rsidRPr="00462043">
        <w:rPr>
          <w:rFonts w:asciiTheme="majorHAnsi" w:hAnsiTheme="majorHAnsi" w:cstheme="majorHAnsi"/>
          <w:bCs/>
        </w:rPr>
        <w:t>)</w:t>
      </w:r>
    </w:p>
    <w:p w14:paraId="52014A05" w14:textId="77777777" w:rsidR="00462043" w:rsidRPr="00462043" w:rsidRDefault="00462043" w:rsidP="00462043">
      <w:pPr>
        <w:pStyle w:val="LO-normal"/>
        <w:numPr>
          <w:ilvl w:val="0"/>
          <w:numId w:val="1"/>
        </w:numPr>
        <w:rPr>
          <w:rFonts w:asciiTheme="majorHAnsi" w:hAnsiTheme="majorHAnsi" w:cstheme="majorHAnsi"/>
          <w:b/>
        </w:rPr>
      </w:pPr>
      <w:r w:rsidRPr="00462043">
        <w:rPr>
          <w:rFonts w:asciiTheme="majorHAnsi" w:hAnsiTheme="majorHAnsi" w:cstheme="majorHAnsi"/>
          <w:b/>
        </w:rPr>
        <w:t xml:space="preserve">Spatial diversity responses of arthropod communities: </w:t>
      </w:r>
    </w:p>
    <w:p w14:paraId="086305E4" w14:textId="7F940949" w:rsidR="00462043" w:rsidRPr="00462043" w:rsidRDefault="00462043" w:rsidP="00462043">
      <w:pPr>
        <w:pStyle w:val="LO-normal"/>
        <w:ind w:left="1080"/>
        <w:rPr>
          <w:rFonts w:asciiTheme="majorHAnsi" w:hAnsiTheme="majorHAnsi" w:cstheme="majorHAnsi"/>
          <w:bCs/>
        </w:rPr>
      </w:pPr>
      <w:r w:rsidRPr="00462043">
        <w:rPr>
          <w:rFonts w:asciiTheme="majorHAnsi" w:hAnsiTheme="majorHAnsi" w:cstheme="majorHAnsi"/>
          <w:bCs/>
        </w:rPr>
        <w:t>Spatial pair-wise comparisons of arthropod-community and land-use data (all</w:t>
      </w:r>
      <w:r w:rsidR="00BD5204">
        <w:rPr>
          <w:rFonts w:asciiTheme="majorHAnsi" w:hAnsiTheme="majorHAnsi" w:cstheme="majorHAnsi"/>
          <w:bCs/>
        </w:rPr>
        <w:t xml:space="preserve"> </w:t>
      </w:r>
      <w:r w:rsidRPr="00462043">
        <w:rPr>
          <w:rFonts w:asciiTheme="majorHAnsi" w:hAnsiTheme="majorHAnsi" w:cstheme="majorHAnsi"/>
          <w:bCs/>
        </w:rPr>
        <w:t>experimental plots 2008-2017) (ID: 31926)</w:t>
      </w:r>
    </w:p>
    <w:p w14:paraId="566E45C0" w14:textId="6BDAC06F" w:rsidR="00462043" w:rsidRPr="00462043" w:rsidRDefault="00462043" w:rsidP="00462043">
      <w:pPr>
        <w:pStyle w:val="LO-normal"/>
        <w:numPr>
          <w:ilvl w:val="0"/>
          <w:numId w:val="1"/>
        </w:numPr>
        <w:rPr>
          <w:rFonts w:asciiTheme="majorHAnsi" w:hAnsiTheme="majorHAnsi" w:cstheme="majorHAnsi"/>
          <w:b/>
        </w:rPr>
      </w:pPr>
      <w:r w:rsidRPr="00462043">
        <w:rPr>
          <w:rFonts w:asciiTheme="majorHAnsi" w:hAnsiTheme="majorHAnsi" w:cstheme="majorHAnsi"/>
          <w:b/>
        </w:rPr>
        <w:t>Temporal diversity responses of arthropod communities:</w:t>
      </w:r>
    </w:p>
    <w:p w14:paraId="4771FDCF" w14:textId="50DAF812" w:rsidR="00462043" w:rsidRPr="00462043" w:rsidRDefault="00462043" w:rsidP="00462043">
      <w:pPr>
        <w:pStyle w:val="LO-normal"/>
        <w:ind w:left="1080"/>
        <w:rPr>
          <w:rFonts w:asciiTheme="majorHAnsi" w:hAnsiTheme="majorHAnsi" w:cstheme="majorHAnsi"/>
          <w:bCs/>
        </w:rPr>
      </w:pPr>
      <w:r>
        <w:rPr>
          <w:rFonts w:asciiTheme="majorHAnsi" w:hAnsiTheme="majorHAnsi" w:cstheme="majorHAnsi"/>
          <w:bCs/>
        </w:rPr>
        <w:t>Temporal</w:t>
      </w:r>
      <w:r w:rsidRPr="00462043">
        <w:rPr>
          <w:rFonts w:asciiTheme="majorHAnsi" w:hAnsiTheme="majorHAnsi" w:cstheme="majorHAnsi"/>
          <w:bCs/>
        </w:rPr>
        <w:t xml:space="preserve"> pair-wise comparisons of arthropod-community and land-use data (all experimental plots 2008-2017) (ID: 3192</w:t>
      </w:r>
      <w:r>
        <w:rPr>
          <w:rFonts w:asciiTheme="majorHAnsi" w:hAnsiTheme="majorHAnsi" w:cstheme="majorHAnsi"/>
          <w:bCs/>
        </w:rPr>
        <w:t>5</w:t>
      </w:r>
      <w:r w:rsidRPr="00462043">
        <w:rPr>
          <w:rFonts w:asciiTheme="majorHAnsi" w:hAnsiTheme="majorHAnsi" w:cstheme="majorHAnsi"/>
          <w:bCs/>
        </w:rPr>
        <w:t>)</w:t>
      </w:r>
    </w:p>
    <w:p w14:paraId="42155531" w14:textId="77777777" w:rsidR="00462043" w:rsidRPr="00462043" w:rsidRDefault="00462043" w:rsidP="00462043">
      <w:pPr>
        <w:pStyle w:val="LO-normal"/>
        <w:ind w:left="1080"/>
        <w:rPr>
          <w:rFonts w:asciiTheme="majorHAnsi" w:hAnsiTheme="majorHAnsi" w:cstheme="majorHAnsi"/>
          <w:bCs/>
        </w:rPr>
      </w:pPr>
    </w:p>
    <w:p w14:paraId="4AC9EB41" w14:textId="77777777" w:rsidR="00462043" w:rsidRPr="00462043" w:rsidRDefault="00462043">
      <w:pPr>
        <w:pStyle w:val="LO-normal"/>
        <w:rPr>
          <w:rFonts w:asciiTheme="majorHAnsi" w:hAnsiTheme="majorHAnsi" w:cstheme="majorHAnsi"/>
          <w:b/>
        </w:rPr>
      </w:pPr>
    </w:p>
    <w:p w14:paraId="263DD2C0" w14:textId="53825A2A" w:rsidR="000253ED" w:rsidRPr="00462043" w:rsidRDefault="000E3E11">
      <w:pPr>
        <w:pStyle w:val="LO-normal"/>
        <w:rPr>
          <w:rFonts w:asciiTheme="majorHAnsi" w:hAnsiTheme="majorHAnsi" w:cstheme="majorHAnsi"/>
          <w:b/>
        </w:rPr>
      </w:pPr>
      <w:r w:rsidRPr="00462043">
        <w:rPr>
          <w:rFonts w:asciiTheme="majorHAnsi" w:hAnsiTheme="majorHAnsi" w:cstheme="majorHAnsi"/>
          <w:b/>
        </w:rPr>
        <w:t>References</w:t>
      </w:r>
      <w:r w:rsidR="00C87BB6" w:rsidRPr="00462043">
        <w:rPr>
          <w:rFonts w:asciiTheme="majorHAnsi" w:hAnsiTheme="majorHAnsi" w:cstheme="majorHAnsi"/>
          <w:b/>
        </w:rPr>
        <w:t xml:space="preserve"> </w:t>
      </w:r>
    </w:p>
    <w:p w14:paraId="0D693F73" w14:textId="77777777" w:rsidR="006B45C8" w:rsidRPr="00462043" w:rsidRDefault="006B45C8">
      <w:pPr>
        <w:pStyle w:val="LO-normal"/>
        <w:rPr>
          <w:rFonts w:asciiTheme="majorHAnsi" w:hAnsiTheme="majorHAnsi" w:cstheme="majorHAnsi"/>
          <w:color w:val="38761D"/>
          <w:sz w:val="18"/>
          <w:szCs w:val="18"/>
        </w:rPr>
      </w:pPr>
    </w:p>
    <w:p w14:paraId="504AC672" w14:textId="3F6212E0" w:rsidR="00A77187" w:rsidRDefault="00A77187" w:rsidP="00C87BB6">
      <w:pPr>
        <w:widowControl w:val="0"/>
        <w:autoSpaceDE w:val="0"/>
        <w:autoSpaceDN w:val="0"/>
        <w:adjustRightInd w:val="0"/>
        <w:spacing w:after="120" w:line="240" w:lineRule="auto"/>
        <w:ind w:left="720" w:hanging="720"/>
        <w:rPr>
          <w:rFonts w:cs="Times New Roman"/>
          <w:noProof/>
          <w:szCs w:val="24"/>
        </w:rPr>
      </w:pPr>
      <w:r w:rsidRPr="00D7557F">
        <w:rPr>
          <w:rFonts w:cs="Times New Roman"/>
          <w:noProof/>
          <w:szCs w:val="24"/>
          <w:lang w:val="de-DE"/>
        </w:rPr>
        <w:t xml:space="preserve">Allan, Eric, Oliver Bossdorf, Carsten F. Dormann, Daniel Prati, Martin M. Gossner, Teja Tscharntke, Nico Blüthgen, et al. 2014. </w:t>
      </w:r>
      <w:r w:rsidRPr="000E0F53">
        <w:rPr>
          <w:rFonts w:cs="Times New Roman"/>
          <w:noProof/>
          <w:szCs w:val="24"/>
        </w:rPr>
        <w:t xml:space="preserve">“Interannual Variation in Land-Use Intensity Enhances Grassland Multidiversity.” </w:t>
      </w:r>
      <w:r w:rsidRPr="000E0F53">
        <w:rPr>
          <w:rFonts w:cs="Times New Roman"/>
          <w:i/>
          <w:iCs/>
          <w:noProof/>
          <w:szCs w:val="24"/>
        </w:rPr>
        <w:t>Proceedings of the National Academy of Sciences</w:t>
      </w:r>
      <w:r w:rsidRPr="000E0F53">
        <w:rPr>
          <w:rFonts w:cs="Times New Roman"/>
          <w:noProof/>
          <w:szCs w:val="24"/>
        </w:rPr>
        <w:t xml:space="preserve"> 111 (1): 308–13. </w:t>
      </w:r>
      <w:hyperlink r:id="rId10" w:history="1">
        <w:r w:rsidR="00C87BB6" w:rsidRPr="00F73FD0">
          <w:rPr>
            <w:rStyle w:val="Hyperlink"/>
            <w:rFonts w:cs="Times New Roman"/>
            <w:noProof/>
            <w:szCs w:val="24"/>
          </w:rPr>
          <w:t>https://doi.org/10.1073/pnas.1312213111</w:t>
        </w:r>
      </w:hyperlink>
      <w:r w:rsidRPr="000E0F53">
        <w:rPr>
          <w:rFonts w:cs="Times New Roman"/>
          <w:noProof/>
          <w:szCs w:val="24"/>
        </w:rPr>
        <w:t>.</w:t>
      </w:r>
    </w:p>
    <w:p w14:paraId="1ECEB83A" w14:textId="49704FDC" w:rsidR="00C87BB6" w:rsidRPr="00C87BB6" w:rsidRDefault="00C87BB6" w:rsidP="00C87BB6">
      <w:pPr>
        <w:pStyle w:val="LO-normal"/>
        <w:spacing w:after="120"/>
        <w:ind w:left="720" w:hanging="720"/>
        <w:rPr>
          <w:rFonts w:cs="Times New Roman"/>
          <w:noProof/>
          <w:szCs w:val="24"/>
          <w:lang w:val="de-DE"/>
        </w:rPr>
      </w:pPr>
      <w:r w:rsidRPr="00462043">
        <w:rPr>
          <w:rFonts w:cs="Times New Roman"/>
          <w:noProof/>
          <w:szCs w:val="24"/>
        </w:rPr>
        <w:t xml:space="preserve">Allan, Eric; Penone, Caterina; Blüthgen, Nico; Boch, Steffen; Bonkowski, Michael; Goldmann, Kezia; Goßner, Martin; Wolters, Volkmar (2024): Assembled species information from grassland EPs (2008-2020) for multidiversity synthesis - November 2020. </w:t>
      </w:r>
      <w:r w:rsidRPr="00C87BB6">
        <w:rPr>
          <w:rFonts w:cs="Times New Roman"/>
          <w:noProof/>
          <w:szCs w:val="24"/>
          <w:lang w:val="de-DE"/>
        </w:rPr>
        <w:t>Version 6. Biodiversity Exploratories Information System. Dataset. https://www.bexis.uni-jena.de. Dataset ID= 27706</w:t>
      </w:r>
    </w:p>
    <w:p w14:paraId="0713C9B7" w14:textId="5B397C1A" w:rsidR="00A77187" w:rsidRPr="00D25569" w:rsidRDefault="00A77187" w:rsidP="00C87BB6">
      <w:pPr>
        <w:pStyle w:val="LO-normal"/>
        <w:spacing w:after="120" w:line="240" w:lineRule="auto"/>
        <w:ind w:left="720" w:hanging="720"/>
        <w:rPr>
          <w:rFonts w:cs="Times New Roman"/>
          <w:noProof/>
          <w:szCs w:val="24"/>
        </w:rPr>
      </w:pPr>
      <w:r w:rsidRPr="00A77187">
        <w:rPr>
          <w:rFonts w:cs="Times New Roman"/>
          <w:noProof/>
          <w:szCs w:val="24"/>
          <w:lang w:val="de-DE"/>
        </w:rPr>
        <w:t>Bazzichetto, M., Sperandii, M.G., Penone, C., Keil, P., Allan, E., Lepš, J., Prati, D., Fischer, M., Bolliger, R., Gossner, M. M., &amp; de Bello, F. (2024). </w:t>
      </w:r>
      <w:r w:rsidRPr="00D25569">
        <w:rPr>
          <w:rFonts w:cs="Times New Roman"/>
          <w:noProof/>
          <w:szCs w:val="24"/>
        </w:rPr>
        <w:t>Biodiversity promotes resistance but dominant species shape recovery of grasslands under extreme drought. Journal of Ecology, 112, 1087–1100. </w:t>
      </w:r>
      <w:hyperlink r:id="rId11" w:history="1">
        <w:r w:rsidRPr="00D25569">
          <w:rPr>
            <w:rFonts w:cs="Times New Roman"/>
            <w:noProof/>
            <w:szCs w:val="24"/>
          </w:rPr>
          <w:t>https://doi.org/10.1111/1365-2745.14288</w:t>
        </w:r>
      </w:hyperlink>
      <w:r w:rsidRPr="00D25569">
        <w:rPr>
          <w:rFonts w:cs="Times New Roman"/>
          <w:noProof/>
          <w:szCs w:val="24"/>
        </w:rPr>
        <w:t xml:space="preserve"> </w:t>
      </w:r>
    </w:p>
    <w:p w14:paraId="70D8655A" w14:textId="18F32D14" w:rsidR="00A77187" w:rsidRPr="00D25569" w:rsidRDefault="00A77187" w:rsidP="00C87BB6">
      <w:pPr>
        <w:widowControl w:val="0"/>
        <w:autoSpaceDE w:val="0"/>
        <w:autoSpaceDN w:val="0"/>
        <w:adjustRightInd w:val="0"/>
        <w:spacing w:after="120" w:line="240" w:lineRule="auto"/>
        <w:ind w:left="720" w:hanging="720"/>
        <w:rPr>
          <w:rFonts w:cs="Times New Roman"/>
          <w:noProof/>
          <w:szCs w:val="24"/>
          <w:lang w:val="de-DE"/>
        </w:rPr>
      </w:pPr>
      <w:r w:rsidRPr="00D25569">
        <w:rPr>
          <w:rFonts w:cs="Times New Roman"/>
          <w:noProof/>
          <w:szCs w:val="24"/>
        </w:rPr>
        <w:t xml:space="preserve">Birkhofer, Klaus, Ingo Schöning, Fabian Alt, Nadine Herold, Bernhard Klarner, Mark Maraun, Sven Marhan, et al. 2012. </w:t>
      </w:r>
      <w:r w:rsidRPr="000E0F53">
        <w:rPr>
          <w:rFonts w:cs="Times New Roman"/>
          <w:noProof/>
          <w:szCs w:val="24"/>
        </w:rPr>
        <w:t xml:space="preserve">“General Relationships between Abiotic Soil Properties and Soil Biota across Spatial Scales and Different Land-Use Types.” </w:t>
      </w:r>
      <w:r w:rsidRPr="00D25569">
        <w:rPr>
          <w:rFonts w:cs="Times New Roman"/>
          <w:i/>
          <w:iCs/>
          <w:noProof/>
          <w:szCs w:val="24"/>
          <w:lang w:val="de-DE"/>
        </w:rPr>
        <w:t>PloS One</w:t>
      </w:r>
      <w:r w:rsidRPr="00D25569">
        <w:rPr>
          <w:rFonts w:cs="Times New Roman"/>
          <w:noProof/>
          <w:szCs w:val="24"/>
          <w:lang w:val="de-DE"/>
        </w:rPr>
        <w:t xml:space="preserve"> 7 (8): e43292. https://doi.org/10.1371/journal.pone.0043292.</w:t>
      </w:r>
    </w:p>
    <w:p w14:paraId="6FC9E6AD" w14:textId="6B8DB432" w:rsidR="00A77187" w:rsidRDefault="00A77187" w:rsidP="00C87BB6">
      <w:pPr>
        <w:widowControl w:val="0"/>
        <w:autoSpaceDE w:val="0"/>
        <w:autoSpaceDN w:val="0"/>
        <w:adjustRightInd w:val="0"/>
        <w:spacing w:after="120" w:line="240" w:lineRule="auto"/>
        <w:ind w:left="720" w:hanging="720"/>
        <w:rPr>
          <w:rFonts w:cs="Times New Roman"/>
          <w:noProof/>
          <w:szCs w:val="24"/>
        </w:rPr>
      </w:pPr>
      <w:r w:rsidRPr="00D7557F">
        <w:rPr>
          <w:rFonts w:cs="Times New Roman"/>
          <w:noProof/>
          <w:szCs w:val="24"/>
          <w:lang w:val="de-DE"/>
        </w:rPr>
        <w:t xml:space="preserve">Blüthgen, Nico, Carsten F. Dormann, Daniel Prati, Valentin H. Klaus, Till Kleinebecker, Norbert Hölzel, Fabian Alt, et al. 2012. </w:t>
      </w:r>
      <w:r w:rsidRPr="000E0F53">
        <w:rPr>
          <w:rFonts w:cs="Times New Roman"/>
          <w:noProof/>
          <w:szCs w:val="24"/>
        </w:rPr>
        <w:t xml:space="preserve">“A Quantitative Index of Land-Use Intensity in Grasslands: Integrating Mowing, Grazing and Fertilization.” </w:t>
      </w:r>
      <w:r w:rsidRPr="000E0F53">
        <w:rPr>
          <w:rFonts w:cs="Times New Roman"/>
          <w:i/>
          <w:iCs/>
          <w:noProof/>
          <w:szCs w:val="24"/>
        </w:rPr>
        <w:t>Basic and Applied Ecology</w:t>
      </w:r>
      <w:r w:rsidRPr="000E0F53">
        <w:rPr>
          <w:rFonts w:cs="Times New Roman"/>
          <w:noProof/>
          <w:szCs w:val="24"/>
        </w:rPr>
        <w:t xml:space="preserve"> 13 (3): 207–20. </w:t>
      </w:r>
      <w:hyperlink r:id="rId12" w:history="1">
        <w:r w:rsidRPr="00D25569">
          <w:rPr>
            <w:rStyle w:val="Hyperlink"/>
            <w:rFonts w:cs="Times New Roman"/>
            <w:noProof/>
            <w:szCs w:val="24"/>
          </w:rPr>
          <w:t>https://doi.org/10.1016/j.baae.2012.04.001</w:t>
        </w:r>
      </w:hyperlink>
      <w:r w:rsidRPr="00D25569">
        <w:rPr>
          <w:rFonts w:cs="Times New Roman"/>
          <w:noProof/>
          <w:szCs w:val="24"/>
        </w:rPr>
        <w:t>.</w:t>
      </w:r>
    </w:p>
    <w:p w14:paraId="3646CBAA" w14:textId="74B487C1" w:rsidR="00C87BB6" w:rsidRPr="00D25569" w:rsidRDefault="00C87BB6" w:rsidP="00C87BB6">
      <w:pPr>
        <w:pStyle w:val="LO-normal"/>
        <w:spacing w:after="120"/>
        <w:ind w:left="720" w:hanging="720"/>
        <w:rPr>
          <w:rFonts w:cs="Times New Roman"/>
          <w:noProof/>
          <w:szCs w:val="24"/>
        </w:rPr>
      </w:pPr>
      <w:r w:rsidRPr="00462043">
        <w:rPr>
          <w:rFonts w:cs="Times New Roman"/>
          <w:noProof/>
          <w:szCs w:val="24"/>
        </w:rPr>
        <w:lastRenderedPageBreak/>
        <w:t xml:space="preserve">Bolliger, Ralph; Prati, Daniel; Fischer, Markus; Hölzel, Norbert; Busch, Verena (2020): Vegetation Records for Grassland EPs, 2008 - 2018. </w:t>
      </w:r>
      <w:r w:rsidRPr="00793D2A">
        <w:rPr>
          <w:rFonts w:cs="Times New Roman"/>
          <w:noProof/>
          <w:szCs w:val="24"/>
        </w:rPr>
        <w:t>Version 2. Biodiversity Exploratories Information System. Dataset. https://www.bexis.uni-jena.de/ddm/data/Showdata/24247?version=2</w:t>
      </w:r>
    </w:p>
    <w:p w14:paraId="02379891" w14:textId="77777777" w:rsidR="00A77187" w:rsidRPr="000E0F53" w:rsidRDefault="00A77187" w:rsidP="00C87BB6">
      <w:pPr>
        <w:widowControl w:val="0"/>
        <w:autoSpaceDE w:val="0"/>
        <w:autoSpaceDN w:val="0"/>
        <w:adjustRightInd w:val="0"/>
        <w:spacing w:after="120" w:line="240" w:lineRule="auto"/>
        <w:ind w:left="720" w:hanging="720"/>
        <w:rPr>
          <w:rFonts w:cs="Times New Roman"/>
          <w:noProof/>
          <w:szCs w:val="24"/>
        </w:rPr>
      </w:pPr>
      <w:r w:rsidRPr="00462043">
        <w:rPr>
          <w:rFonts w:cs="Times New Roman"/>
          <w:noProof/>
          <w:szCs w:val="24"/>
        </w:rPr>
        <w:t xml:space="preserve">Gossner, Martin M., Thomas M. Lewinsohn, Tiemo Kahl, Fabrice Grassein, Steffen Boch, Daniel Prati, Klaus Birkhofer, et al. 2016. </w:t>
      </w:r>
      <w:r w:rsidRPr="000E0F53">
        <w:rPr>
          <w:rFonts w:cs="Times New Roman"/>
          <w:noProof/>
          <w:szCs w:val="24"/>
        </w:rPr>
        <w:t xml:space="preserve">“Land-Use Intensification Causes Multitrophic Homogenization of Grassland Communities.” </w:t>
      </w:r>
      <w:r w:rsidRPr="000E0F53">
        <w:rPr>
          <w:rFonts w:cs="Times New Roman"/>
          <w:i/>
          <w:iCs/>
          <w:noProof/>
          <w:szCs w:val="24"/>
        </w:rPr>
        <w:t>Nature</w:t>
      </w:r>
      <w:r w:rsidRPr="000E0F53">
        <w:rPr>
          <w:rFonts w:cs="Times New Roman"/>
          <w:noProof/>
          <w:szCs w:val="24"/>
        </w:rPr>
        <w:t xml:space="preserve"> 540 (7632). https://doi.org/10.1038/nature20575.</w:t>
      </w:r>
    </w:p>
    <w:p w14:paraId="29E4B105" w14:textId="36F66129" w:rsidR="00A77187" w:rsidRDefault="00A77187" w:rsidP="00C87BB6">
      <w:pPr>
        <w:widowControl w:val="0"/>
        <w:autoSpaceDE w:val="0"/>
        <w:autoSpaceDN w:val="0"/>
        <w:adjustRightInd w:val="0"/>
        <w:spacing w:after="120" w:line="240" w:lineRule="auto"/>
        <w:ind w:left="720" w:hanging="720"/>
        <w:rPr>
          <w:rFonts w:cs="Times New Roman"/>
          <w:noProof/>
          <w:szCs w:val="24"/>
        </w:rPr>
      </w:pPr>
      <w:r w:rsidRPr="000E0F53">
        <w:rPr>
          <w:rFonts w:cs="Times New Roman"/>
          <w:noProof/>
          <w:szCs w:val="24"/>
        </w:rPr>
        <w:t xml:space="preserve">Gossner, Martin M, Nadja K Simons, Roland Achtziger, Theo Blick, Wolfgang H.O Dorow, Frank Dziock, Frank Köhler, Wolfgang Rabitsch, and Wolfgang W Weisser. 2015. “A Summary of Eight Traits of Coleoptera, Hemiptera, Orthoptera and Araneae, Occurring in Grasslands in Germany.” </w:t>
      </w:r>
      <w:r w:rsidRPr="000E0F53">
        <w:rPr>
          <w:rFonts w:cs="Times New Roman"/>
          <w:i/>
          <w:iCs/>
          <w:noProof/>
          <w:szCs w:val="24"/>
        </w:rPr>
        <w:t>Scientific Data</w:t>
      </w:r>
      <w:r w:rsidRPr="000E0F53">
        <w:rPr>
          <w:rFonts w:cs="Times New Roman"/>
          <w:noProof/>
          <w:szCs w:val="24"/>
        </w:rPr>
        <w:t xml:space="preserve"> 2 (1): 150013. </w:t>
      </w:r>
      <w:hyperlink r:id="rId13" w:history="1">
        <w:r w:rsidR="00C87BB6" w:rsidRPr="00F73FD0">
          <w:rPr>
            <w:rStyle w:val="Hyperlink"/>
            <w:rFonts w:cs="Times New Roman"/>
            <w:noProof/>
            <w:szCs w:val="24"/>
          </w:rPr>
          <w:t>https://doi.org/10.1038/sdata.2015.13</w:t>
        </w:r>
      </w:hyperlink>
      <w:r w:rsidRPr="000E0F53">
        <w:rPr>
          <w:rFonts w:cs="Times New Roman"/>
          <w:noProof/>
          <w:szCs w:val="24"/>
        </w:rPr>
        <w:t>.</w:t>
      </w:r>
    </w:p>
    <w:p w14:paraId="170C10F3" w14:textId="77777777" w:rsidR="00C87BB6" w:rsidRDefault="00C87BB6" w:rsidP="00C87BB6">
      <w:pPr>
        <w:pStyle w:val="LO-normal"/>
        <w:spacing w:after="120"/>
        <w:ind w:left="720" w:hanging="720"/>
        <w:rPr>
          <w:rFonts w:cs="Times New Roman"/>
          <w:noProof/>
          <w:szCs w:val="24"/>
        </w:rPr>
      </w:pPr>
      <w:r w:rsidRPr="00312A2D">
        <w:rPr>
          <w:rFonts w:cs="Times New Roman"/>
          <w:noProof/>
          <w:szCs w:val="24"/>
        </w:rPr>
        <w:t>Hänsel, Falk; Forteva, Spaska; Wöllauer, Stephan; Nauss, Thomas (2024): Öffentlich verfügbare Klimadaten der Exploratorien / Open Climate Data of the Exploratories Project. Version 6. Biodiversity Exploratories Information System. Dataset. https://www.bexis.uni-jena.de/ddm/data/Showdata/24766?version=6</w:t>
      </w:r>
    </w:p>
    <w:p w14:paraId="20BA89AA" w14:textId="77777777" w:rsidR="00C87BB6" w:rsidRDefault="00C87BB6" w:rsidP="00C87BB6">
      <w:pPr>
        <w:pStyle w:val="LO-normal"/>
        <w:spacing w:after="120"/>
        <w:ind w:left="720" w:hanging="720"/>
        <w:rPr>
          <w:rFonts w:cs="Times New Roman"/>
          <w:noProof/>
          <w:szCs w:val="24"/>
        </w:rPr>
      </w:pPr>
      <w:r w:rsidRPr="00312A2D">
        <w:rPr>
          <w:rFonts w:cs="Times New Roman"/>
          <w:noProof/>
          <w:szCs w:val="24"/>
        </w:rPr>
        <w:t xml:space="preserve">Lorenzen, Katrin; Vogt, Juliane; Teuscher, Miriam; Ostrowski, Andreas; Thiele, Jan (2023): Input Data for LUI Calculation Tool  of all grassland plots since 2006 - revised 2019. Version 11. Biodiversity Exploratories Information System. Dataset. </w:t>
      </w:r>
      <w:hyperlink r:id="rId14" w:history="1">
        <w:r w:rsidRPr="00F73FD0">
          <w:rPr>
            <w:rStyle w:val="Hyperlink"/>
            <w:rFonts w:cs="Times New Roman"/>
            <w:noProof/>
            <w:szCs w:val="24"/>
          </w:rPr>
          <w:t>https://www.bexis.uni-jena.de/ddm/data/Showdata/25086?version=11</w:t>
        </w:r>
      </w:hyperlink>
    </w:p>
    <w:p w14:paraId="2F3FF515" w14:textId="77777777" w:rsidR="00C87BB6" w:rsidRDefault="00C87BB6" w:rsidP="00C87BB6">
      <w:pPr>
        <w:pStyle w:val="LO-normal"/>
        <w:spacing w:after="120"/>
        <w:ind w:left="720" w:hanging="720"/>
        <w:rPr>
          <w:rFonts w:cs="Times New Roman"/>
          <w:noProof/>
          <w:szCs w:val="24"/>
        </w:rPr>
      </w:pPr>
      <w:r w:rsidRPr="00312A2D">
        <w:rPr>
          <w:rFonts w:cs="Times New Roman"/>
          <w:noProof/>
          <w:szCs w:val="24"/>
        </w:rPr>
        <w:t>Manning, Peter (2023): Aggregated environmental and land-use covariates of the 150 grassland EPs used in "Contrasting responses of above- and belowground diversity to multiple components of land-use intensity". Version 5. Biodiversity Exploratories Information System. Dataset. https://www.bexis.uni-jena.de/ddm/data/Showdata/31018?version=5</w:t>
      </w:r>
    </w:p>
    <w:p w14:paraId="67A806B5" w14:textId="4ECB6AAE" w:rsidR="00C87BB6" w:rsidRDefault="00C87BB6" w:rsidP="00C87BB6">
      <w:pPr>
        <w:pStyle w:val="LO-normal"/>
        <w:spacing w:after="120"/>
        <w:ind w:left="720" w:hanging="720"/>
        <w:rPr>
          <w:rFonts w:cs="Times New Roman"/>
          <w:noProof/>
          <w:szCs w:val="24"/>
        </w:rPr>
      </w:pPr>
      <w:r w:rsidRPr="00312A2D">
        <w:rPr>
          <w:rFonts w:cs="Times New Roman"/>
          <w:noProof/>
          <w:szCs w:val="24"/>
        </w:rPr>
        <w:t>Nieschulze, Jens; Schulze, Ernst-Detlef; Fischer, Markus; Ayasse, Manfred; Weisser, Wolfgang; Ostrowski, Andreas; König-Ries, Birgitta (2023): Basic Information of all Experimental Plots (EPs). Version 7. Biodiversity Exploratories Information System. Dataset. https://www.bexis.uni-jena.de. Dataset ID= 20826</w:t>
      </w:r>
    </w:p>
    <w:p w14:paraId="3EF14AAE" w14:textId="77777777" w:rsidR="00A77187" w:rsidRPr="000E0F53" w:rsidRDefault="00A77187" w:rsidP="00C87BB6">
      <w:pPr>
        <w:widowControl w:val="0"/>
        <w:autoSpaceDE w:val="0"/>
        <w:autoSpaceDN w:val="0"/>
        <w:adjustRightInd w:val="0"/>
        <w:spacing w:after="120" w:line="240" w:lineRule="auto"/>
        <w:ind w:left="720" w:hanging="720"/>
        <w:rPr>
          <w:rFonts w:cs="Times New Roman"/>
          <w:noProof/>
          <w:szCs w:val="24"/>
        </w:rPr>
      </w:pPr>
      <w:r w:rsidRPr="000E0F53">
        <w:rPr>
          <w:rFonts w:cs="Times New Roman"/>
          <w:noProof/>
          <w:szCs w:val="24"/>
        </w:rPr>
        <w:t xml:space="preserve">Provost, Gaëtane Le, Jan Thiele, Catrin Westphal, Caterina Penone, Eric Allan, Margot Neyret, Fons van der Plas, et al. 2021. “Contrasting Responses of Above- and Belowground Diversity to Multiple Components of Land-Use Intensity.” </w:t>
      </w:r>
      <w:r w:rsidRPr="000E0F53">
        <w:rPr>
          <w:rFonts w:cs="Times New Roman"/>
          <w:i/>
          <w:iCs/>
          <w:noProof/>
          <w:szCs w:val="24"/>
        </w:rPr>
        <w:t>Nature Communications</w:t>
      </w:r>
      <w:r w:rsidRPr="000E0F53">
        <w:rPr>
          <w:rFonts w:cs="Times New Roman"/>
          <w:noProof/>
          <w:szCs w:val="24"/>
        </w:rPr>
        <w:t xml:space="preserve"> 12 (1): 3918. https://doi.org/10.1038/s41467-021-23931-1.</w:t>
      </w:r>
    </w:p>
    <w:p w14:paraId="49CAD5F1" w14:textId="316934FF" w:rsidR="00A77187" w:rsidRDefault="00A77187" w:rsidP="00C87BB6">
      <w:pPr>
        <w:widowControl w:val="0"/>
        <w:autoSpaceDE w:val="0"/>
        <w:autoSpaceDN w:val="0"/>
        <w:adjustRightInd w:val="0"/>
        <w:spacing w:after="120" w:line="240" w:lineRule="auto"/>
        <w:ind w:left="720" w:hanging="720"/>
        <w:rPr>
          <w:rFonts w:cs="Times New Roman"/>
          <w:noProof/>
          <w:szCs w:val="24"/>
        </w:rPr>
      </w:pPr>
      <w:r w:rsidRPr="000E0F53">
        <w:rPr>
          <w:rFonts w:cs="Times New Roman"/>
          <w:noProof/>
          <w:szCs w:val="24"/>
        </w:rPr>
        <w:t xml:space="preserve">Scherreiks, Pascal, Martin M Gossner, Didem Ambarlı, Manfred Ayasse, Nico Blüthgen, Markus Fischer, Valentin H Klaus, et al. 2022. “Present and Historical Landscape Structure Shapes Current Species Richness in Central European Grasslands.” </w:t>
      </w:r>
      <w:r w:rsidRPr="000E0F53">
        <w:rPr>
          <w:rFonts w:cs="Times New Roman"/>
          <w:i/>
          <w:iCs/>
          <w:noProof/>
          <w:szCs w:val="24"/>
        </w:rPr>
        <w:t>Landscape Ecology</w:t>
      </w:r>
      <w:r w:rsidRPr="000E0F53">
        <w:rPr>
          <w:rFonts w:cs="Times New Roman"/>
          <w:noProof/>
          <w:szCs w:val="24"/>
        </w:rPr>
        <w:t xml:space="preserve"> 37 (3): 745–62. </w:t>
      </w:r>
      <w:hyperlink r:id="rId15" w:history="1">
        <w:r w:rsidRPr="00781005">
          <w:rPr>
            <w:rStyle w:val="Hyperlink"/>
            <w:rFonts w:cs="Times New Roman"/>
            <w:noProof/>
            <w:szCs w:val="24"/>
          </w:rPr>
          <w:t>https://doi.org/10.1007/s10980-021-01392-7</w:t>
        </w:r>
      </w:hyperlink>
      <w:r w:rsidRPr="000E0F53">
        <w:rPr>
          <w:rFonts w:cs="Times New Roman"/>
          <w:noProof/>
          <w:szCs w:val="24"/>
        </w:rPr>
        <w:t>.</w:t>
      </w:r>
    </w:p>
    <w:p w14:paraId="54433B68" w14:textId="77777777" w:rsidR="00C87BB6" w:rsidRDefault="00C87BB6" w:rsidP="00C87BB6">
      <w:pPr>
        <w:pStyle w:val="LO-normal"/>
        <w:spacing w:after="120"/>
        <w:ind w:left="720" w:hanging="720"/>
        <w:rPr>
          <w:rFonts w:cs="Times New Roman"/>
          <w:noProof/>
          <w:szCs w:val="24"/>
        </w:rPr>
      </w:pPr>
      <w:r w:rsidRPr="00AC79DE">
        <w:rPr>
          <w:rFonts w:cs="Times New Roman"/>
          <w:noProof/>
          <w:szCs w:val="24"/>
        </w:rPr>
        <w:t xml:space="preserve">Schöning, Ingo; Trumbore, Susan (2023): Soil carbon and nitrogen concentrations - soil sampling campaign 2011, all experimental plots (EPs), 0-10 cm. Version 22. Biodiversity Exploratories Information System. Dataset. </w:t>
      </w:r>
      <w:hyperlink r:id="rId16" w:history="1">
        <w:r w:rsidRPr="00F73FD0">
          <w:rPr>
            <w:rStyle w:val="Hyperlink"/>
            <w:rFonts w:cs="Times New Roman"/>
            <w:noProof/>
            <w:szCs w:val="24"/>
          </w:rPr>
          <w:t>https://www.bexis.uni-jena.de/ddm/data/Showdata/14446?version=22</w:t>
        </w:r>
      </w:hyperlink>
    </w:p>
    <w:p w14:paraId="324AD87A" w14:textId="77777777" w:rsidR="00C87BB6" w:rsidRDefault="00C87BB6" w:rsidP="00C87BB6">
      <w:pPr>
        <w:pStyle w:val="LO-normal"/>
        <w:spacing w:after="120"/>
        <w:ind w:left="720" w:hanging="720"/>
        <w:rPr>
          <w:rFonts w:cs="Times New Roman"/>
          <w:noProof/>
          <w:szCs w:val="24"/>
        </w:rPr>
      </w:pPr>
      <w:r w:rsidRPr="00312A2D">
        <w:rPr>
          <w:rFonts w:cs="Times New Roman"/>
          <w:noProof/>
          <w:szCs w:val="24"/>
        </w:rPr>
        <w:t>Schöning, Ingo (2024</w:t>
      </w:r>
      <w:r>
        <w:rPr>
          <w:rFonts w:cs="Times New Roman"/>
          <w:noProof/>
          <w:szCs w:val="24"/>
        </w:rPr>
        <w:t>a</w:t>
      </w:r>
      <w:r w:rsidRPr="00312A2D">
        <w:rPr>
          <w:rFonts w:cs="Times New Roman"/>
          <w:noProof/>
          <w:szCs w:val="24"/>
        </w:rPr>
        <w:t>): Soil pH - soil sampling campaign 2011, all experimental plots (EPs), 0-10 cm. Version 9. Biodiversity Exploratories Information System. Dataset. https://doi.org/10.25829/bexis.14447-1.10.28</w:t>
      </w:r>
    </w:p>
    <w:p w14:paraId="2C22F5FA" w14:textId="4CC8F957" w:rsidR="00C87BB6" w:rsidRDefault="00C87BB6" w:rsidP="00C87BB6">
      <w:pPr>
        <w:pStyle w:val="LO-normal"/>
        <w:spacing w:after="120"/>
        <w:ind w:left="720" w:hanging="720"/>
        <w:rPr>
          <w:rFonts w:cs="Times New Roman"/>
          <w:noProof/>
          <w:szCs w:val="24"/>
        </w:rPr>
      </w:pPr>
      <w:r w:rsidRPr="00312A2D">
        <w:rPr>
          <w:rFonts w:cs="Times New Roman"/>
          <w:noProof/>
          <w:szCs w:val="24"/>
        </w:rPr>
        <w:t>Schöning, Ingo (2024</w:t>
      </w:r>
      <w:r>
        <w:rPr>
          <w:rFonts w:cs="Times New Roman"/>
          <w:noProof/>
          <w:szCs w:val="24"/>
        </w:rPr>
        <w:t>b</w:t>
      </w:r>
      <w:r w:rsidRPr="00312A2D">
        <w:rPr>
          <w:rFonts w:cs="Times New Roman"/>
          <w:noProof/>
          <w:szCs w:val="24"/>
        </w:rPr>
        <w:t xml:space="preserve">): Soil bulk density and organic carbon and total nitrogen stocks - soil sampling campaign 2011, all experimental plots (EP), 0-10 cm. Version 8. Biodiversity Exploratories </w:t>
      </w:r>
      <w:r w:rsidRPr="00312A2D">
        <w:rPr>
          <w:rFonts w:cs="Times New Roman"/>
          <w:noProof/>
          <w:szCs w:val="24"/>
        </w:rPr>
        <w:lastRenderedPageBreak/>
        <w:t>Information System. Dataset. https://www.bexis.uni-jena.de/ddm/data/Showdata/17086?version=8</w:t>
      </w:r>
    </w:p>
    <w:p w14:paraId="56D8E940" w14:textId="77777777" w:rsidR="00A77187" w:rsidRPr="00D7557F" w:rsidRDefault="00A77187" w:rsidP="00C87BB6">
      <w:pPr>
        <w:widowControl w:val="0"/>
        <w:autoSpaceDE w:val="0"/>
        <w:autoSpaceDN w:val="0"/>
        <w:adjustRightInd w:val="0"/>
        <w:spacing w:after="120" w:line="240" w:lineRule="auto"/>
        <w:ind w:left="720" w:hanging="720"/>
        <w:rPr>
          <w:rFonts w:cs="Times New Roman"/>
          <w:noProof/>
          <w:szCs w:val="24"/>
          <w:lang w:val="de-DE"/>
        </w:rPr>
      </w:pPr>
      <w:r w:rsidRPr="000E0F53">
        <w:rPr>
          <w:rFonts w:cs="Times New Roman"/>
          <w:noProof/>
          <w:szCs w:val="24"/>
        </w:rPr>
        <w:t xml:space="preserve">Seibold, Sebastian, Martin M. Gossner, Nadja K. Simons, Nico Blüthgen, Jörg Müller, Didem Ambarlı, Christian Ammer, et al. 2019. “Arthropod Decline in Grasslands and Forests Is Associated with Landscape-Level Drivers.” </w:t>
      </w:r>
      <w:r w:rsidRPr="00D7557F">
        <w:rPr>
          <w:rFonts w:cs="Times New Roman"/>
          <w:i/>
          <w:iCs/>
          <w:noProof/>
          <w:szCs w:val="24"/>
          <w:lang w:val="de-DE"/>
        </w:rPr>
        <w:t>Nature</w:t>
      </w:r>
      <w:r w:rsidRPr="00D7557F">
        <w:rPr>
          <w:rFonts w:cs="Times New Roman"/>
          <w:noProof/>
          <w:szCs w:val="24"/>
          <w:lang w:val="de-DE"/>
        </w:rPr>
        <w:t xml:space="preserve"> 574 (7780): 671–74. https://doi.org/10.1038/s41586-019-1684-3.</w:t>
      </w:r>
    </w:p>
    <w:p w14:paraId="5A79199C" w14:textId="77777777" w:rsidR="00A77187" w:rsidRPr="00D7557F" w:rsidRDefault="00A77187" w:rsidP="00C87BB6">
      <w:pPr>
        <w:widowControl w:val="0"/>
        <w:autoSpaceDE w:val="0"/>
        <w:autoSpaceDN w:val="0"/>
        <w:adjustRightInd w:val="0"/>
        <w:spacing w:after="120" w:line="240" w:lineRule="auto"/>
        <w:ind w:left="720" w:hanging="720"/>
        <w:rPr>
          <w:rFonts w:cs="Times New Roman"/>
          <w:noProof/>
          <w:szCs w:val="24"/>
          <w:lang w:val="de-DE"/>
        </w:rPr>
      </w:pPr>
      <w:r w:rsidRPr="00D7557F">
        <w:rPr>
          <w:rFonts w:cs="Times New Roman"/>
          <w:noProof/>
          <w:szCs w:val="24"/>
          <w:lang w:val="de-DE"/>
        </w:rPr>
        <w:t xml:space="preserve">Simons, Nadja K., Martin M. Gossner, Thomas M. Lewinsohn, Steffen Boch, Markus Lange, Jörg Müller, Esther Pašalić, et al. 2014. </w:t>
      </w:r>
      <w:r w:rsidRPr="000E0F53">
        <w:rPr>
          <w:rFonts w:cs="Times New Roman"/>
          <w:noProof/>
          <w:szCs w:val="24"/>
        </w:rPr>
        <w:t xml:space="preserve">“Resource-Mediated Indirect Effects of Grassland Management on Arthropod Diversity.” </w:t>
      </w:r>
      <w:r w:rsidRPr="00D7557F">
        <w:rPr>
          <w:rFonts w:cs="Times New Roman"/>
          <w:i/>
          <w:iCs/>
          <w:noProof/>
          <w:szCs w:val="24"/>
          <w:lang w:val="de-DE"/>
        </w:rPr>
        <w:t>PLoS ONE</w:t>
      </w:r>
      <w:r w:rsidRPr="00D7557F">
        <w:rPr>
          <w:rFonts w:cs="Times New Roman"/>
          <w:noProof/>
          <w:szCs w:val="24"/>
          <w:lang w:val="de-DE"/>
        </w:rPr>
        <w:t xml:space="preserve"> 9 (9): e107033. https://doi.org/10.1371/journal.pone.0107033.</w:t>
      </w:r>
    </w:p>
    <w:p w14:paraId="72D85BF2" w14:textId="77777777" w:rsidR="00A77187" w:rsidRPr="000E0F53" w:rsidRDefault="00A77187" w:rsidP="00C87BB6">
      <w:pPr>
        <w:widowControl w:val="0"/>
        <w:autoSpaceDE w:val="0"/>
        <w:autoSpaceDN w:val="0"/>
        <w:adjustRightInd w:val="0"/>
        <w:spacing w:after="120" w:line="240" w:lineRule="auto"/>
        <w:ind w:left="720" w:hanging="720"/>
        <w:rPr>
          <w:rFonts w:cs="Times New Roman"/>
          <w:noProof/>
          <w:szCs w:val="24"/>
        </w:rPr>
      </w:pPr>
      <w:r w:rsidRPr="00D7557F">
        <w:rPr>
          <w:rFonts w:cs="Times New Roman"/>
          <w:noProof/>
          <w:szCs w:val="24"/>
          <w:lang w:val="de-DE"/>
        </w:rPr>
        <w:t xml:space="preserve">Simons, Nadja K., Martin M. Gossner, Thomas M. Lewinsohn, Markus Lange, Manfred Türke, and Wolfgang W. Weisser. </w:t>
      </w:r>
      <w:r w:rsidRPr="000E0F53">
        <w:rPr>
          <w:rFonts w:cs="Times New Roman"/>
          <w:noProof/>
          <w:szCs w:val="24"/>
        </w:rPr>
        <w:t xml:space="preserve">2015. “Effects of Land-Use Intensity on Arthropod Species Abundance Distributions in Grasslands.” </w:t>
      </w:r>
      <w:r w:rsidRPr="000E0F53">
        <w:rPr>
          <w:rFonts w:cs="Times New Roman"/>
          <w:i/>
          <w:iCs/>
          <w:noProof/>
          <w:szCs w:val="24"/>
        </w:rPr>
        <w:t>Journal of Animal Ecology</w:t>
      </w:r>
      <w:r w:rsidRPr="000E0F53">
        <w:rPr>
          <w:rFonts w:cs="Times New Roman"/>
          <w:noProof/>
          <w:szCs w:val="24"/>
        </w:rPr>
        <w:t xml:space="preserve"> 84 (1): 143–54. https://doi.org/10.1111/1365-2656.12278.</w:t>
      </w:r>
    </w:p>
    <w:p w14:paraId="6DEAE409" w14:textId="77777777" w:rsidR="00C87BB6" w:rsidRDefault="00A77187" w:rsidP="00C87BB6">
      <w:pPr>
        <w:pStyle w:val="LO-normal"/>
        <w:spacing w:after="120"/>
        <w:ind w:left="720" w:hanging="720"/>
        <w:rPr>
          <w:rFonts w:cs="Times New Roman"/>
          <w:noProof/>
          <w:szCs w:val="24"/>
        </w:rPr>
      </w:pPr>
      <w:r w:rsidRPr="00D25569">
        <w:rPr>
          <w:rFonts w:cs="Times New Roman"/>
          <w:noProof/>
          <w:szCs w:val="24"/>
        </w:rPr>
        <w:t xml:space="preserve">Socher, Stephanie A., Daniel Prati, Steffen Boch, Jörg Müller, Valentin H. Klaus, Norbert Hölzel, and Markus Fischer. </w:t>
      </w:r>
      <w:r w:rsidRPr="000E0F53">
        <w:rPr>
          <w:rFonts w:cs="Times New Roman"/>
          <w:noProof/>
          <w:szCs w:val="24"/>
        </w:rPr>
        <w:t xml:space="preserve">2012. “Direct and Productivity-Mediated Indirect Effects of Fertilization, Mowing and Grazing on Grassland Species Richness.” </w:t>
      </w:r>
      <w:r w:rsidRPr="000E0F53">
        <w:rPr>
          <w:rFonts w:cs="Times New Roman"/>
          <w:i/>
          <w:iCs/>
          <w:noProof/>
          <w:szCs w:val="24"/>
        </w:rPr>
        <w:t>Journal of Ecology</w:t>
      </w:r>
      <w:r w:rsidRPr="000E0F53">
        <w:rPr>
          <w:rFonts w:cs="Times New Roman"/>
          <w:noProof/>
          <w:szCs w:val="24"/>
        </w:rPr>
        <w:t xml:space="preserve"> 100 (6): 1391–99. https://doi.org/10.1111/j.1365-2745.2012.02020.x.</w:t>
      </w:r>
      <w:r w:rsidR="00C87BB6" w:rsidRPr="00C87BB6">
        <w:rPr>
          <w:rFonts w:cs="Times New Roman"/>
          <w:noProof/>
          <w:szCs w:val="24"/>
        </w:rPr>
        <w:t xml:space="preserve"> </w:t>
      </w:r>
    </w:p>
    <w:p w14:paraId="54C2ADA3" w14:textId="1DC371A1" w:rsidR="00C87BB6" w:rsidRDefault="00C87BB6" w:rsidP="00C87BB6">
      <w:pPr>
        <w:pStyle w:val="LO-normal"/>
        <w:spacing w:after="120"/>
        <w:ind w:left="720" w:hanging="720"/>
        <w:rPr>
          <w:rFonts w:cs="Times New Roman"/>
          <w:noProof/>
          <w:szCs w:val="24"/>
        </w:rPr>
      </w:pPr>
      <w:r w:rsidRPr="00793D2A">
        <w:rPr>
          <w:rFonts w:cs="Times New Roman"/>
          <w:noProof/>
          <w:szCs w:val="24"/>
        </w:rPr>
        <w:t>Weisser, Wolfgang; Goßner, Martin; Pasalic, Esther; Lange, Markus; Türke, Manfred; Gallenberger, Iris; Simons, Nadja; Staab, Michael (2023): Sweep net samples from grasslands since 2008: Araneae, Coleoptera, Hemiptera, Orthoptera. Version 11. Biodiversity Exploratories Information System. Dataset. https://www.bexis.uni-jena.de/ddm/data/Showdata/21969?version=11</w:t>
      </w:r>
    </w:p>
    <w:p w14:paraId="4B8C2333" w14:textId="77777777" w:rsidR="00C87BB6" w:rsidRDefault="00C87BB6" w:rsidP="00C87BB6">
      <w:pPr>
        <w:pStyle w:val="LO-normal"/>
        <w:spacing w:after="120"/>
        <w:ind w:left="720" w:hanging="720"/>
        <w:rPr>
          <w:rFonts w:cs="Times New Roman"/>
          <w:noProof/>
          <w:szCs w:val="24"/>
        </w:rPr>
      </w:pPr>
      <w:r w:rsidRPr="00312A2D">
        <w:rPr>
          <w:rFonts w:cs="Times New Roman"/>
          <w:noProof/>
          <w:szCs w:val="24"/>
        </w:rPr>
        <w:t xml:space="preserve">Weisser, Wolfgang; Seibold, Sebastian; Ambarli, Didem; Staab, Michael (2024): List of plots without complete sampling for sweepnetting of arthropods on grassland EPs 2008 to 2019. Version 6. Biodiversity Exploratories Information System. Dataset. </w:t>
      </w:r>
      <w:hyperlink r:id="rId17" w:history="1">
        <w:r w:rsidRPr="00F73FD0">
          <w:rPr>
            <w:rStyle w:val="Hyperlink"/>
            <w:rFonts w:cs="Times New Roman"/>
            <w:noProof/>
            <w:szCs w:val="24"/>
          </w:rPr>
          <w:t>https://www.bexis.uni-jena.de/ddm/data/Showdata/26008?version=6</w:t>
        </w:r>
      </w:hyperlink>
    </w:p>
    <w:p w14:paraId="771B68B8" w14:textId="55124CC1" w:rsidR="00AC79DE" w:rsidRPr="00AC79DE" w:rsidRDefault="00C87BB6" w:rsidP="00C87BB6">
      <w:pPr>
        <w:pStyle w:val="LO-normal"/>
        <w:spacing w:after="120"/>
        <w:ind w:left="720" w:hanging="720"/>
        <w:rPr>
          <w:rFonts w:cs="Times New Roman"/>
          <w:noProof/>
          <w:szCs w:val="24"/>
        </w:rPr>
      </w:pPr>
      <w:r w:rsidRPr="00AC79DE">
        <w:rPr>
          <w:rFonts w:cs="Times New Roman"/>
          <w:noProof/>
          <w:szCs w:val="24"/>
        </w:rPr>
        <w:t xml:space="preserve">Westphal, Catrin; Bellach, Michaela; Steckel, Juliane; Rothenwöhrer, Christoph; Steffan-Dewenter, Ingolf (2017): InsectScale - Landscape Coverage in plot surroundings from 250 - 2000m (2009). Version 2. Biodiversity Exploratories Information System. Dataset. </w:t>
      </w:r>
      <w:hyperlink r:id="rId18" w:history="1">
        <w:r w:rsidRPr="00F73FD0">
          <w:rPr>
            <w:rStyle w:val="Hyperlink"/>
            <w:rFonts w:cs="Times New Roman"/>
            <w:noProof/>
            <w:szCs w:val="24"/>
          </w:rPr>
          <w:t>https://www.bexis.uni-jena.de/ddm/data/Showdata/18148?version=2</w:t>
        </w:r>
      </w:hyperlink>
    </w:p>
    <w:p w14:paraId="28E7DE01" w14:textId="77777777" w:rsidR="003D208C" w:rsidRDefault="003D208C">
      <w:pPr>
        <w:pStyle w:val="LO-normal"/>
        <w:rPr>
          <w:rFonts w:asciiTheme="majorHAnsi" w:hAnsiTheme="majorHAnsi" w:cstheme="majorHAnsi"/>
          <w:color w:val="38761D"/>
          <w:sz w:val="18"/>
          <w:szCs w:val="18"/>
        </w:rPr>
      </w:pPr>
    </w:p>
    <w:p w14:paraId="2CCAD3A3" w14:textId="763D4E0A" w:rsidR="00AC79DE" w:rsidRPr="00676C22" w:rsidRDefault="00AC79DE">
      <w:pPr>
        <w:pStyle w:val="LO-normal"/>
        <w:rPr>
          <w:rFonts w:asciiTheme="majorHAnsi" w:hAnsiTheme="majorHAnsi" w:cstheme="majorHAnsi"/>
          <w:color w:val="38761D"/>
          <w:sz w:val="18"/>
          <w:szCs w:val="18"/>
        </w:rPr>
        <w:sectPr w:rsidR="00AC79DE" w:rsidRPr="00676C22" w:rsidSect="00C87BB6">
          <w:pgSz w:w="11906" w:h="16838"/>
          <w:pgMar w:top="1417" w:right="1417" w:bottom="1134" w:left="1417" w:header="0" w:footer="720" w:gutter="0"/>
          <w:cols w:space="720"/>
          <w:formProt w:val="0"/>
          <w:docGrid w:linePitch="299" w:charSpace="4096"/>
        </w:sectPr>
      </w:pPr>
    </w:p>
    <w:p w14:paraId="40ED9E3A" w14:textId="760E8388" w:rsidR="000253ED" w:rsidRPr="00676C22" w:rsidRDefault="000253ED">
      <w:pPr>
        <w:pStyle w:val="LO-normal"/>
        <w:rPr>
          <w:rFonts w:asciiTheme="majorHAnsi" w:hAnsiTheme="majorHAnsi" w:cstheme="majorHAnsi"/>
          <w:sz w:val="18"/>
          <w:szCs w:val="18"/>
        </w:rPr>
      </w:pPr>
      <w:bookmarkStart w:id="0" w:name="_w31ipv8bu96p"/>
      <w:bookmarkStart w:id="1" w:name="_fgtm9riry9np"/>
      <w:bookmarkEnd w:id="0"/>
      <w:bookmarkEnd w:id="1"/>
    </w:p>
    <w:sectPr w:rsidR="000253ED" w:rsidRPr="00676C22">
      <w:footerReference w:type="default" r:id="rId19"/>
      <w:pgSz w:w="16838" w:h="11906" w:orient="landscape"/>
      <w:pgMar w:top="1440" w:right="1440" w:bottom="1440" w:left="1440" w:header="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7679" w14:textId="77777777" w:rsidR="003A7085" w:rsidRDefault="003A7085">
      <w:pPr>
        <w:spacing w:line="240" w:lineRule="auto"/>
      </w:pPr>
      <w:r>
        <w:separator/>
      </w:r>
    </w:p>
  </w:endnote>
  <w:endnote w:type="continuationSeparator" w:id="0">
    <w:p w14:paraId="048B2732" w14:textId="77777777" w:rsidR="003A7085" w:rsidRDefault="003A7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E466" w14:textId="77777777" w:rsidR="000253ED" w:rsidRDefault="000E3E11">
    <w:pPr>
      <w:pStyle w:val="LO-normal"/>
      <w:jc w:val="right"/>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E5A8" w14:textId="77777777" w:rsidR="000253ED" w:rsidRDefault="000E3E11">
    <w:pPr>
      <w:pStyle w:val="LO-normal"/>
      <w:jc w:val="right"/>
    </w:pPr>
    <w:r>
      <w:fldChar w:fldCharType="begin"/>
    </w:r>
    <w:r>
      <w:instrText>PAGE</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ED" w14:textId="77777777" w:rsidR="000253ED" w:rsidRDefault="000E3E11">
    <w:pPr>
      <w:pStyle w:val="LO-normal"/>
      <w:jc w:val="right"/>
    </w:pPr>
    <w:r>
      <w:fldChar w:fldCharType="begin"/>
    </w:r>
    <w:r>
      <w:instrText>PAGE</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D74D" w14:textId="77777777" w:rsidR="003A7085" w:rsidRDefault="003A7085">
      <w:pPr>
        <w:spacing w:line="240" w:lineRule="auto"/>
      </w:pPr>
      <w:r>
        <w:separator/>
      </w:r>
    </w:p>
  </w:footnote>
  <w:footnote w:type="continuationSeparator" w:id="0">
    <w:p w14:paraId="32B942B8" w14:textId="77777777" w:rsidR="003A7085" w:rsidRDefault="003A70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6553E"/>
    <w:multiLevelType w:val="hybridMultilevel"/>
    <w:tmpl w:val="FDAEA66A"/>
    <w:lvl w:ilvl="0" w:tplc="2EC6C1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1MDA1tzQwNjU2szRW0lEKTi0uzszPAykwrAUAi+1D0iwAAAA="/>
  </w:docVars>
  <w:rsids>
    <w:rsidRoot w:val="000253ED"/>
    <w:rsid w:val="000253ED"/>
    <w:rsid w:val="000A2511"/>
    <w:rsid w:val="000B66F3"/>
    <w:rsid w:val="000C1D62"/>
    <w:rsid w:val="000E3E11"/>
    <w:rsid w:val="000E5A89"/>
    <w:rsid w:val="0012752C"/>
    <w:rsid w:val="001654A3"/>
    <w:rsid w:val="001D766D"/>
    <w:rsid w:val="00217906"/>
    <w:rsid w:val="00250A2A"/>
    <w:rsid w:val="00312A2D"/>
    <w:rsid w:val="003A7085"/>
    <w:rsid w:val="003D208C"/>
    <w:rsid w:val="00424C0E"/>
    <w:rsid w:val="00431201"/>
    <w:rsid w:val="00462043"/>
    <w:rsid w:val="004706A6"/>
    <w:rsid w:val="005B1B7D"/>
    <w:rsid w:val="00650228"/>
    <w:rsid w:val="00665321"/>
    <w:rsid w:val="00676C22"/>
    <w:rsid w:val="00696C0D"/>
    <w:rsid w:val="006B45C8"/>
    <w:rsid w:val="0070282A"/>
    <w:rsid w:val="00760CAD"/>
    <w:rsid w:val="00774617"/>
    <w:rsid w:val="00793D2A"/>
    <w:rsid w:val="0079606B"/>
    <w:rsid w:val="008357DC"/>
    <w:rsid w:val="008A4E96"/>
    <w:rsid w:val="008B3878"/>
    <w:rsid w:val="0097297B"/>
    <w:rsid w:val="009E6DB7"/>
    <w:rsid w:val="00A55BA1"/>
    <w:rsid w:val="00A66900"/>
    <w:rsid w:val="00A77187"/>
    <w:rsid w:val="00A908E8"/>
    <w:rsid w:val="00AC79DE"/>
    <w:rsid w:val="00B1743F"/>
    <w:rsid w:val="00B77DFC"/>
    <w:rsid w:val="00BD5204"/>
    <w:rsid w:val="00C12FED"/>
    <w:rsid w:val="00C274FA"/>
    <w:rsid w:val="00C87BB6"/>
    <w:rsid w:val="00C93E7F"/>
    <w:rsid w:val="00D13449"/>
    <w:rsid w:val="00D25569"/>
    <w:rsid w:val="00D86306"/>
    <w:rsid w:val="00DE34CD"/>
    <w:rsid w:val="00E2312C"/>
    <w:rsid w:val="00EA5A7E"/>
    <w:rsid w:val="00EC0B4A"/>
    <w:rsid w:val="00EE02A2"/>
    <w:rsid w:val="00F670E2"/>
    <w:rsid w:val="00FC7B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A535"/>
  <w15:docId w15:val="{BBA5BB60-6DD2-4468-8016-727F462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rPr>
      <w:sz w:val="22"/>
    </w:rPr>
  </w:style>
  <w:style w:type="paragraph" w:styleId="berschrift1">
    <w:name w:val="heading 1"/>
    <w:basedOn w:val="LO-normal"/>
    <w:next w:val="LO-normal"/>
    <w:uiPriority w:val="9"/>
    <w:qFormat/>
    <w:pPr>
      <w:keepNext/>
      <w:keepLines/>
      <w:spacing w:before="400" w:after="120" w:line="240" w:lineRule="auto"/>
      <w:outlineLvl w:val="0"/>
    </w:pPr>
    <w:rPr>
      <w:sz w:val="40"/>
      <w:szCs w:val="40"/>
    </w:rPr>
  </w:style>
  <w:style w:type="paragraph" w:styleId="berschrift2">
    <w:name w:val="heading 2"/>
    <w:basedOn w:val="LO-normal"/>
    <w:next w:val="LO-normal"/>
    <w:uiPriority w:val="9"/>
    <w:unhideWhenUsed/>
    <w:qFormat/>
    <w:pPr>
      <w:keepNext/>
      <w:keepLines/>
      <w:spacing w:before="360" w:after="120" w:line="240" w:lineRule="auto"/>
      <w:outlineLvl w:val="1"/>
    </w:pPr>
    <w:rPr>
      <w:sz w:val="32"/>
      <w:szCs w:val="32"/>
    </w:rPr>
  </w:style>
  <w:style w:type="paragraph" w:styleId="berschrift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berschrift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berschrift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berschrift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pPr>
      <w:spacing w:line="276" w:lineRule="auto"/>
    </w:pPr>
    <w:rPr>
      <w:sz w:val="22"/>
    </w:rPr>
  </w:style>
  <w:style w:type="paragraph" w:styleId="Titel">
    <w:name w:val="Title"/>
    <w:basedOn w:val="LO-normal"/>
    <w:next w:val="LO-normal"/>
    <w:uiPriority w:val="10"/>
    <w:qFormat/>
    <w:pPr>
      <w:keepNext/>
      <w:keepLines/>
      <w:spacing w:after="60" w:line="240" w:lineRule="auto"/>
    </w:pPr>
    <w:rPr>
      <w:sz w:val="52"/>
      <w:szCs w:val="52"/>
    </w:rPr>
  </w:style>
  <w:style w:type="paragraph" w:styleId="Untertitel">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Standard"/>
    <w:qFormat/>
  </w:style>
  <w:style w:type="paragraph" w:styleId="Fuzeile">
    <w:name w:val="footer"/>
    <w:basedOn w:val="HeaderandFooter"/>
  </w:style>
  <w:style w:type="table" w:customStyle="1" w:styleId="TableNormal">
    <w:name w:val="Table Normal"/>
    <w:tblPr>
      <w:tblCellMar>
        <w:top w:w="0" w:type="dxa"/>
        <w:left w:w="0" w:type="dxa"/>
        <w:bottom w:w="0" w:type="dxa"/>
        <w:right w:w="0" w:type="dxa"/>
      </w:tblCellMar>
    </w:tblPr>
  </w:style>
  <w:style w:type="paragraph" w:styleId="Kommentartext">
    <w:name w:val="annotation text"/>
    <w:basedOn w:val="Standard"/>
    <w:link w:val="KommentartextZchn"/>
    <w:uiPriority w:val="99"/>
    <w:unhideWhenUsed/>
    <w:pPr>
      <w:spacing w:line="240" w:lineRule="auto"/>
    </w:pPr>
    <w:rPr>
      <w:rFonts w:cs="Mangal"/>
      <w:sz w:val="20"/>
      <w:szCs w:val="18"/>
    </w:rPr>
  </w:style>
  <w:style w:type="character" w:customStyle="1" w:styleId="KommentartextZchn">
    <w:name w:val="Kommentartext Zchn"/>
    <w:basedOn w:val="Absatz-Standardschriftart"/>
    <w:link w:val="Kommentartext"/>
    <w:uiPriority w:val="99"/>
    <w:rPr>
      <w:rFonts w:cs="Mangal"/>
      <w:szCs w:val="18"/>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70282A"/>
    <w:pPr>
      <w:suppressAutoHyphens w:val="0"/>
    </w:pPr>
    <w:rPr>
      <w:rFonts w:cs="Mangal"/>
      <w:sz w:val="22"/>
      <w:szCs w:val="20"/>
    </w:rPr>
  </w:style>
  <w:style w:type="paragraph" w:styleId="Kommentarthema">
    <w:name w:val="annotation subject"/>
    <w:basedOn w:val="Kommentartext"/>
    <w:next w:val="Kommentartext"/>
    <w:link w:val="KommentarthemaZchn"/>
    <w:uiPriority w:val="99"/>
    <w:semiHidden/>
    <w:unhideWhenUsed/>
    <w:rsid w:val="00E2312C"/>
    <w:rPr>
      <w:b/>
      <w:bCs/>
    </w:rPr>
  </w:style>
  <w:style w:type="character" w:customStyle="1" w:styleId="KommentarthemaZchn">
    <w:name w:val="Kommentarthema Zchn"/>
    <w:basedOn w:val="KommentartextZchn"/>
    <w:link w:val="Kommentarthema"/>
    <w:uiPriority w:val="99"/>
    <w:semiHidden/>
    <w:rsid w:val="00E2312C"/>
    <w:rPr>
      <w:rFonts w:cs="Mangal"/>
      <w:b/>
      <w:bCs/>
      <w:szCs w:val="18"/>
    </w:rPr>
  </w:style>
  <w:style w:type="character" w:styleId="NichtaufgelsteErwhnung">
    <w:name w:val="Unresolved Mention"/>
    <w:basedOn w:val="Absatz-Standardschriftart"/>
    <w:uiPriority w:val="99"/>
    <w:semiHidden/>
    <w:unhideWhenUsed/>
    <w:rsid w:val="00E2312C"/>
    <w:rPr>
      <w:color w:val="605E5C"/>
      <w:shd w:val="clear" w:color="auto" w:fill="E1DFDD"/>
    </w:rPr>
  </w:style>
  <w:style w:type="paragraph" w:styleId="Sprechblasentext">
    <w:name w:val="Balloon Text"/>
    <w:basedOn w:val="Standard"/>
    <w:link w:val="SprechblasentextZchn"/>
    <w:uiPriority w:val="99"/>
    <w:semiHidden/>
    <w:unhideWhenUsed/>
    <w:rsid w:val="00D25569"/>
    <w:pPr>
      <w:spacing w:line="240" w:lineRule="auto"/>
    </w:pPr>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D2556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6520">
      <w:bodyDiv w:val="1"/>
      <w:marLeft w:val="0"/>
      <w:marRight w:val="0"/>
      <w:marTop w:val="0"/>
      <w:marBottom w:val="0"/>
      <w:divBdr>
        <w:top w:val="none" w:sz="0" w:space="0" w:color="auto"/>
        <w:left w:val="none" w:sz="0" w:space="0" w:color="auto"/>
        <w:bottom w:val="none" w:sz="0" w:space="0" w:color="auto"/>
        <w:right w:val="none" w:sz="0" w:space="0" w:color="auto"/>
      </w:divBdr>
    </w:div>
    <w:div w:id="2076080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d.de/" TargetMode="External"/><Relationship Id="rId13" Type="http://schemas.openxmlformats.org/officeDocument/2006/relationships/hyperlink" Target="https://doi.org/10.1038/sdata.2015.13" TargetMode="External"/><Relationship Id="rId18" Type="http://schemas.openxmlformats.org/officeDocument/2006/relationships/hyperlink" Target="https://www.bexis.uni-jena.de/ddm/data/Showdata/18148?version=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doi.org/10.1016/j.baae.2012.04.001" TargetMode="External"/><Relationship Id="rId17" Type="http://schemas.openxmlformats.org/officeDocument/2006/relationships/hyperlink" Target="https://www.bexis.uni-jena.de/ddm/data/Showdata/26008?version=6" TargetMode="External"/><Relationship Id="rId2" Type="http://schemas.openxmlformats.org/officeDocument/2006/relationships/styles" Target="styles.xml"/><Relationship Id="rId16" Type="http://schemas.openxmlformats.org/officeDocument/2006/relationships/hyperlink" Target="https://www.bexis.uni-jena.de/ddm/data/Showdata/14446?version=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365-2745.14288" TargetMode="External"/><Relationship Id="rId5" Type="http://schemas.openxmlformats.org/officeDocument/2006/relationships/footnotes" Target="footnotes.xml"/><Relationship Id="rId15" Type="http://schemas.openxmlformats.org/officeDocument/2006/relationships/hyperlink" Target="https://doi.org/10.1007/s10980-021-01392-7" TargetMode="External"/><Relationship Id="rId10" Type="http://schemas.openxmlformats.org/officeDocument/2006/relationships/hyperlink" Target="https://doi.org/10.1073/pnas.1312213111"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bexis.uni-jena.de/ddm/data/Showdata/25086?vers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2066</Words>
  <Characters>13021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Neuenkamp, Lena</cp:lastModifiedBy>
  <cp:revision>4</cp:revision>
  <dcterms:created xsi:type="dcterms:W3CDTF">2025-01-08T10:23:00Z</dcterms:created>
  <dcterms:modified xsi:type="dcterms:W3CDTF">2025-01-08T10:24:00Z</dcterms:modified>
  <dc:language>en-US</dc:language>
</cp:coreProperties>
</file>