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50.png" ContentType="image/png"/>
  <Override PartName="/word/media/rId43.png" ContentType="image/png"/>
  <Override PartName="/word/media/rId108.png" ContentType="image/png"/>
  <Override PartName="/word/media/rId92.png" ContentType="image/png"/>
  <Override PartName="/word/media/rId96.png" ContentType="image/png"/>
  <Override PartName="/word/media/rId104.png" ContentType="image/png"/>
  <Override PartName="/word/media/rId58.png" ContentType="image/png"/>
  <Override PartName="/word/media/rId70.png" ContentType="image/png"/>
  <Override PartName="/word/media/rId66.png" ContentType="image/png"/>
  <Override PartName="/word/media/rId62.png" ContentType="image/png"/>
  <Override PartName="/word/media/rId112.png" ContentType="image/png"/>
  <Override PartName="/word/media/rId83.png" ContentType="image/png"/>
  <Override PartName="/word/media/rId87.png" ContentType="image/png"/>
  <Override PartName="/word/media/rId79.png" ContentType="image/png"/>
  <Override PartName="/word/media/rId100.png" ContentType="image/png"/>
  <Override PartName="/word/media/rId39.png" ContentType="image/png"/>
  <Override PartName="/word/media/rId7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2026-08-17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7" w:name="methods"/>
    <w:p>
      <w:pPr>
        <w:pStyle w:val="Heading1"/>
      </w:pPr>
      <w:r>
        <w:t xml:space="preserve">5. Methods</w:t>
      </w:r>
    </w:p>
    <w:bookmarkStart w:id="47"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40005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p>
            <w:pPr>
              <w:jc w:val="center"/>
            </w:pPr>
            <w:r>
              <w:drawing>
                <wp:inline>
                  <wp:extent cx="5334000" cy="6767512"/>
                  <wp:effectExtent b="0" l="0" r="0" t="0"/>
                  <wp:docPr descr="" title="" id="40" name="Picture"/>
                  <a:graphic>
                    <a:graphicData uri="http://schemas.openxmlformats.org/drawingml/2006/picture">
                      <pic:pic>
                        <pic:nvPicPr>
                          <pic:cNvPr descr="lanz-and-cox_files/figure-docx/tbl-loc-summary-1.png" id="41" name="Picture"/>
                          <pic:cNvPicPr>
                            <a:picLocks noChangeArrowheads="1" noChangeAspect="1"/>
                          </pic:cNvPicPr>
                        </pic:nvPicPr>
                        <pic:blipFill>
                          <a:blip r:embed="rId39"/>
                          <a:stretch>
                            <a:fillRect/>
                          </a:stretch>
                        </pic:blipFill>
                        <pic:spPr bwMode="auto">
                          <a:xfrm>
                            <a:off x="0" y="0"/>
                            <a:ext cx="5334000" cy="6767512"/>
                          </a:xfrm>
                          <a:prstGeom prst="rect">
                            <a:avLst/>
                          </a:prstGeom>
                          <a:noFill/>
                          <a:ln w="9525">
                            <a:noFill/>
                            <a:headEnd/>
                            <a:tailEnd/>
                          </a:ln>
                        </pic:spPr>
                      </pic:pic>
                    </a:graphicData>
                  </a:graphic>
                </wp:inline>
              </w:drawing>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bcsi-recs"/>
          <w:p>
            <w:pPr>
              <w:pStyle w:val="Compact"/>
              <w:jc w:val="center"/>
            </w:pPr>
            <w:r>
              <w:drawing>
                <wp:inline>
                  <wp:extent cx="5334000" cy="4267200"/>
                  <wp:effectExtent b="0" l="0" r="0" t="0"/>
                  <wp:docPr descr="" title="" id="44" name="Picture"/>
                  <a:graphic>
                    <a:graphicData uri="http://schemas.openxmlformats.org/drawingml/2006/picture">
                      <pic:pic>
                        <pic:nvPicPr>
                          <pic:cNvPr descr="lanz-and-cox_files/figure-docx/fig-bcsi-rec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6"/>
        </w:tc>
      </w:tr>
    </w:tbl>
    <w:bookmarkEnd w:id="47"/>
    <w:bookmarkStart w:id="54"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8">
        <w:r>
          <w:rPr>
            <w:rStyle w:val="Hyperlink"/>
          </w:rPr>
          <w:t xml:space="preserve">here</w:t>
        </w:r>
      </w:hyperlink>
      <w:r>
        <w:t xml:space="preserve"> </w:t>
      </w:r>
      <w:r>
        <w:t xml:space="preserve">for the songbird processing and</w:t>
      </w:r>
      <w:r>
        <w:t xml:space="preserve"> </w:t>
      </w:r>
      <w:hyperlink r:id="rId49">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3" w:name="fig-tags"/>
          <w:p>
            <w:pPr>
              <w:pStyle w:val="Compact"/>
              <w:jc w:val="center"/>
            </w:pPr>
            <w:r>
              <w:drawing>
                <wp:inline>
                  <wp:extent cx="5334000" cy="2202263"/>
                  <wp:effectExtent b="0" l="0" r="0" t="0"/>
                  <wp:docPr descr="" title="" id="51" name="Picture"/>
                  <a:graphic>
                    <a:graphicData uri="http://schemas.openxmlformats.org/drawingml/2006/picture">
                      <pic:pic>
                        <pic:nvPicPr>
                          <pic:cNvPr descr="assets/tags.png" id="52" name="Picture"/>
                          <pic:cNvPicPr>
                            <a:picLocks noChangeArrowheads="1" noChangeAspect="1"/>
                          </pic:cNvPicPr>
                        </pic:nvPicPr>
                        <pic:blipFill>
                          <a:blip r:embed="rId50"/>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3"/>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4"/>
    <w:bookmarkStart w:id="56"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5">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6"/>
    <w:bookmarkEnd w:id="57"/>
    <w:bookmarkStart w:id="117" w:name="results"/>
    <w:p>
      <w:pPr>
        <w:pStyle w:val="Heading1"/>
      </w:pPr>
      <w:r>
        <w:t xml:space="preserve">6. Results</w:t>
      </w:r>
    </w:p>
    <w:bookmarkStart w:id="74"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noise"/>
          <w:p>
            <w:pPr>
              <w:pStyle w:val="Compact"/>
              <w:jc w:val="center"/>
            </w:pPr>
            <w:r>
              <w:drawing>
                <wp:inline>
                  <wp:extent cx="5334000" cy="4267200"/>
                  <wp:effectExtent b="0" l="0" r="0" t="0"/>
                  <wp:docPr descr="" title="" id="59" name="Picture"/>
                  <a:graphic>
                    <a:graphicData uri="http://schemas.openxmlformats.org/drawingml/2006/picture">
                      <pic:pic>
                        <pic:nvPicPr>
                          <pic:cNvPr descr="lanz-and-cox_files/figure-docx/fig-ind-noise-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noise-loc"/>
          <w:p>
            <w:pPr>
              <w:pStyle w:val="Compact"/>
              <w:jc w:val="center"/>
            </w:pPr>
            <w:r>
              <w:drawing>
                <wp:inline>
                  <wp:extent cx="5334000" cy="4267200"/>
                  <wp:effectExtent b="0" l="0" r="0" t="0"/>
                  <wp:docPr descr="" title="" id="63" name="Picture"/>
                  <a:graphic>
                    <a:graphicData uri="http://schemas.openxmlformats.org/drawingml/2006/picture">
                      <pic:pic>
                        <pic:nvPicPr>
                          <pic:cNvPr descr="lanz-and-cox_files/figure-docx/fig-noise-loc-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noise-distance"/>
          <w:p>
            <w:pPr>
              <w:pStyle w:val="Compact"/>
              <w:jc w:val="center"/>
            </w:pPr>
            <w:r>
              <w:drawing>
                <wp:inline>
                  <wp:extent cx="5334000" cy="4267200"/>
                  <wp:effectExtent b="0" l="0" r="0" t="0"/>
                  <wp:docPr descr="" title="" id="67" name="Picture"/>
                  <a:graphic>
                    <a:graphicData uri="http://schemas.openxmlformats.org/drawingml/2006/picture">
                      <pic:pic>
                        <pic:nvPicPr>
                          <pic:cNvPr descr="lanz-and-cox_files/figure-docx/fig-noise-distance-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noise-direction"/>
          <w:p>
            <w:pPr>
              <w:pStyle w:val="Compact"/>
              <w:jc w:val="center"/>
            </w:pPr>
            <w:r>
              <w:drawing>
                <wp:inline>
                  <wp:extent cx="5334000" cy="4267200"/>
                  <wp:effectExtent b="0" l="0" r="0" t="0"/>
                  <wp:docPr descr="" title="" id="71" name="Picture"/>
                  <a:graphic>
                    <a:graphicData uri="http://schemas.openxmlformats.org/drawingml/2006/picture">
                      <pic:pic>
                        <pic:nvPicPr>
                          <pic:cNvPr descr="lanz-and-cox_files/figure-docx/fig-noise-direction-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3"/>
        </w:tc>
      </w:tr>
    </w:tbl>
    <w:bookmarkEnd w:id="74"/>
    <w:bookmarkStart w:id="91"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8" w:name="tbl-spp-summary"/>
          <w:p>
            <w:pPr>
              <w:jc w:val="center"/>
            </w:pPr>
            <w:pPr>
              <w:jc w:val="left"/>
              <w:spacing w:before="200"/>
              <w:pStyle w:val="ImageCaption"/>
            </w:pPr>
            <w:r>
              <w:t xml:space="preserve">Table 2: Count of detections per species</w:t>
            </w:r>
          </w:p>
          <w:p>
            <w:pPr>
              <w:jc w:val="center"/>
            </w:pPr>
            <w:r>
              <w:drawing>
                <wp:inline>
                  <wp:extent cx="5334000" cy="6767512"/>
                  <wp:effectExtent b="0" l="0" r="0" t="0"/>
                  <wp:docPr descr="" title="" id="76" name="Picture"/>
                  <a:graphic>
                    <a:graphicData uri="http://schemas.openxmlformats.org/drawingml/2006/picture">
                      <pic:pic>
                        <pic:nvPicPr>
                          <pic:cNvPr descr="lanz-and-cox_files/figure-docx/tbl-spp-summary-1.png" id="77" name="Picture"/>
                          <pic:cNvPicPr>
                            <a:picLocks noChangeArrowheads="1" noChangeAspect="1"/>
                          </pic:cNvPicPr>
                        </pic:nvPicPr>
                        <pic:blipFill>
                          <a:blip r:embed="rId75"/>
                          <a:stretch>
                            <a:fillRect/>
                          </a:stretch>
                        </pic:blipFill>
                        <pic:spPr bwMode="auto">
                          <a:xfrm>
                            <a:off x="0" y="0"/>
                            <a:ext cx="5334000" cy="6767512"/>
                          </a:xfrm>
                          <a:prstGeom prst="rect">
                            <a:avLst/>
                          </a:prstGeom>
                          <a:noFill/>
                          <a:ln w="9525">
                            <a:noFill/>
                            <a:headEnd/>
                            <a:tailEnd/>
                          </a:ln>
                        </pic:spPr>
                      </pic:pic>
                    </a:graphicData>
                  </a:graphic>
                </wp:inline>
              </w:drawing>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spp-rich-locs"/>
          <w:p>
            <w:pPr>
              <w:pStyle w:val="Compact"/>
              <w:jc w:val="center"/>
            </w:pPr>
            <w:r>
              <w:drawing>
                <wp:inline>
                  <wp:extent cx="5334000" cy="4267200"/>
                  <wp:effectExtent b="0" l="0" r="0" t="0"/>
                  <wp:docPr descr="" title="" id="80" name="Picture"/>
                  <a:graphic>
                    <a:graphicData uri="http://schemas.openxmlformats.org/drawingml/2006/picture">
                      <pic:pic>
                        <pic:nvPicPr>
                          <pic:cNvPr descr="lanz-and-cox_files/figure-docx/fig-spp-rich-loc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hannon"/>
          <w:p>
            <w:pPr>
              <w:pStyle w:val="Compact"/>
              <w:jc w:val="center"/>
            </w:pPr>
            <w:r>
              <w:drawing>
                <wp:inline>
                  <wp:extent cx="5334000" cy="4267200"/>
                  <wp:effectExtent b="0" l="0" r="0" t="0"/>
                  <wp:docPr descr="" title="" id="84" name="Picture"/>
                  <a:graphic>
                    <a:graphicData uri="http://schemas.openxmlformats.org/drawingml/2006/picture">
                      <pic:pic>
                        <pic:nvPicPr>
                          <pic:cNvPr descr="lanz-and-cox_files/figure-docx/fig-shannon-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spp-activity"/>
          <w:p>
            <w:pPr>
              <w:pStyle w:val="Compact"/>
              <w:jc w:val="center"/>
            </w:pPr>
            <w:r>
              <w:drawing>
                <wp:inline>
                  <wp:extent cx="5334000" cy="4267200"/>
                  <wp:effectExtent b="0" l="0" r="0" t="0"/>
                  <wp:docPr descr="" title="" id="88" name="Picture"/>
                  <a:graphic>
                    <a:graphicData uri="http://schemas.openxmlformats.org/drawingml/2006/picture">
                      <pic:pic>
                        <pic:nvPicPr>
                          <pic:cNvPr descr="lanz-and-cox_files/figure-docx/fig-spp-activity-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90"/>
        </w:tc>
      </w:tr>
    </w:tbl>
    <w:bookmarkEnd w:id="91"/>
    <w:bookmarkStart w:id="116"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95" w:name="fig-he-perform"/>
          <w:p>
            <w:pPr>
              <w:pStyle w:val="Compact"/>
              <w:jc w:val="center"/>
            </w:pPr>
            <w:r>
              <w:drawing>
                <wp:inline>
                  <wp:extent cx="5334000" cy="4267200"/>
                  <wp:effectExtent b="0" l="0" r="0" t="0"/>
                  <wp:docPr descr="" title="" id="93" name="Picture"/>
                  <a:graphic>
                    <a:graphicData uri="http://schemas.openxmlformats.org/drawingml/2006/picture">
                      <pic:pic>
                        <pic:nvPicPr>
                          <pic:cNvPr descr="lanz-and-cox_files/figure-docx/fig-he-perform-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95"/>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(508 total tags), of which 437 were verified; most reviewed detections fell in lower HE2 regions consistent with reassignment, yielding a verified false positive rate of 82%. RHAU showed similarly elevated misclassification within the verified subset, with 107 verified tags and a verified false positive rate of 92%, consistent with broader overlap in HE2 distributions. ANMU exhibited near-complete collapse of separation within the reviewed subset, with 4500 verified tags and a verified false positive rate of 100%, with 183 detections remaining unreviewed and concentrated in higher-score regions. MAMU and COMU remain the most uncertain due to large proportions of unverified detections, but both show strong skew in HE2 distributions toward higher-score detections among the reviewed subset. For MAMU, 9412 of 22870 tags remain unverified, and the reviewed subset shows a very high false positive rate (99%), indicating that low-to-intermediate HE2 values dominate incorrect assignments. COMU shows a similarly elevated verified false positive rate of 88%, with 4644 unverified detections remaining, though higher HE2 values increasingly concentrate true detections. CAAU is represented by a substantial verified sample of 3812 tags, with the majority of reviewed detections occurring in lower HE2 regions consistent with reassignment, resulting in a verified false positive rate of 76%. Overall, a large number of detections (10594) remain unreviewed, but the observed HE2 structure suggests strong potential for threshold-based separation. PFSH shows comparatively strong concentration of true detections at higher HE2 values, with relatively low misclassification within the verified subset (15735 verified tags, 2% false positive rate), suggesting that conservative HE2 thresholds may retain high-confidence detections effectively even as additional data are incorporated. BLOY shows intermediate performance, with partial but not complete separation in HE2 space. It has 2739 verified tags and a verified false positive rate of 22%,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9" w:name="fig-he2-final"/>
          <w:p>
            <w:pPr>
              <w:pStyle w:val="Compact"/>
              <w:jc w:val="center"/>
            </w:pPr>
            <w:r>
              <w:drawing>
                <wp:inline>
                  <wp:extent cx="5334000" cy="4267200"/>
                  <wp:effectExtent b="0" l="0" r="0" t="0"/>
                  <wp:docPr descr="" title="" id="97" name="Picture"/>
                  <a:graphic>
                    <a:graphicData uri="http://schemas.openxmlformats.org/drawingml/2006/picture">
                      <pic:pic>
                        <pic:nvPicPr>
                          <pic:cNvPr descr="lanz-and-cox_files/figure-docx/fig-he2-final-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9"/>
        </w:tc>
      </w:tr>
    </w:tbl>
    <w:tbl>
      <w:tblPr>
        <w:tblStyle w:val="Table"/>
        <w:tblW w:type="pct" w:w="5000"/>
        <w:tblLayout w:type="fixed"/>
        <w:tblLook w:firstRow="0" w:lastRow="0" w:firstColumn="0" w:lastColumn="0" w:noHBand="0" w:noVBand="0" w:val="0000"/>
      </w:tblPr>
      <w:tblGrid>
        <w:gridCol w:w="7920"/>
      </w:tblGrid>
      <w:tr>
        <w:tc>
          <w:tcPr/>
          <w:bookmarkStart w:id="103" w:name="tbl-fp-rates"/>
          <w:p>
            <w:pPr>
              <w:jc w:val="center"/>
            </w:pPr>
            <w:pPr>
              <w:jc w:val="left"/>
              <w:spacing w:before="200"/>
              <w:pStyle w:val="ImageCaption"/>
            </w:pPr>
            <w:r>
              <w:t xml:space="preserve">Table 3: Rates of verification and classification for seabirds under HawkEars v2.0</w:t>
            </w:r>
          </w:p>
          <w:p>
            <w:pPr>
              <w:jc w:val="center"/>
            </w:pPr>
            <w:r>
              <w:drawing>
                <wp:inline>
                  <wp:extent cx="5334000" cy="5600700"/>
                  <wp:effectExtent b="0" l="0" r="0" t="0"/>
                  <wp:docPr descr="" title="" id="101" name="Picture"/>
                  <a:graphic>
                    <a:graphicData uri="http://schemas.openxmlformats.org/drawingml/2006/picture">
                      <pic:pic>
                        <pic:nvPicPr>
                          <pic:cNvPr descr="lanz-and-cox_files/figure-docx/tbl-fp-rates-1.png" id="102" name="Picture"/>
                          <pic:cNvPicPr>
                            <a:picLocks noChangeArrowheads="1" noChangeAspect="1"/>
                          </pic:cNvPicPr>
                        </pic:nvPicPr>
                        <pic:blipFill>
                          <a:blip r:embed="rId100"/>
                          <a:stretch>
                            <a:fillRect/>
                          </a:stretch>
                        </pic:blipFill>
                        <pic:spPr bwMode="auto">
                          <a:xfrm>
                            <a:off x="0" y="0"/>
                            <a:ext cx="5334000" cy="5600700"/>
                          </a:xfrm>
                          <a:prstGeom prst="rect">
                            <a:avLst/>
                          </a:prstGeom>
                          <a:noFill/>
                          <a:ln w="9525">
                            <a:noFill/>
                            <a:headEnd/>
                            <a:tailEnd/>
                          </a:ln>
                        </pic:spPr>
                      </pic:pic>
                    </a:graphicData>
                  </a:graphic>
                </wp:inline>
              </w:drawing>
            </w:r>
          </w:p>
          <w:bookmarkEnd w:id="103"/>
        </w:tc>
      </w:tr>
    </w:tbl>
    <w:p>
      <w:pPr>
        <w:pStyle w:val="BodyText"/>
      </w:pPr>
      <w:r>
        <w:t xml:space="preserve">Seabird relative abundance and activity</w:t>
      </w:r>
    </w:p>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107" w:name="fig-heatmap-seabirds"/>
          <w:p>
            <w:pPr>
              <w:pStyle w:val="Compact"/>
              <w:jc w:val="center"/>
            </w:pPr>
            <w:r>
              <w:drawing>
                <wp:inline>
                  <wp:extent cx="5334000" cy="4267200"/>
                  <wp:effectExtent b="0" l="0" r="0" t="0"/>
                  <wp:docPr descr="" title="" id="105" name="Picture"/>
                  <a:graphic>
                    <a:graphicData uri="http://schemas.openxmlformats.org/drawingml/2006/picture">
                      <pic:pic>
                        <pic:nvPicPr>
                          <pic:cNvPr descr="lanz-and-cox_files/figure-docx/fig-heatmap-seabird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107"/>
        </w:tc>
      </w:tr>
    </w:tbl>
    <w:tbl>
      <w:tblPr>
        <w:tblStyle w:val="Table"/>
        <w:tblW w:type="pct" w:w="5000"/>
        <w:tblLayout w:type="fixed"/>
        <w:tblLook w:firstRow="0" w:lastRow="0" w:firstColumn="0" w:lastColumn="0" w:noHBand="0" w:noVBand="0" w:val="0000"/>
      </w:tblPr>
      <w:tblGrid>
        <w:gridCol w:w="7920"/>
      </w:tblGrid>
      <w:tr>
        <w:tc>
          <w:tcPr/>
          <w:bookmarkStart w:id="111" w:name="fig-diel-day-seabird"/>
          <w:p>
            <w:pPr>
              <w:pStyle w:val="Compact"/>
              <w:jc w:val="center"/>
            </w:pPr>
            <w:r>
              <w:drawing>
                <wp:inline>
                  <wp:extent cx="5334000" cy="5334000"/>
                  <wp:effectExtent b="0" l="0" r="0" t="0"/>
                  <wp:docPr descr="" title="" id="109" name="Picture"/>
                  <a:graphic>
                    <a:graphicData uri="http://schemas.openxmlformats.org/drawingml/2006/picture">
                      <pic:pic>
                        <pic:nvPicPr>
                          <pic:cNvPr descr="lanz-and-cox_files/figure-docx/fig-diel-day-seabird-1.pn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season-seabird"/>
          <w:p>
            <w:pPr>
              <w:pStyle w:val="Compact"/>
              <w:jc w:val="center"/>
            </w:pPr>
            <w:r>
              <w:drawing>
                <wp:inline>
                  <wp:extent cx="5334000" cy="5334000"/>
                  <wp:effectExtent b="0" l="0" r="0" t="0"/>
                  <wp:docPr descr="" title="" id="113" name="Picture"/>
                  <a:graphic>
                    <a:graphicData uri="http://schemas.openxmlformats.org/drawingml/2006/picture">
                      <pic:pic>
                        <pic:nvPicPr>
                          <pic:cNvPr descr="lanz-and-cox_files/figure-docx/fig-season-seabird-1.pn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15"/>
        </w:tc>
      </w:tr>
    </w:tbl>
    <w:bookmarkEnd w:id="116"/>
    <w:bookmarkEnd w:id="117"/>
    <w:bookmarkStart w:id="142" w:name="discussion-and-recommendations"/>
    <w:p>
      <w:pPr>
        <w:pStyle w:val="Heading1"/>
      </w:pPr>
      <w:r>
        <w:t xml:space="preserve">7. Discussion and recommendations</w:t>
      </w:r>
    </w:p>
    <w:bookmarkStart w:id="118"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18"/>
    <w:bookmarkStart w:id="119"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9"/>
    <w:bookmarkStart w:id="141"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40" w:name="refs"/>
    <w:bookmarkStart w:id="121"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20">
        <w:r>
          <w:rPr>
            <w:rStyle w:val="Hyperlink"/>
          </w:rPr>
          <w:t xml:space="preserve">https://doi.org/10.1016/j.ecoinf.2025.103474</w:t>
        </w:r>
      </w:hyperlink>
      <w:r>
        <w:t xml:space="preserve">.</w:t>
      </w:r>
    </w:p>
    <w:bookmarkEnd w:id="121"/>
    <w:bookmarkStart w:id="122"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22"/>
    <w:bookmarkStart w:id="123"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23"/>
    <w:bookmarkStart w:id="124"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24"/>
    <w:bookmarkStart w:id="126"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25">
        <w:r>
          <w:rPr>
            <w:rStyle w:val="Hyperlink"/>
          </w:rPr>
          <w:t xml:space="preserve">https://doi.org/10.1080/09524622.2018.1503971</w:t>
        </w:r>
      </w:hyperlink>
      <w:r>
        <w:t xml:space="preserve">.</w:t>
      </w:r>
    </w:p>
    <w:bookmarkEnd w:id="126"/>
    <w:bookmarkStart w:id="127"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27"/>
    <w:bookmarkStart w:id="129"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28">
        <w:r>
          <w:rPr>
            <w:rStyle w:val="Hyperlink"/>
          </w:rPr>
          <w:t xml:space="preserve">https://abbiodiversity.github.io/wildrtrax/</w:t>
        </w:r>
      </w:hyperlink>
      <w:r>
        <w:t xml:space="preserve">.</w:t>
      </w:r>
    </w:p>
    <w:bookmarkEnd w:id="129"/>
    <w:bookmarkStart w:id="131"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30">
        <w:r>
          <w:rPr>
            <w:rStyle w:val="Hyperlink"/>
          </w:rPr>
          <w:t xml:space="preserve">https://doi.org/10.1890/10-0340.1</w:t>
        </w:r>
      </w:hyperlink>
      <w:r>
        <w:t xml:space="preserve">.</w:t>
      </w:r>
    </w:p>
    <w:bookmarkEnd w:id="131"/>
    <w:bookmarkStart w:id="132"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32"/>
    <w:bookmarkStart w:id="134"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33">
        <w:r>
          <w:rPr>
            <w:rStyle w:val="Hyperlink"/>
          </w:rPr>
          <w:t xml:space="preserve">https://doi.org/10.1525/bio.2011.61.3.6</w:t>
        </w:r>
      </w:hyperlink>
      <w:r>
        <w:t xml:space="preserve">.</w:t>
      </w:r>
    </w:p>
    <w:bookmarkEnd w:id="134"/>
    <w:bookmarkStart w:id="136"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35">
        <w:r>
          <w:rPr>
            <w:rStyle w:val="Hyperlink"/>
          </w:rPr>
          <w:t xml:space="preserve">https://doi.org/10.1038/s42003-024-05954-8</w:t>
        </w:r>
      </w:hyperlink>
      <w:r>
        <w:t xml:space="preserve">.</w:t>
      </w:r>
    </w:p>
    <w:bookmarkEnd w:id="136"/>
    <w:bookmarkStart w:id="13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37"/>
    <w:bookmarkStart w:id="13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38"/>
    <w:bookmarkStart w:id="139"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9"/>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108" Target="media/rId10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112" Target="media/rId112.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75" Target="media/rId75.png" /><Relationship Type="http://schemas.openxmlformats.org/officeDocument/2006/relationships/image" Id="rId35" Target="media/rId35.png" /><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2026-08-17T18:05:20Z</dcterms:created>
  <dcterms:modified xsi:type="dcterms:W3CDTF">2026-08-17T18:05:20Z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2026-08-17</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