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C7079" w14:textId="27B8BBF0" w:rsidR="009A7E29" w:rsidRPr="00C52D98" w:rsidRDefault="00C52D98">
      <w:pPr>
        <w:rPr>
          <w:rFonts w:ascii="Times New Roman" w:hAnsi="Times New Roman" w:cs="Times New Roman"/>
          <w:b/>
          <w:bCs/>
          <w:sz w:val="24"/>
          <w:szCs w:val="24"/>
        </w:rPr>
      </w:pPr>
      <w:r w:rsidRPr="00C52D98">
        <w:rPr>
          <w:rFonts w:ascii="Times New Roman" w:hAnsi="Times New Roman" w:cs="Times New Roman"/>
          <w:b/>
          <w:bCs/>
          <w:sz w:val="24"/>
          <w:szCs w:val="24"/>
        </w:rPr>
        <w:t xml:space="preserve">Appendix S1 </w:t>
      </w:r>
    </w:p>
    <w:p w14:paraId="440C7346" w14:textId="77777777" w:rsidR="00C52D98" w:rsidRPr="000C583E" w:rsidRDefault="00C52D98" w:rsidP="00C52D98">
      <w:pPr>
        <w:spacing w:line="360" w:lineRule="auto"/>
        <w:rPr>
          <w:rFonts w:ascii="Times New Roman" w:hAnsi="Times New Roman" w:cs="Times New Roman"/>
          <w:b/>
          <w:bCs/>
          <w:sz w:val="24"/>
          <w:szCs w:val="24"/>
        </w:rPr>
      </w:pPr>
      <w:bookmarkStart w:id="0" w:name="_Hlk113356748"/>
      <w:r w:rsidRPr="000C583E">
        <w:rPr>
          <w:rFonts w:ascii="Times New Roman" w:hAnsi="Times New Roman" w:cs="Times New Roman"/>
          <w:b/>
          <w:bCs/>
          <w:sz w:val="24"/>
          <w:szCs w:val="24"/>
        </w:rPr>
        <w:t xml:space="preserve">Blooms and flows: Effects of variable hydrology and management on reservoir water quality </w:t>
      </w:r>
    </w:p>
    <w:bookmarkEnd w:id="0"/>
    <w:p w14:paraId="2CAF22FE" w14:textId="77777777" w:rsidR="00C52D98" w:rsidRPr="000C583E" w:rsidRDefault="00C52D98" w:rsidP="00C52D98">
      <w:pPr>
        <w:spacing w:line="360" w:lineRule="auto"/>
        <w:rPr>
          <w:rFonts w:ascii="Times New Roman" w:hAnsi="Times New Roman" w:cs="Times New Roman"/>
          <w:sz w:val="24"/>
          <w:szCs w:val="24"/>
        </w:rPr>
      </w:pPr>
      <w:r w:rsidRPr="000C583E">
        <w:rPr>
          <w:rFonts w:ascii="Times New Roman" w:hAnsi="Times New Roman" w:cs="Times New Roman"/>
          <w:sz w:val="24"/>
          <w:szCs w:val="24"/>
        </w:rPr>
        <w:t>Kristin J. Painter</w:t>
      </w:r>
      <w:r w:rsidRPr="000C583E">
        <w:rPr>
          <w:rFonts w:ascii="Times New Roman" w:hAnsi="Times New Roman" w:cs="Times New Roman"/>
          <w:sz w:val="24"/>
          <w:szCs w:val="24"/>
          <w:vertAlign w:val="superscript"/>
        </w:rPr>
        <w:t>1*</w:t>
      </w:r>
      <w:r w:rsidRPr="000C583E">
        <w:rPr>
          <w:rFonts w:ascii="Times New Roman" w:hAnsi="Times New Roman" w:cs="Times New Roman"/>
          <w:sz w:val="24"/>
          <w:szCs w:val="24"/>
        </w:rPr>
        <w:t>, Jason J. Venkiteswaran</w:t>
      </w:r>
      <w:r w:rsidRPr="000C583E">
        <w:rPr>
          <w:rFonts w:ascii="Times New Roman" w:hAnsi="Times New Roman" w:cs="Times New Roman"/>
          <w:sz w:val="24"/>
          <w:szCs w:val="24"/>
          <w:vertAlign w:val="superscript"/>
        </w:rPr>
        <w:t>2</w:t>
      </w:r>
      <w:r w:rsidRPr="000C583E">
        <w:rPr>
          <w:rFonts w:ascii="Times New Roman" w:hAnsi="Times New Roman" w:cs="Times New Roman"/>
          <w:sz w:val="24"/>
          <w:szCs w:val="24"/>
        </w:rPr>
        <w:t>, and Helen M. Baulch</w:t>
      </w:r>
      <w:r w:rsidRPr="000C583E">
        <w:rPr>
          <w:rFonts w:ascii="Times New Roman" w:hAnsi="Times New Roman" w:cs="Times New Roman"/>
          <w:sz w:val="24"/>
          <w:szCs w:val="24"/>
          <w:vertAlign w:val="superscript"/>
        </w:rPr>
        <w:t>1</w:t>
      </w:r>
    </w:p>
    <w:p w14:paraId="55DE2697" w14:textId="77777777" w:rsidR="00C52D98" w:rsidRPr="000C583E" w:rsidRDefault="00C52D98" w:rsidP="00C52D98">
      <w:pPr>
        <w:spacing w:after="0" w:line="360" w:lineRule="auto"/>
        <w:rPr>
          <w:rFonts w:ascii="Times New Roman" w:hAnsi="Times New Roman" w:cs="Times New Roman"/>
          <w:sz w:val="24"/>
          <w:szCs w:val="24"/>
        </w:rPr>
      </w:pPr>
      <w:r w:rsidRPr="000C583E">
        <w:rPr>
          <w:rFonts w:ascii="Times New Roman" w:hAnsi="Times New Roman" w:cs="Times New Roman"/>
          <w:sz w:val="24"/>
          <w:szCs w:val="24"/>
          <w:vertAlign w:val="superscript"/>
        </w:rPr>
        <w:t>1</w:t>
      </w:r>
      <w:r w:rsidRPr="000C583E">
        <w:rPr>
          <w:rFonts w:ascii="Times New Roman" w:hAnsi="Times New Roman" w:cs="Times New Roman"/>
          <w:sz w:val="24"/>
          <w:szCs w:val="24"/>
        </w:rPr>
        <w:t xml:space="preserve"> School of Environment and Sustainability, Global Institute for Water Security, University of Saskatchewan, Saskatoon, SK S7N 5C8, Canada</w:t>
      </w:r>
    </w:p>
    <w:p w14:paraId="467B5129" w14:textId="77777777" w:rsidR="00C52D98" w:rsidRPr="000C583E" w:rsidRDefault="00C52D98" w:rsidP="00C52D98">
      <w:pPr>
        <w:spacing w:after="0" w:line="360" w:lineRule="auto"/>
        <w:rPr>
          <w:rFonts w:ascii="Times New Roman" w:hAnsi="Times New Roman" w:cs="Times New Roman"/>
          <w:sz w:val="24"/>
          <w:szCs w:val="24"/>
        </w:rPr>
      </w:pPr>
      <w:r w:rsidRPr="000C583E">
        <w:rPr>
          <w:rFonts w:ascii="Times New Roman" w:hAnsi="Times New Roman" w:cs="Times New Roman"/>
          <w:sz w:val="24"/>
          <w:szCs w:val="24"/>
          <w:vertAlign w:val="superscript"/>
        </w:rPr>
        <w:t xml:space="preserve">2 </w:t>
      </w:r>
      <w:r w:rsidRPr="000C583E">
        <w:rPr>
          <w:rFonts w:ascii="Times New Roman" w:hAnsi="Times New Roman" w:cs="Times New Roman"/>
          <w:sz w:val="24"/>
          <w:szCs w:val="24"/>
        </w:rPr>
        <w:t>Department of Geography and Environmental Studies, Wilfrid Laurier University, Waterloo,</w:t>
      </w:r>
    </w:p>
    <w:p w14:paraId="03E577BA" w14:textId="77777777" w:rsidR="00C52D98" w:rsidRPr="000C583E" w:rsidRDefault="00C52D98" w:rsidP="00C52D98">
      <w:pPr>
        <w:spacing w:after="0" w:line="360" w:lineRule="auto"/>
        <w:rPr>
          <w:rFonts w:ascii="Times New Roman" w:hAnsi="Times New Roman" w:cs="Times New Roman"/>
          <w:sz w:val="24"/>
          <w:szCs w:val="24"/>
        </w:rPr>
      </w:pPr>
      <w:r w:rsidRPr="000C583E">
        <w:rPr>
          <w:rFonts w:ascii="Times New Roman" w:hAnsi="Times New Roman" w:cs="Times New Roman"/>
          <w:sz w:val="24"/>
          <w:szCs w:val="24"/>
        </w:rPr>
        <w:t>ON N2L 3C5, Canada</w:t>
      </w:r>
    </w:p>
    <w:p w14:paraId="152EC848" w14:textId="77777777" w:rsidR="00C52D98" w:rsidRPr="000C583E" w:rsidRDefault="00C52D98" w:rsidP="00C52D98">
      <w:pPr>
        <w:spacing w:after="0" w:line="360" w:lineRule="auto"/>
        <w:rPr>
          <w:rFonts w:ascii="Times New Roman" w:hAnsi="Times New Roman" w:cs="Times New Roman"/>
          <w:sz w:val="24"/>
          <w:szCs w:val="24"/>
        </w:rPr>
      </w:pPr>
    </w:p>
    <w:p w14:paraId="3EC61DFD" w14:textId="77777777" w:rsidR="00C52D98" w:rsidRPr="000C583E" w:rsidRDefault="00C52D98" w:rsidP="00C52D98">
      <w:pPr>
        <w:spacing w:after="0" w:line="360" w:lineRule="auto"/>
        <w:rPr>
          <w:rFonts w:ascii="Times New Roman" w:hAnsi="Times New Roman" w:cs="Times New Roman"/>
          <w:sz w:val="24"/>
          <w:szCs w:val="24"/>
        </w:rPr>
      </w:pPr>
      <w:r w:rsidRPr="000C583E">
        <w:rPr>
          <w:rFonts w:ascii="Times New Roman" w:hAnsi="Times New Roman" w:cs="Times New Roman"/>
          <w:sz w:val="24"/>
          <w:szCs w:val="24"/>
          <w:vertAlign w:val="superscript"/>
        </w:rPr>
        <w:t>*</w:t>
      </w:r>
      <w:r w:rsidRPr="000C583E">
        <w:rPr>
          <w:rFonts w:ascii="Times New Roman" w:hAnsi="Times New Roman" w:cs="Times New Roman"/>
          <w:sz w:val="24"/>
          <w:szCs w:val="24"/>
        </w:rPr>
        <w:t>Corresponding author: kristin.painter@usask.ca</w:t>
      </w:r>
    </w:p>
    <w:p w14:paraId="5BCF8ACB" w14:textId="750EB289" w:rsidR="00C52D98" w:rsidRDefault="00C52D98">
      <w:pPr>
        <w:rPr>
          <w:rFonts w:ascii="Times New Roman" w:hAnsi="Times New Roman" w:cs="Times New Roman"/>
        </w:rPr>
      </w:pPr>
    </w:p>
    <w:p w14:paraId="4FE4357E" w14:textId="61D259EF" w:rsidR="00C52D98" w:rsidRDefault="00C52D98">
      <w:pPr>
        <w:rPr>
          <w:rFonts w:ascii="Times New Roman" w:hAnsi="Times New Roman" w:cs="Times New Roman"/>
          <w:sz w:val="24"/>
          <w:szCs w:val="24"/>
        </w:rPr>
      </w:pPr>
      <w:r w:rsidRPr="00792DE8">
        <w:rPr>
          <w:rFonts w:ascii="Times New Roman" w:hAnsi="Times New Roman" w:cs="Times New Roman"/>
          <w:sz w:val="24"/>
          <w:szCs w:val="24"/>
        </w:rPr>
        <w:t>Journal: Ecosphere</w:t>
      </w:r>
    </w:p>
    <w:p w14:paraId="5DD1176A" w14:textId="397C256F" w:rsidR="00221E77" w:rsidRDefault="00221E77">
      <w:pPr>
        <w:rPr>
          <w:rFonts w:ascii="Times New Roman" w:hAnsi="Times New Roman" w:cs="Times New Roman"/>
          <w:sz w:val="24"/>
          <w:szCs w:val="24"/>
        </w:rPr>
      </w:pPr>
    </w:p>
    <w:p w14:paraId="6AB4EAB0" w14:textId="5B8AA9CB" w:rsidR="00221E77" w:rsidRPr="00792DE8" w:rsidRDefault="00221E77">
      <w:pPr>
        <w:rPr>
          <w:rFonts w:ascii="Times New Roman" w:hAnsi="Times New Roman" w:cs="Times New Roman"/>
          <w:sz w:val="24"/>
          <w:szCs w:val="24"/>
        </w:rPr>
      </w:pPr>
      <w:r>
        <w:rPr>
          <w:rFonts w:ascii="Times New Roman" w:hAnsi="Times New Roman" w:cs="Times New Roman"/>
          <w:sz w:val="24"/>
          <w:szCs w:val="24"/>
        </w:rPr>
        <w:t>This appendix contains supplemental figures and tables for “</w:t>
      </w:r>
      <w:r w:rsidRPr="00221E77">
        <w:rPr>
          <w:rFonts w:ascii="Times New Roman" w:hAnsi="Times New Roman" w:cs="Times New Roman"/>
          <w:sz w:val="24"/>
          <w:szCs w:val="24"/>
        </w:rPr>
        <w:t>Blooms and flows: Effects of variable hydrology and management on reservoir water quality</w:t>
      </w:r>
      <w:r>
        <w:rPr>
          <w:rFonts w:ascii="Times New Roman" w:hAnsi="Times New Roman" w:cs="Times New Roman"/>
          <w:sz w:val="24"/>
          <w:szCs w:val="24"/>
        </w:rPr>
        <w:t xml:space="preserve">”. </w:t>
      </w:r>
    </w:p>
    <w:p w14:paraId="0C68A007" w14:textId="77777777" w:rsidR="00C52D98" w:rsidRDefault="00C52D98" w:rsidP="00C52D98">
      <w:pPr>
        <w:keepNext/>
      </w:pPr>
      <w:r>
        <w:rPr>
          <w:noProof/>
        </w:rPr>
        <w:lastRenderedPageBreak/>
        <w:drawing>
          <wp:inline distT="0" distB="0" distL="0" distR="0" wp14:anchorId="2D1D57E6" wp14:editId="59C1DB3C">
            <wp:extent cx="5943600" cy="4838065"/>
            <wp:effectExtent l="0" t="0" r="0" b="0"/>
            <wp:docPr id="7"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Diagram, schematic&#10;&#10;Description automatically generated"/>
                    <pic:cNvPicPr>
                      <a:picLocks noChangeAspect="1" noChangeArrowheads="1"/>
                    </pic:cNvPicPr>
                  </pic:nvPicPr>
                  <pic:blipFill>
                    <a:blip r:embed="rId4"/>
                    <a:stretch>
                      <a:fillRect/>
                    </a:stretch>
                  </pic:blipFill>
                  <pic:spPr bwMode="auto">
                    <a:xfrm>
                      <a:off x="0" y="0"/>
                      <a:ext cx="5943600" cy="4838065"/>
                    </a:xfrm>
                    <a:prstGeom prst="rect">
                      <a:avLst/>
                    </a:prstGeom>
                  </pic:spPr>
                </pic:pic>
              </a:graphicData>
            </a:graphic>
          </wp:inline>
        </w:drawing>
      </w:r>
    </w:p>
    <w:p w14:paraId="24CFF620" w14:textId="28CA3CA4" w:rsidR="00C52D98" w:rsidRPr="00C52D98" w:rsidRDefault="00C52D98" w:rsidP="00C52D98">
      <w:pPr>
        <w:pStyle w:val="Caption"/>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 xml:space="preserve">Figure </w:t>
      </w:r>
      <w:r w:rsidRPr="00C52D98">
        <w:rPr>
          <w:rFonts w:ascii="Times New Roman" w:hAnsi="Times New Roman" w:cs="Times New Roman"/>
          <w:i w:val="0"/>
          <w:iCs w:val="0"/>
          <w:color w:val="auto"/>
          <w:sz w:val="24"/>
          <w:szCs w:val="24"/>
        </w:rPr>
        <w:t>S1. Daily hydrograph of Qu’Appelle River discharge (m</w:t>
      </w:r>
      <w:r w:rsidRPr="00C52D98">
        <w:rPr>
          <w:rFonts w:ascii="Times New Roman" w:hAnsi="Times New Roman" w:cs="Times New Roman"/>
          <w:i w:val="0"/>
          <w:iCs w:val="0"/>
          <w:color w:val="auto"/>
          <w:sz w:val="24"/>
          <w:szCs w:val="24"/>
          <w:vertAlign w:val="superscript"/>
        </w:rPr>
        <w:t>3</w:t>
      </w:r>
      <w:r w:rsidRPr="00C52D98">
        <w:rPr>
          <w:rFonts w:ascii="Times New Roman" w:hAnsi="Times New Roman" w:cs="Times New Roman"/>
          <w:i w:val="0"/>
          <w:iCs w:val="0"/>
          <w:color w:val="auto"/>
          <w:sz w:val="24"/>
          <w:szCs w:val="24"/>
        </w:rPr>
        <w:t>/s) recorded at Environment and Climate Change Canada hydrometric station 05JG006 (Elbow Diversion Canal at Drop Structure) downstream from Lake Diefenbaker, Saskatchewan</w:t>
      </w:r>
      <w:r>
        <w:rPr>
          <w:rFonts w:ascii="Times New Roman" w:hAnsi="Times New Roman" w:cs="Times New Roman"/>
          <w:i w:val="0"/>
          <w:iCs w:val="0"/>
          <w:color w:val="auto"/>
          <w:sz w:val="24"/>
          <w:szCs w:val="24"/>
        </w:rPr>
        <w:t xml:space="preserve"> (ECCC, 2022)</w:t>
      </w:r>
      <w:r w:rsidRPr="00C52D98">
        <w:rPr>
          <w:rFonts w:ascii="Times New Roman" w:hAnsi="Times New Roman" w:cs="Times New Roman"/>
          <w:i w:val="0"/>
          <w:iCs w:val="0"/>
          <w:color w:val="auto"/>
          <w:sz w:val="24"/>
          <w:szCs w:val="24"/>
        </w:rPr>
        <w:t xml:space="preserve">. </w:t>
      </w:r>
    </w:p>
    <w:p w14:paraId="5921EB56" w14:textId="77777777" w:rsidR="00C52D98" w:rsidRDefault="00C52D98" w:rsidP="00C52D98"/>
    <w:p w14:paraId="054E278D" w14:textId="319792EB" w:rsidR="00C52D98" w:rsidRDefault="00C52D98" w:rsidP="00C52D98"/>
    <w:p w14:paraId="1EEC2075" w14:textId="77777777" w:rsidR="00733EDF" w:rsidRDefault="00733EDF" w:rsidP="00C52D98"/>
    <w:p w14:paraId="224FEF84" w14:textId="77777777" w:rsidR="00C52D98" w:rsidRDefault="00C52D98" w:rsidP="00C52D98"/>
    <w:p w14:paraId="6FA463A2" w14:textId="70BB637E" w:rsidR="00C52D98" w:rsidRDefault="00C52D98" w:rsidP="00C52D98"/>
    <w:p w14:paraId="108F1F09" w14:textId="77777777" w:rsidR="00C52D98" w:rsidRDefault="00C52D98" w:rsidP="00C52D98"/>
    <w:p w14:paraId="5DA6665F" w14:textId="71851E37" w:rsidR="00C52D98" w:rsidRDefault="00C52D98" w:rsidP="00C52D98"/>
    <w:p w14:paraId="1AE51E7E" w14:textId="62CF7AA6" w:rsidR="00C52D98" w:rsidRDefault="00C52D98" w:rsidP="00C52D98"/>
    <w:p w14:paraId="4CA118F5" w14:textId="77777777" w:rsidR="00C52D98" w:rsidRDefault="00C52D98" w:rsidP="00C52D98"/>
    <w:p w14:paraId="1D6B89C1" w14:textId="77777777" w:rsidR="00C76A8E" w:rsidRPr="00C76A8E" w:rsidRDefault="00C76A8E" w:rsidP="00C76A8E">
      <w:pPr>
        <w:keepNext/>
        <w:suppressAutoHyphens/>
        <w:spacing w:after="200" w:line="240" w:lineRule="auto"/>
        <w:rPr>
          <w:rFonts w:ascii="Times New Roman" w:hAnsi="Times New Roman" w:cs="Times New Roman"/>
          <w:sz w:val="24"/>
          <w:szCs w:val="24"/>
        </w:rPr>
      </w:pPr>
      <w:r w:rsidRPr="00C76A8E">
        <w:rPr>
          <w:rFonts w:ascii="Times New Roman" w:hAnsi="Times New Roman" w:cs="Times New Roman"/>
          <w:sz w:val="24"/>
          <w:szCs w:val="24"/>
        </w:rPr>
        <w:lastRenderedPageBreak/>
        <w:t>Table S1. Approximate significance of smooth terms (</w:t>
      </w:r>
      <w:proofErr w:type="spellStart"/>
      <w:r w:rsidRPr="00C76A8E">
        <w:rPr>
          <w:rFonts w:ascii="Times New Roman" w:hAnsi="Times New Roman" w:cs="Times New Roman"/>
          <w:sz w:val="24"/>
          <w:szCs w:val="24"/>
        </w:rPr>
        <w:t>edf</w:t>
      </w:r>
      <w:proofErr w:type="spellEnd"/>
      <w:r w:rsidRPr="00C76A8E">
        <w:rPr>
          <w:rFonts w:ascii="Times New Roman" w:hAnsi="Times New Roman" w:cs="Times New Roman"/>
          <w:sz w:val="24"/>
          <w:szCs w:val="24"/>
        </w:rPr>
        <w:t xml:space="preserve">, </w:t>
      </w:r>
      <w:proofErr w:type="spellStart"/>
      <w:r w:rsidRPr="00C76A8E">
        <w:rPr>
          <w:rFonts w:ascii="Times New Roman" w:hAnsi="Times New Roman" w:cs="Times New Roman"/>
          <w:sz w:val="24"/>
          <w:szCs w:val="24"/>
        </w:rPr>
        <w:t>ref.df</w:t>
      </w:r>
      <w:proofErr w:type="spellEnd"/>
      <w:r w:rsidRPr="00C76A8E">
        <w:rPr>
          <w:rFonts w:ascii="Times New Roman" w:hAnsi="Times New Roman" w:cs="Times New Roman"/>
          <w:sz w:val="24"/>
          <w:szCs w:val="24"/>
        </w:rPr>
        <w:t>, F and p-values) and description of overall model fit (adjusted R-squared and deviance explained) of generalized additive models of daily phycocyanin (RFU) over time (day of year)</w:t>
      </w:r>
    </w:p>
    <w:tbl>
      <w:tblPr>
        <w:tblW w:w="9072" w:type="dxa"/>
        <w:tblLayout w:type="fixed"/>
        <w:tblLook w:val="04A0" w:firstRow="1" w:lastRow="0" w:firstColumn="1" w:lastColumn="0" w:noHBand="0" w:noVBand="1"/>
      </w:tblPr>
      <w:tblGrid>
        <w:gridCol w:w="961"/>
        <w:gridCol w:w="959"/>
        <w:gridCol w:w="960"/>
        <w:gridCol w:w="948"/>
        <w:gridCol w:w="972"/>
        <w:gridCol w:w="303"/>
        <w:gridCol w:w="1560"/>
        <w:gridCol w:w="2409"/>
      </w:tblGrid>
      <w:tr w:rsidR="00C76A8E" w:rsidRPr="00C76A8E" w14:paraId="2A25F2A3" w14:textId="77777777" w:rsidTr="002944C2">
        <w:trPr>
          <w:trHeight w:val="288"/>
        </w:trPr>
        <w:tc>
          <w:tcPr>
            <w:tcW w:w="961" w:type="dxa"/>
            <w:tcBorders>
              <w:top w:val="single" w:sz="4" w:space="0" w:color="000000"/>
              <w:bottom w:val="single" w:sz="4" w:space="0" w:color="000000"/>
            </w:tcBorders>
            <w:shd w:val="clear" w:color="auto" w:fill="auto"/>
            <w:vAlign w:val="center"/>
          </w:tcPr>
          <w:p w14:paraId="41908568" w14:textId="77777777" w:rsidR="00C76A8E" w:rsidRPr="00C76A8E" w:rsidRDefault="00C76A8E" w:rsidP="00C76A8E">
            <w:pPr>
              <w:widowControl w:val="0"/>
              <w:spacing w:after="0" w:line="240" w:lineRule="auto"/>
              <w:jc w:val="right"/>
              <w:rPr>
                <w:rFonts w:ascii="Times New Roman" w:hAnsi="Times New Roman" w:cs="Times New Roman"/>
                <w:b/>
                <w:bCs/>
              </w:rPr>
            </w:pPr>
          </w:p>
          <w:p w14:paraId="605ACDE2" w14:textId="77777777" w:rsidR="00C76A8E" w:rsidRPr="00C76A8E" w:rsidRDefault="00C76A8E" w:rsidP="00C76A8E">
            <w:pPr>
              <w:widowControl w:val="0"/>
              <w:spacing w:after="0" w:line="240" w:lineRule="auto"/>
              <w:jc w:val="right"/>
              <w:rPr>
                <w:rFonts w:ascii="Times New Roman" w:hAnsi="Times New Roman" w:cs="Times New Roman"/>
                <w:b/>
                <w:bCs/>
              </w:rPr>
            </w:pPr>
            <w:r w:rsidRPr="00C76A8E">
              <w:rPr>
                <w:rFonts w:ascii="Times New Roman" w:hAnsi="Times New Roman" w:cs="Times New Roman"/>
                <w:b/>
                <w:bCs/>
              </w:rPr>
              <w:t>Year</w:t>
            </w:r>
          </w:p>
          <w:p w14:paraId="16992E8C" w14:textId="77777777" w:rsidR="00C76A8E" w:rsidRPr="00C76A8E" w:rsidRDefault="00C76A8E" w:rsidP="00C76A8E">
            <w:pPr>
              <w:widowControl w:val="0"/>
              <w:spacing w:after="0" w:line="240" w:lineRule="auto"/>
              <w:jc w:val="right"/>
              <w:rPr>
                <w:rFonts w:ascii="Times New Roman" w:eastAsia="Times New Roman" w:hAnsi="Times New Roman" w:cs="Times New Roman"/>
                <w:b/>
                <w:bCs/>
                <w:color w:val="000000"/>
                <w:lang w:eastAsia="en-CA"/>
              </w:rPr>
            </w:pPr>
          </w:p>
        </w:tc>
        <w:tc>
          <w:tcPr>
            <w:tcW w:w="959" w:type="dxa"/>
            <w:tcBorders>
              <w:top w:val="single" w:sz="4" w:space="0" w:color="000000"/>
              <w:bottom w:val="single" w:sz="4" w:space="0" w:color="000000"/>
            </w:tcBorders>
            <w:shd w:val="clear" w:color="auto" w:fill="auto"/>
            <w:vAlign w:val="center"/>
          </w:tcPr>
          <w:p w14:paraId="0D9B635D" w14:textId="77777777" w:rsidR="00C76A8E" w:rsidRPr="00C76A8E" w:rsidRDefault="00C76A8E" w:rsidP="00C76A8E">
            <w:pPr>
              <w:widowControl w:val="0"/>
              <w:spacing w:after="0" w:line="240" w:lineRule="auto"/>
              <w:jc w:val="center"/>
              <w:rPr>
                <w:rFonts w:ascii="Times New Roman" w:eastAsia="Times New Roman" w:hAnsi="Times New Roman" w:cs="Times New Roman"/>
                <w:b/>
                <w:bCs/>
                <w:color w:val="000000"/>
                <w:lang w:eastAsia="en-CA"/>
              </w:rPr>
            </w:pPr>
            <w:proofErr w:type="spellStart"/>
            <w:r w:rsidRPr="00C76A8E">
              <w:rPr>
                <w:rFonts w:ascii="Times New Roman" w:hAnsi="Times New Roman" w:cs="Times New Roman"/>
                <w:b/>
                <w:bCs/>
              </w:rPr>
              <w:t>edf</w:t>
            </w:r>
            <w:proofErr w:type="spellEnd"/>
          </w:p>
        </w:tc>
        <w:tc>
          <w:tcPr>
            <w:tcW w:w="960" w:type="dxa"/>
            <w:tcBorders>
              <w:top w:val="single" w:sz="4" w:space="0" w:color="000000"/>
              <w:bottom w:val="single" w:sz="4" w:space="0" w:color="000000"/>
            </w:tcBorders>
            <w:shd w:val="clear" w:color="auto" w:fill="auto"/>
            <w:vAlign w:val="center"/>
          </w:tcPr>
          <w:p w14:paraId="1D3FAA99" w14:textId="77777777" w:rsidR="00C76A8E" w:rsidRPr="00C76A8E" w:rsidRDefault="00C76A8E" w:rsidP="00C76A8E">
            <w:pPr>
              <w:widowControl w:val="0"/>
              <w:spacing w:after="0" w:line="240" w:lineRule="auto"/>
              <w:jc w:val="center"/>
              <w:rPr>
                <w:rFonts w:ascii="Times New Roman" w:eastAsia="Times New Roman" w:hAnsi="Times New Roman" w:cs="Times New Roman"/>
                <w:b/>
                <w:bCs/>
                <w:color w:val="000000"/>
                <w:lang w:eastAsia="en-CA"/>
              </w:rPr>
            </w:pPr>
            <w:proofErr w:type="spellStart"/>
            <w:r w:rsidRPr="00C76A8E">
              <w:rPr>
                <w:rFonts w:ascii="Times New Roman" w:hAnsi="Times New Roman" w:cs="Times New Roman"/>
                <w:b/>
                <w:bCs/>
              </w:rPr>
              <w:t>ref.df</w:t>
            </w:r>
            <w:proofErr w:type="spellEnd"/>
          </w:p>
        </w:tc>
        <w:tc>
          <w:tcPr>
            <w:tcW w:w="948" w:type="dxa"/>
            <w:tcBorders>
              <w:top w:val="single" w:sz="4" w:space="0" w:color="000000"/>
              <w:bottom w:val="single" w:sz="4" w:space="0" w:color="000000"/>
            </w:tcBorders>
            <w:shd w:val="clear" w:color="auto" w:fill="auto"/>
            <w:vAlign w:val="center"/>
          </w:tcPr>
          <w:p w14:paraId="2E8071D2" w14:textId="77777777" w:rsidR="00C76A8E" w:rsidRPr="00C76A8E" w:rsidRDefault="00C76A8E" w:rsidP="00C76A8E">
            <w:pPr>
              <w:widowControl w:val="0"/>
              <w:spacing w:after="0" w:line="240" w:lineRule="auto"/>
              <w:jc w:val="center"/>
              <w:rPr>
                <w:rFonts w:ascii="Times New Roman" w:eastAsia="Times New Roman" w:hAnsi="Times New Roman" w:cs="Times New Roman"/>
                <w:b/>
                <w:bCs/>
                <w:color w:val="000000"/>
                <w:lang w:eastAsia="en-CA"/>
              </w:rPr>
            </w:pPr>
            <w:r w:rsidRPr="00C76A8E">
              <w:rPr>
                <w:rFonts w:ascii="Times New Roman" w:hAnsi="Times New Roman" w:cs="Times New Roman"/>
                <w:b/>
                <w:bCs/>
              </w:rPr>
              <w:t>F</w:t>
            </w:r>
          </w:p>
        </w:tc>
        <w:tc>
          <w:tcPr>
            <w:tcW w:w="1275" w:type="dxa"/>
            <w:gridSpan w:val="2"/>
            <w:tcBorders>
              <w:top w:val="single" w:sz="4" w:space="0" w:color="000000"/>
              <w:bottom w:val="single" w:sz="4" w:space="0" w:color="000000"/>
            </w:tcBorders>
            <w:shd w:val="clear" w:color="auto" w:fill="auto"/>
            <w:vAlign w:val="center"/>
          </w:tcPr>
          <w:p w14:paraId="109B4EA6" w14:textId="77777777" w:rsidR="00C76A8E" w:rsidRPr="00C76A8E" w:rsidRDefault="00C76A8E" w:rsidP="00C76A8E">
            <w:pPr>
              <w:widowControl w:val="0"/>
              <w:spacing w:after="0" w:line="240" w:lineRule="auto"/>
              <w:jc w:val="center"/>
              <w:rPr>
                <w:rFonts w:ascii="Times New Roman" w:eastAsia="Times New Roman" w:hAnsi="Times New Roman" w:cs="Times New Roman"/>
                <w:b/>
                <w:bCs/>
                <w:color w:val="000000"/>
                <w:lang w:eastAsia="en-CA"/>
              </w:rPr>
            </w:pPr>
            <w:r w:rsidRPr="00C76A8E">
              <w:rPr>
                <w:rFonts w:ascii="Times New Roman" w:hAnsi="Times New Roman" w:cs="Times New Roman"/>
                <w:b/>
                <w:bCs/>
              </w:rPr>
              <w:t>p-value</w:t>
            </w:r>
          </w:p>
        </w:tc>
        <w:tc>
          <w:tcPr>
            <w:tcW w:w="1560" w:type="dxa"/>
            <w:tcBorders>
              <w:top w:val="single" w:sz="4" w:space="0" w:color="000000"/>
              <w:bottom w:val="single" w:sz="4" w:space="0" w:color="000000"/>
            </w:tcBorders>
            <w:shd w:val="clear" w:color="auto" w:fill="auto"/>
            <w:vAlign w:val="center"/>
          </w:tcPr>
          <w:p w14:paraId="3124E31D" w14:textId="77777777" w:rsidR="00C76A8E" w:rsidRPr="00C76A8E" w:rsidRDefault="00C76A8E" w:rsidP="00C76A8E">
            <w:pPr>
              <w:widowControl w:val="0"/>
              <w:spacing w:after="0" w:line="240" w:lineRule="auto"/>
              <w:jc w:val="center"/>
              <w:rPr>
                <w:rFonts w:ascii="Times New Roman" w:eastAsia="Times New Roman" w:hAnsi="Times New Roman" w:cs="Times New Roman"/>
                <w:b/>
                <w:bCs/>
                <w:color w:val="000000"/>
                <w:lang w:eastAsia="en-CA"/>
              </w:rPr>
            </w:pPr>
            <w:r w:rsidRPr="00C76A8E">
              <w:rPr>
                <w:rFonts w:ascii="Times New Roman" w:hAnsi="Times New Roman" w:cs="Times New Roman"/>
                <w:b/>
                <w:bCs/>
              </w:rPr>
              <w:t>R-sq. (adj.)</w:t>
            </w:r>
          </w:p>
        </w:tc>
        <w:tc>
          <w:tcPr>
            <w:tcW w:w="2409" w:type="dxa"/>
            <w:tcBorders>
              <w:top w:val="single" w:sz="4" w:space="0" w:color="000000"/>
              <w:bottom w:val="single" w:sz="4" w:space="0" w:color="000000"/>
            </w:tcBorders>
            <w:shd w:val="clear" w:color="auto" w:fill="auto"/>
            <w:vAlign w:val="center"/>
          </w:tcPr>
          <w:p w14:paraId="6F299AD6" w14:textId="77777777" w:rsidR="00C76A8E" w:rsidRPr="00C76A8E" w:rsidRDefault="00C76A8E" w:rsidP="00C76A8E">
            <w:pPr>
              <w:widowControl w:val="0"/>
              <w:spacing w:after="0" w:line="240" w:lineRule="auto"/>
              <w:jc w:val="center"/>
              <w:rPr>
                <w:rFonts w:ascii="Times New Roman" w:eastAsia="Times New Roman" w:hAnsi="Times New Roman" w:cs="Times New Roman"/>
                <w:b/>
                <w:bCs/>
                <w:color w:val="000000"/>
                <w:lang w:eastAsia="en-CA"/>
              </w:rPr>
            </w:pPr>
            <w:r w:rsidRPr="00C76A8E">
              <w:rPr>
                <w:rFonts w:ascii="Times New Roman" w:hAnsi="Times New Roman" w:cs="Times New Roman"/>
                <w:b/>
                <w:bCs/>
              </w:rPr>
              <w:t>Deviance explained</w:t>
            </w:r>
          </w:p>
        </w:tc>
      </w:tr>
      <w:tr w:rsidR="00C76A8E" w:rsidRPr="00C76A8E" w14:paraId="364F5079" w14:textId="77777777" w:rsidTr="002944C2">
        <w:trPr>
          <w:trHeight w:val="288"/>
        </w:trPr>
        <w:tc>
          <w:tcPr>
            <w:tcW w:w="961" w:type="dxa"/>
            <w:tcBorders>
              <w:top w:val="single" w:sz="4" w:space="0" w:color="000000"/>
            </w:tcBorders>
            <w:shd w:val="clear" w:color="auto" w:fill="auto"/>
          </w:tcPr>
          <w:p w14:paraId="0CDA2A77" w14:textId="77777777" w:rsidR="00C76A8E" w:rsidRPr="00C76A8E" w:rsidRDefault="00C76A8E" w:rsidP="00C76A8E">
            <w:pPr>
              <w:widowControl w:val="0"/>
              <w:spacing w:after="0" w:line="276" w:lineRule="auto"/>
              <w:jc w:val="center"/>
              <w:rPr>
                <w:rFonts w:ascii="Times New Roman" w:eastAsia="Times New Roman" w:hAnsi="Times New Roman" w:cs="Times New Roman"/>
                <w:b/>
                <w:bCs/>
                <w:color w:val="000000"/>
                <w:lang w:eastAsia="en-CA"/>
              </w:rPr>
            </w:pPr>
            <w:r w:rsidRPr="00C76A8E">
              <w:rPr>
                <w:rFonts w:ascii="Times New Roman" w:hAnsi="Times New Roman" w:cs="Times New Roman"/>
                <w:b/>
                <w:bCs/>
              </w:rPr>
              <w:t>2014</w:t>
            </w:r>
          </w:p>
        </w:tc>
        <w:tc>
          <w:tcPr>
            <w:tcW w:w="959" w:type="dxa"/>
            <w:tcBorders>
              <w:top w:val="single" w:sz="4" w:space="0" w:color="000000"/>
            </w:tcBorders>
            <w:shd w:val="clear" w:color="auto" w:fill="auto"/>
          </w:tcPr>
          <w:p w14:paraId="289BC324"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25.31</w:t>
            </w:r>
          </w:p>
        </w:tc>
        <w:tc>
          <w:tcPr>
            <w:tcW w:w="960" w:type="dxa"/>
            <w:tcBorders>
              <w:top w:val="single" w:sz="4" w:space="0" w:color="000000"/>
            </w:tcBorders>
            <w:shd w:val="clear" w:color="auto" w:fill="auto"/>
          </w:tcPr>
          <w:p w14:paraId="7A9A007C"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31.03</w:t>
            </w:r>
          </w:p>
        </w:tc>
        <w:tc>
          <w:tcPr>
            <w:tcW w:w="948" w:type="dxa"/>
            <w:tcBorders>
              <w:top w:val="single" w:sz="4" w:space="0" w:color="000000"/>
            </w:tcBorders>
            <w:shd w:val="clear" w:color="auto" w:fill="auto"/>
          </w:tcPr>
          <w:p w14:paraId="01118F09"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31.05</w:t>
            </w:r>
          </w:p>
        </w:tc>
        <w:tc>
          <w:tcPr>
            <w:tcW w:w="972" w:type="dxa"/>
            <w:tcBorders>
              <w:top w:val="single" w:sz="4" w:space="0" w:color="000000"/>
            </w:tcBorders>
            <w:shd w:val="clear" w:color="auto" w:fill="auto"/>
          </w:tcPr>
          <w:p w14:paraId="19A8F4A9"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&lt;0.001</w:t>
            </w:r>
          </w:p>
        </w:tc>
        <w:tc>
          <w:tcPr>
            <w:tcW w:w="1863" w:type="dxa"/>
            <w:gridSpan w:val="2"/>
            <w:tcBorders>
              <w:top w:val="single" w:sz="4" w:space="0" w:color="000000"/>
            </w:tcBorders>
            <w:shd w:val="clear" w:color="auto" w:fill="auto"/>
          </w:tcPr>
          <w:p w14:paraId="01BEA734"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0.919</w:t>
            </w:r>
          </w:p>
        </w:tc>
        <w:tc>
          <w:tcPr>
            <w:tcW w:w="2409" w:type="dxa"/>
            <w:tcBorders>
              <w:top w:val="single" w:sz="4" w:space="0" w:color="000000"/>
            </w:tcBorders>
            <w:shd w:val="clear" w:color="auto" w:fill="auto"/>
          </w:tcPr>
          <w:p w14:paraId="0A213087"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94.3</w:t>
            </w:r>
          </w:p>
        </w:tc>
      </w:tr>
      <w:tr w:rsidR="00C76A8E" w:rsidRPr="00C76A8E" w14:paraId="06B520C7" w14:textId="77777777" w:rsidTr="002944C2">
        <w:trPr>
          <w:trHeight w:val="288"/>
        </w:trPr>
        <w:tc>
          <w:tcPr>
            <w:tcW w:w="961" w:type="dxa"/>
            <w:shd w:val="clear" w:color="auto" w:fill="auto"/>
          </w:tcPr>
          <w:p w14:paraId="1BCF053C" w14:textId="77777777" w:rsidR="00C76A8E" w:rsidRPr="00C76A8E" w:rsidRDefault="00C76A8E" w:rsidP="00C76A8E">
            <w:pPr>
              <w:widowControl w:val="0"/>
              <w:spacing w:after="0" w:line="276" w:lineRule="auto"/>
              <w:jc w:val="center"/>
              <w:rPr>
                <w:rFonts w:ascii="Times New Roman" w:eastAsia="Times New Roman" w:hAnsi="Times New Roman" w:cs="Times New Roman"/>
                <w:b/>
                <w:bCs/>
                <w:color w:val="000000"/>
                <w:lang w:eastAsia="en-CA"/>
              </w:rPr>
            </w:pPr>
            <w:r w:rsidRPr="00C76A8E">
              <w:rPr>
                <w:rFonts w:ascii="Times New Roman" w:hAnsi="Times New Roman" w:cs="Times New Roman"/>
                <w:b/>
                <w:bCs/>
              </w:rPr>
              <w:t>2015</w:t>
            </w:r>
          </w:p>
        </w:tc>
        <w:tc>
          <w:tcPr>
            <w:tcW w:w="959" w:type="dxa"/>
            <w:shd w:val="clear" w:color="auto" w:fill="auto"/>
          </w:tcPr>
          <w:p w14:paraId="7008821F"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47.57</w:t>
            </w:r>
          </w:p>
        </w:tc>
        <w:tc>
          <w:tcPr>
            <w:tcW w:w="960" w:type="dxa"/>
            <w:shd w:val="clear" w:color="auto" w:fill="auto"/>
          </w:tcPr>
          <w:p w14:paraId="1174C95D"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57.56</w:t>
            </w:r>
          </w:p>
        </w:tc>
        <w:tc>
          <w:tcPr>
            <w:tcW w:w="948" w:type="dxa"/>
            <w:shd w:val="clear" w:color="auto" w:fill="auto"/>
          </w:tcPr>
          <w:p w14:paraId="485DB00E"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31.90</w:t>
            </w:r>
          </w:p>
        </w:tc>
        <w:tc>
          <w:tcPr>
            <w:tcW w:w="972" w:type="dxa"/>
            <w:shd w:val="clear" w:color="auto" w:fill="auto"/>
          </w:tcPr>
          <w:p w14:paraId="4D37D690"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&lt;0.001</w:t>
            </w:r>
          </w:p>
        </w:tc>
        <w:tc>
          <w:tcPr>
            <w:tcW w:w="1863" w:type="dxa"/>
            <w:gridSpan w:val="2"/>
            <w:shd w:val="clear" w:color="auto" w:fill="auto"/>
          </w:tcPr>
          <w:p w14:paraId="722F251B"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0.937</w:t>
            </w:r>
          </w:p>
        </w:tc>
        <w:tc>
          <w:tcPr>
            <w:tcW w:w="2409" w:type="dxa"/>
            <w:shd w:val="clear" w:color="auto" w:fill="auto"/>
          </w:tcPr>
          <w:p w14:paraId="15AF7200"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96.1</w:t>
            </w:r>
          </w:p>
        </w:tc>
      </w:tr>
      <w:tr w:rsidR="00C76A8E" w:rsidRPr="00C76A8E" w14:paraId="62E249EC" w14:textId="77777777" w:rsidTr="002944C2">
        <w:trPr>
          <w:trHeight w:val="288"/>
        </w:trPr>
        <w:tc>
          <w:tcPr>
            <w:tcW w:w="961" w:type="dxa"/>
            <w:shd w:val="clear" w:color="auto" w:fill="auto"/>
          </w:tcPr>
          <w:p w14:paraId="6DB71D4D" w14:textId="77777777" w:rsidR="00C76A8E" w:rsidRPr="00C76A8E" w:rsidRDefault="00C76A8E" w:rsidP="00C76A8E">
            <w:pPr>
              <w:widowControl w:val="0"/>
              <w:spacing w:after="0" w:line="276" w:lineRule="auto"/>
              <w:jc w:val="center"/>
              <w:rPr>
                <w:rFonts w:ascii="Times New Roman" w:eastAsia="Times New Roman" w:hAnsi="Times New Roman" w:cs="Times New Roman"/>
                <w:b/>
                <w:bCs/>
                <w:color w:val="000000"/>
                <w:lang w:eastAsia="en-CA"/>
              </w:rPr>
            </w:pPr>
            <w:r w:rsidRPr="00C76A8E">
              <w:rPr>
                <w:rFonts w:ascii="Times New Roman" w:hAnsi="Times New Roman" w:cs="Times New Roman"/>
                <w:b/>
                <w:bCs/>
              </w:rPr>
              <w:t>2016</w:t>
            </w:r>
          </w:p>
        </w:tc>
        <w:tc>
          <w:tcPr>
            <w:tcW w:w="959" w:type="dxa"/>
            <w:shd w:val="clear" w:color="auto" w:fill="auto"/>
          </w:tcPr>
          <w:p w14:paraId="24EBF6DB"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46.37</w:t>
            </w:r>
          </w:p>
        </w:tc>
        <w:tc>
          <w:tcPr>
            <w:tcW w:w="960" w:type="dxa"/>
            <w:shd w:val="clear" w:color="auto" w:fill="auto"/>
          </w:tcPr>
          <w:p w14:paraId="0B69E7FC"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56.26</w:t>
            </w:r>
          </w:p>
        </w:tc>
        <w:tc>
          <w:tcPr>
            <w:tcW w:w="948" w:type="dxa"/>
            <w:shd w:val="clear" w:color="auto" w:fill="auto"/>
          </w:tcPr>
          <w:p w14:paraId="78F55967"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94.46</w:t>
            </w:r>
          </w:p>
        </w:tc>
        <w:tc>
          <w:tcPr>
            <w:tcW w:w="972" w:type="dxa"/>
            <w:shd w:val="clear" w:color="auto" w:fill="auto"/>
          </w:tcPr>
          <w:p w14:paraId="7773C0B9"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&lt;0.001</w:t>
            </w:r>
          </w:p>
        </w:tc>
        <w:tc>
          <w:tcPr>
            <w:tcW w:w="1863" w:type="dxa"/>
            <w:gridSpan w:val="2"/>
            <w:shd w:val="clear" w:color="auto" w:fill="auto"/>
          </w:tcPr>
          <w:p w14:paraId="2EB5603C"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0.976</w:t>
            </w:r>
          </w:p>
        </w:tc>
        <w:tc>
          <w:tcPr>
            <w:tcW w:w="2409" w:type="dxa"/>
            <w:shd w:val="clear" w:color="auto" w:fill="auto"/>
          </w:tcPr>
          <w:p w14:paraId="7F39AE57"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98.4</w:t>
            </w:r>
          </w:p>
        </w:tc>
      </w:tr>
      <w:tr w:rsidR="00C76A8E" w:rsidRPr="00C76A8E" w14:paraId="333F1629" w14:textId="77777777" w:rsidTr="002944C2">
        <w:trPr>
          <w:trHeight w:val="288"/>
        </w:trPr>
        <w:tc>
          <w:tcPr>
            <w:tcW w:w="961" w:type="dxa"/>
            <w:shd w:val="clear" w:color="auto" w:fill="auto"/>
          </w:tcPr>
          <w:p w14:paraId="1E3AC890" w14:textId="77777777" w:rsidR="00C76A8E" w:rsidRPr="00C76A8E" w:rsidRDefault="00C76A8E" w:rsidP="00C76A8E">
            <w:pPr>
              <w:widowControl w:val="0"/>
              <w:spacing w:after="0" w:line="276" w:lineRule="auto"/>
              <w:jc w:val="center"/>
              <w:rPr>
                <w:rFonts w:ascii="Times New Roman" w:eastAsia="Times New Roman" w:hAnsi="Times New Roman" w:cs="Times New Roman"/>
                <w:b/>
                <w:bCs/>
                <w:color w:val="000000"/>
                <w:lang w:eastAsia="en-CA"/>
              </w:rPr>
            </w:pPr>
            <w:r w:rsidRPr="00C76A8E">
              <w:rPr>
                <w:rFonts w:ascii="Times New Roman" w:hAnsi="Times New Roman" w:cs="Times New Roman"/>
                <w:b/>
                <w:bCs/>
              </w:rPr>
              <w:t>2017</w:t>
            </w:r>
          </w:p>
        </w:tc>
        <w:tc>
          <w:tcPr>
            <w:tcW w:w="959" w:type="dxa"/>
            <w:shd w:val="clear" w:color="auto" w:fill="auto"/>
          </w:tcPr>
          <w:p w14:paraId="502D1062"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47.31</w:t>
            </w:r>
          </w:p>
        </w:tc>
        <w:tc>
          <w:tcPr>
            <w:tcW w:w="960" w:type="dxa"/>
            <w:shd w:val="clear" w:color="auto" w:fill="auto"/>
          </w:tcPr>
          <w:p w14:paraId="6BDA51CC"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56.18</w:t>
            </w:r>
          </w:p>
        </w:tc>
        <w:tc>
          <w:tcPr>
            <w:tcW w:w="948" w:type="dxa"/>
            <w:shd w:val="clear" w:color="auto" w:fill="auto"/>
          </w:tcPr>
          <w:p w14:paraId="3180E2EA"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148.5</w:t>
            </w:r>
          </w:p>
        </w:tc>
        <w:tc>
          <w:tcPr>
            <w:tcW w:w="972" w:type="dxa"/>
            <w:shd w:val="clear" w:color="auto" w:fill="auto"/>
          </w:tcPr>
          <w:p w14:paraId="388E02C0"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&lt;0.001</w:t>
            </w:r>
          </w:p>
        </w:tc>
        <w:tc>
          <w:tcPr>
            <w:tcW w:w="1863" w:type="dxa"/>
            <w:gridSpan w:val="2"/>
            <w:shd w:val="clear" w:color="auto" w:fill="auto"/>
          </w:tcPr>
          <w:p w14:paraId="3B0C4E20"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0.982</w:t>
            </w:r>
          </w:p>
        </w:tc>
        <w:tc>
          <w:tcPr>
            <w:tcW w:w="2409" w:type="dxa"/>
            <w:shd w:val="clear" w:color="auto" w:fill="auto"/>
          </w:tcPr>
          <w:p w14:paraId="621DFB50"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98.7</w:t>
            </w:r>
          </w:p>
        </w:tc>
      </w:tr>
      <w:tr w:rsidR="00C76A8E" w:rsidRPr="00C76A8E" w14:paraId="09570434" w14:textId="77777777" w:rsidTr="002944C2">
        <w:trPr>
          <w:trHeight w:val="288"/>
        </w:trPr>
        <w:tc>
          <w:tcPr>
            <w:tcW w:w="961" w:type="dxa"/>
            <w:shd w:val="clear" w:color="auto" w:fill="auto"/>
          </w:tcPr>
          <w:p w14:paraId="16420487" w14:textId="77777777" w:rsidR="00C76A8E" w:rsidRPr="00C76A8E" w:rsidRDefault="00C76A8E" w:rsidP="00C76A8E">
            <w:pPr>
              <w:widowControl w:val="0"/>
              <w:spacing w:after="0" w:line="276" w:lineRule="auto"/>
              <w:jc w:val="center"/>
              <w:rPr>
                <w:rFonts w:ascii="Times New Roman" w:eastAsia="Times New Roman" w:hAnsi="Times New Roman" w:cs="Times New Roman"/>
                <w:b/>
                <w:bCs/>
                <w:color w:val="000000"/>
                <w:lang w:eastAsia="en-CA"/>
              </w:rPr>
            </w:pPr>
            <w:r w:rsidRPr="00C76A8E">
              <w:rPr>
                <w:rFonts w:ascii="Times New Roman" w:hAnsi="Times New Roman" w:cs="Times New Roman"/>
                <w:b/>
                <w:bCs/>
              </w:rPr>
              <w:t>2018</w:t>
            </w:r>
          </w:p>
        </w:tc>
        <w:tc>
          <w:tcPr>
            <w:tcW w:w="959" w:type="dxa"/>
            <w:shd w:val="clear" w:color="auto" w:fill="auto"/>
          </w:tcPr>
          <w:p w14:paraId="7DB47C84"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20.23</w:t>
            </w:r>
          </w:p>
        </w:tc>
        <w:tc>
          <w:tcPr>
            <w:tcW w:w="960" w:type="dxa"/>
            <w:shd w:val="clear" w:color="auto" w:fill="auto"/>
          </w:tcPr>
          <w:p w14:paraId="1019CD1E"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25.22</w:t>
            </w:r>
          </w:p>
        </w:tc>
        <w:tc>
          <w:tcPr>
            <w:tcW w:w="948" w:type="dxa"/>
            <w:shd w:val="clear" w:color="auto" w:fill="auto"/>
          </w:tcPr>
          <w:p w14:paraId="48DEA06F"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41.81</w:t>
            </w:r>
          </w:p>
        </w:tc>
        <w:tc>
          <w:tcPr>
            <w:tcW w:w="972" w:type="dxa"/>
            <w:shd w:val="clear" w:color="auto" w:fill="auto"/>
          </w:tcPr>
          <w:p w14:paraId="1FBDA66E"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&lt;0.001</w:t>
            </w:r>
          </w:p>
        </w:tc>
        <w:tc>
          <w:tcPr>
            <w:tcW w:w="1863" w:type="dxa"/>
            <w:gridSpan w:val="2"/>
            <w:shd w:val="clear" w:color="auto" w:fill="auto"/>
          </w:tcPr>
          <w:p w14:paraId="49A69736"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0.893</w:t>
            </w:r>
          </w:p>
        </w:tc>
        <w:tc>
          <w:tcPr>
            <w:tcW w:w="2409" w:type="dxa"/>
            <w:shd w:val="clear" w:color="auto" w:fill="auto"/>
          </w:tcPr>
          <w:p w14:paraId="1703D6E0"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91.0</w:t>
            </w:r>
          </w:p>
        </w:tc>
      </w:tr>
      <w:tr w:rsidR="00C76A8E" w:rsidRPr="00C76A8E" w14:paraId="527DA7E3" w14:textId="77777777" w:rsidTr="002944C2">
        <w:trPr>
          <w:trHeight w:val="288"/>
        </w:trPr>
        <w:tc>
          <w:tcPr>
            <w:tcW w:w="961" w:type="dxa"/>
            <w:shd w:val="clear" w:color="auto" w:fill="auto"/>
          </w:tcPr>
          <w:p w14:paraId="6A48F489" w14:textId="77777777" w:rsidR="00C76A8E" w:rsidRPr="00C76A8E" w:rsidRDefault="00C76A8E" w:rsidP="00C76A8E">
            <w:pPr>
              <w:widowControl w:val="0"/>
              <w:spacing w:after="0" w:line="276" w:lineRule="auto"/>
              <w:jc w:val="center"/>
              <w:rPr>
                <w:rFonts w:ascii="Times New Roman" w:eastAsia="Times New Roman" w:hAnsi="Times New Roman" w:cs="Times New Roman"/>
                <w:b/>
                <w:bCs/>
                <w:color w:val="000000"/>
                <w:lang w:eastAsia="en-CA"/>
              </w:rPr>
            </w:pPr>
            <w:r w:rsidRPr="00C76A8E">
              <w:rPr>
                <w:rFonts w:ascii="Times New Roman" w:hAnsi="Times New Roman" w:cs="Times New Roman"/>
                <w:b/>
                <w:bCs/>
              </w:rPr>
              <w:t>2019</w:t>
            </w:r>
          </w:p>
        </w:tc>
        <w:tc>
          <w:tcPr>
            <w:tcW w:w="959" w:type="dxa"/>
            <w:shd w:val="clear" w:color="auto" w:fill="auto"/>
          </w:tcPr>
          <w:p w14:paraId="0BDA2E13"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17.68</w:t>
            </w:r>
          </w:p>
        </w:tc>
        <w:tc>
          <w:tcPr>
            <w:tcW w:w="960" w:type="dxa"/>
            <w:shd w:val="clear" w:color="auto" w:fill="auto"/>
          </w:tcPr>
          <w:p w14:paraId="4C263D82"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21.81</w:t>
            </w:r>
          </w:p>
        </w:tc>
        <w:tc>
          <w:tcPr>
            <w:tcW w:w="948" w:type="dxa"/>
            <w:shd w:val="clear" w:color="auto" w:fill="auto"/>
          </w:tcPr>
          <w:p w14:paraId="72127D50"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71.36</w:t>
            </w:r>
          </w:p>
        </w:tc>
        <w:tc>
          <w:tcPr>
            <w:tcW w:w="972" w:type="dxa"/>
            <w:shd w:val="clear" w:color="auto" w:fill="auto"/>
          </w:tcPr>
          <w:p w14:paraId="4A5E6524"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&lt;0.001</w:t>
            </w:r>
          </w:p>
        </w:tc>
        <w:tc>
          <w:tcPr>
            <w:tcW w:w="1863" w:type="dxa"/>
            <w:gridSpan w:val="2"/>
            <w:shd w:val="clear" w:color="auto" w:fill="auto"/>
          </w:tcPr>
          <w:p w14:paraId="225AF251"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0.925</w:t>
            </w:r>
          </w:p>
        </w:tc>
        <w:tc>
          <w:tcPr>
            <w:tcW w:w="2409" w:type="dxa"/>
            <w:shd w:val="clear" w:color="auto" w:fill="auto"/>
          </w:tcPr>
          <w:p w14:paraId="160ED7E8"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93.5</w:t>
            </w:r>
          </w:p>
        </w:tc>
      </w:tr>
      <w:tr w:rsidR="00C76A8E" w:rsidRPr="00C76A8E" w14:paraId="1C9EE36C" w14:textId="77777777" w:rsidTr="002944C2">
        <w:trPr>
          <w:trHeight w:val="288"/>
        </w:trPr>
        <w:tc>
          <w:tcPr>
            <w:tcW w:w="961" w:type="dxa"/>
            <w:tcBorders>
              <w:bottom w:val="single" w:sz="4" w:space="0" w:color="000000"/>
            </w:tcBorders>
            <w:shd w:val="clear" w:color="auto" w:fill="auto"/>
          </w:tcPr>
          <w:p w14:paraId="399E89AE" w14:textId="77777777" w:rsidR="00C76A8E" w:rsidRPr="00C76A8E" w:rsidRDefault="00C76A8E" w:rsidP="00C76A8E">
            <w:pPr>
              <w:widowControl w:val="0"/>
              <w:spacing w:after="0" w:line="276" w:lineRule="auto"/>
              <w:jc w:val="center"/>
              <w:rPr>
                <w:rFonts w:ascii="Times New Roman" w:eastAsia="Times New Roman" w:hAnsi="Times New Roman" w:cs="Times New Roman"/>
                <w:b/>
                <w:bCs/>
                <w:color w:val="000000"/>
                <w:lang w:eastAsia="en-CA"/>
              </w:rPr>
            </w:pPr>
            <w:r w:rsidRPr="00C76A8E">
              <w:rPr>
                <w:rFonts w:ascii="Times New Roman" w:hAnsi="Times New Roman" w:cs="Times New Roman"/>
                <w:b/>
                <w:bCs/>
              </w:rPr>
              <w:t>2020</w:t>
            </w:r>
          </w:p>
        </w:tc>
        <w:tc>
          <w:tcPr>
            <w:tcW w:w="959" w:type="dxa"/>
            <w:tcBorders>
              <w:bottom w:val="single" w:sz="4" w:space="0" w:color="000000"/>
            </w:tcBorders>
            <w:shd w:val="clear" w:color="auto" w:fill="auto"/>
          </w:tcPr>
          <w:p w14:paraId="1214A65D"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23.50</w:t>
            </w:r>
          </w:p>
        </w:tc>
        <w:tc>
          <w:tcPr>
            <w:tcW w:w="960" w:type="dxa"/>
            <w:tcBorders>
              <w:bottom w:val="single" w:sz="4" w:space="0" w:color="000000"/>
            </w:tcBorders>
            <w:shd w:val="clear" w:color="auto" w:fill="auto"/>
          </w:tcPr>
          <w:p w14:paraId="3D3F0292"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28.73</w:t>
            </w:r>
          </w:p>
        </w:tc>
        <w:tc>
          <w:tcPr>
            <w:tcW w:w="948" w:type="dxa"/>
            <w:tcBorders>
              <w:bottom w:val="single" w:sz="4" w:space="0" w:color="000000"/>
            </w:tcBorders>
            <w:shd w:val="clear" w:color="auto" w:fill="auto"/>
          </w:tcPr>
          <w:p w14:paraId="35526B23"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42.60</w:t>
            </w:r>
          </w:p>
        </w:tc>
        <w:tc>
          <w:tcPr>
            <w:tcW w:w="972" w:type="dxa"/>
            <w:tcBorders>
              <w:bottom w:val="single" w:sz="4" w:space="0" w:color="000000"/>
            </w:tcBorders>
            <w:shd w:val="clear" w:color="auto" w:fill="auto"/>
          </w:tcPr>
          <w:p w14:paraId="35E4FE39"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&lt;0.001</w:t>
            </w:r>
          </w:p>
        </w:tc>
        <w:tc>
          <w:tcPr>
            <w:tcW w:w="1863" w:type="dxa"/>
            <w:gridSpan w:val="2"/>
            <w:tcBorders>
              <w:bottom w:val="single" w:sz="4" w:space="0" w:color="000000"/>
            </w:tcBorders>
            <w:shd w:val="clear" w:color="auto" w:fill="auto"/>
          </w:tcPr>
          <w:p w14:paraId="2CF9A8C0"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0.916</w:t>
            </w:r>
          </w:p>
        </w:tc>
        <w:tc>
          <w:tcPr>
            <w:tcW w:w="2409" w:type="dxa"/>
            <w:tcBorders>
              <w:bottom w:val="single" w:sz="4" w:space="0" w:color="000000"/>
            </w:tcBorders>
            <w:shd w:val="clear" w:color="auto" w:fill="auto"/>
          </w:tcPr>
          <w:p w14:paraId="00CB91A4" w14:textId="77777777" w:rsidR="00C76A8E" w:rsidRPr="00C76A8E" w:rsidRDefault="00C76A8E" w:rsidP="00C76A8E">
            <w:pPr>
              <w:widowControl w:val="0"/>
              <w:spacing w:after="0" w:line="276" w:lineRule="auto"/>
              <w:jc w:val="center"/>
              <w:rPr>
                <w:rFonts w:ascii="Times New Roman" w:eastAsia="Times New Roman" w:hAnsi="Times New Roman" w:cs="Times New Roman"/>
                <w:color w:val="000000"/>
                <w:lang w:eastAsia="en-CA"/>
              </w:rPr>
            </w:pPr>
            <w:r w:rsidRPr="00C76A8E">
              <w:rPr>
                <w:rFonts w:ascii="Times New Roman" w:hAnsi="Times New Roman" w:cs="Times New Roman"/>
              </w:rPr>
              <w:t>93.4</w:t>
            </w:r>
          </w:p>
        </w:tc>
      </w:tr>
    </w:tbl>
    <w:p w14:paraId="29426909" w14:textId="77777777" w:rsidR="00C52D98" w:rsidRDefault="00C52D98" w:rsidP="00C52D98"/>
    <w:p w14:paraId="73C4497F" w14:textId="77777777" w:rsidR="00C52D98" w:rsidRDefault="00C52D98" w:rsidP="00C52D98">
      <w:pPr>
        <w:keepNext/>
      </w:pPr>
      <w:r>
        <w:rPr>
          <w:noProof/>
        </w:rPr>
        <w:drawing>
          <wp:inline distT="0" distB="0" distL="0" distR="0" wp14:anchorId="7D046DFA" wp14:editId="2DFC0037">
            <wp:extent cx="6571615" cy="4181475"/>
            <wp:effectExtent l="0" t="0" r="0" b="0"/>
            <wp:docPr id="8"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Graphical user interface&#10;&#10;Description automatically generated"/>
                    <pic:cNvPicPr>
                      <a:picLocks noChangeAspect="1" noChangeArrowheads="1"/>
                    </pic:cNvPicPr>
                  </pic:nvPicPr>
                  <pic:blipFill>
                    <a:blip r:embed="rId5"/>
                    <a:stretch>
                      <a:fillRect/>
                    </a:stretch>
                  </pic:blipFill>
                  <pic:spPr bwMode="auto">
                    <a:xfrm>
                      <a:off x="0" y="0"/>
                      <a:ext cx="6571615" cy="4181475"/>
                    </a:xfrm>
                    <a:prstGeom prst="rect">
                      <a:avLst/>
                    </a:prstGeom>
                  </pic:spPr>
                </pic:pic>
              </a:graphicData>
            </a:graphic>
          </wp:inline>
        </w:drawing>
      </w:r>
    </w:p>
    <w:p w14:paraId="174B301E" w14:textId="275C1D1D" w:rsidR="00C52D98" w:rsidRDefault="00C52D98" w:rsidP="00AF6A6A">
      <w:pPr>
        <w:pStyle w:val="Caption"/>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Figure S</w:t>
      </w:r>
      <w:r w:rsidRPr="00C52D98">
        <w:rPr>
          <w:rFonts w:ascii="Times New Roman" w:hAnsi="Times New Roman" w:cs="Times New Roman"/>
          <w:i w:val="0"/>
          <w:iCs w:val="0"/>
          <w:color w:val="auto"/>
          <w:sz w:val="24"/>
          <w:szCs w:val="24"/>
        </w:rPr>
        <w:t xml:space="preserve">2. Partial effects plots of smooth terms from generalized additive models fitted to phycocyanin (RFU) over time (day of year [DOY]) for A) 2014, B) 2015, C) 2016, D) 2017, E) 2018, F) 2019, and G) 2020. Partial residuals are shown as blue points and the shaded ribbon around the trend line represents 95% CI. </w:t>
      </w:r>
    </w:p>
    <w:p w14:paraId="13D5ADE4" w14:textId="38459620" w:rsidR="003F146A" w:rsidRDefault="003F146A" w:rsidP="003F146A">
      <w:r w:rsidRPr="000C583E">
        <w:rPr>
          <w:rFonts w:ascii="Times New Roman" w:hAnsi="Times New Roman" w:cs="Times New Roman"/>
          <w:noProof/>
          <w:sz w:val="24"/>
          <w:szCs w:val="24"/>
        </w:rPr>
        <w:lastRenderedPageBreak/>
        <w:drawing>
          <wp:inline distT="0" distB="0" distL="0" distR="0" wp14:anchorId="571816EE" wp14:editId="123938D2">
            <wp:extent cx="5943600" cy="16795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943600" cy="1679575"/>
                    </a:xfrm>
                    <a:prstGeom prst="rect">
                      <a:avLst/>
                    </a:prstGeom>
                  </pic:spPr>
                </pic:pic>
              </a:graphicData>
            </a:graphic>
          </wp:inline>
        </w:drawing>
      </w:r>
    </w:p>
    <w:p w14:paraId="5A7B77DB" w14:textId="0929CC3F" w:rsidR="00EB4420" w:rsidRPr="008F44C8" w:rsidRDefault="00EB4420" w:rsidP="00EB4420">
      <w:pPr>
        <w:pStyle w:val="Caption"/>
        <w:spacing w:line="360" w:lineRule="auto"/>
        <w:rPr>
          <w:rFonts w:ascii="Times New Roman" w:hAnsi="Times New Roman" w:cs="Times New Roman"/>
          <w:i w:val="0"/>
          <w:iCs w:val="0"/>
          <w:color w:val="auto"/>
          <w:sz w:val="24"/>
          <w:szCs w:val="24"/>
        </w:rPr>
      </w:pPr>
      <w:r w:rsidRPr="00EB4420">
        <w:rPr>
          <w:rFonts w:ascii="Times New Roman" w:hAnsi="Times New Roman" w:cs="Times New Roman"/>
          <w:i w:val="0"/>
          <w:iCs w:val="0"/>
          <w:color w:val="auto"/>
          <w:sz w:val="24"/>
          <w:szCs w:val="24"/>
        </w:rPr>
        <w:t xml:space="preserve">Figure </w:t>
      </w:r>
      <w:r w:rsidRPr="00EB4420">
        <w:rPr>
          <w:rFonts w:ascii="Times New Roman" w:hAnsi="Times New Roman" w:cs="Times New Roman"/>
          <w:i w:val="0"/>
          <w:iCs w:val="0"/>
          <w:color w:val="auto"/>
          <w:sz w:val="24"/>
          <w:szCs w:val="24"/>
        </w:rPr>
        <w:t>S</w:t>
      </w:r>
      <w:r w:rsidRPr="00EB4420">
        <w:rPr>
          <w:rFonts w:ascii="Times New Roman" w:hAnsi="Times New Roman" w:cs="Times New Roman"/>
          <w:i w:val="0"/>
          <w:iCs w:val="0"/>
          <w:color w:val="auto"/>
          <w:sz w:val="24"/>
          <w:szCs w:val="24"/>
        </w:rPr>
        <w:t>3</w:t>
      </w:r>
      <w:r>
        <w:rPr>
          <w:rFonts w:ascii="Times New Roman" w:hAnsi="Times New Roman" w:cs="Times New Roman"/>
          <w:b/>
          <w:bCs/>
          <w:i w:val="0"/>
          <w:iCs w:val="0"/>
          <w:color w:val="auto"/>
          <w:sz w:val="24"/>
          <w:szCs w:val="24"/>
        </w:rPr>
        <w:t>.</w:t>
      </w:r>
      <w:r>
        <w:rPr>
          <w:rFonts w:ascii="Times New Roman" w:hAnsi="Times New Roman" w:cs="Times New Roman"/>
          <w:i w:val="0"/>
          <w:iCs w:val="0"/>
          <w:color w:val="auto"/>
          <w:sz w:val="24"/>
          <w:szCs w:val="24"/>
        </w:rPr>
        <w:t xml:space="preserve"> </w:t>
      </w:r>
      <w:r w:rsidRPr="00C76A8E">
        <w:rPr>
          <w:rFonts w:ascii="Times New Roman" w:hAnsi="Times New Roman" w:cs="Times New Roman"/>
          <w:i w:val="0"/>
          <w:iCs w:val="0"/>
          <w:color w:val="auto"/>
          <w:sz w:val="24"/>
          <w:szCs w:val="24"/>
        </w:rPr>
        <w:t>Heatmap showing daily phycocyanin (RFU) levels over the study years</w:t>
      </w:r>
      <w:r>
        <w:rPr>
          <w:rFonts w:ascii="Times New Roman" w:hAnsi="Times New Roman" w:cs="Times New Roman"/>
          <w:i w:val="0"/>
          <w:iCs w:val="0"/>
          <w:color w:val="auto"/>
          <w:sz w:val="24"/>
          <w:szCs w:val="24"/>
        </w:rPr>
        <w:t xml:space="preserve"> (2014 to 2020)</w:t>
      </w:r>
      <w:r w:rsidRPr="00C76A8E">
        <w:rPr>
          <w:rFonts w:ascii="Times New Roman" w:hAnsi="Times New Roman" w:cs="Times New Roman"/>
          <w:i w:val="0"/>
          <w:iCs w:val="0"/>
          <w:color w:val="auto"/>
          <w:sz w:val="24"/>
          <w:szCs w:val="24"/>
        </w:rPr>
        <w:t xml:space="preserve"> in Buffalo Pound Lake. Phycocyanin increases from dark (e.g., black: 0-1 RFU) to light colours (light yellow: &gt;30 RFU). Blank areas indicate no data was collected.</w:t>
      </w:r>
    </w:p>
    <w:p w14:paraId="609D1F31" w14:textId="6D164362" w:rsidR="003F146A" w:rsidRPr="003F146A" w:rsidRDefault="003F146A" w:rsidP="003F146A"/>
    <w:p w14:paraId="3A81B003" w14:textId="77777777" w:rsidR="00C52D98" w:rsidRDefault="00C52D98" w:rsidP="00C52D98">
      <w:pPr>
        <w:keepNext/>
      </w:pPr>
      <w:r>
        <w:rPr>
          <w:noProof/>
        </w:rPr>
        <w:drawing>
          <wp:inline distT="0" distB="0" distL="0" distR="0" wp14:anchorId="37A10324" wp14:editId="370248A8">
            <wp:extent cx="5943600" cy="3962400"/>
            <wp:effectExtent l="0" t="0" r="0" b="0"/>
            <wp:docPr id="9"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Chart, histogram&#10;&#10;Description automatically generated"/>
                    <pic:cNvPicPr>
                      <a:picLocks noChangeAspect="1" noChangeArrowheads="1"/>
                    </pic:cNvPicPr>
                  </pic:nvPicPr>
                  <pic:blipFill>
                    <a:blip r:embed="rId7"/>
                    <a:stretch>
                      <a:fillRect/>
                    </a:stretch>
                  </pic:blipFill>
                  <pic:spPr bwMode="auto">
                    <a:xfrm>
                      <a:off x="0" y="0"/>
                      <a:ext cx="5943600" cy="3962400"/>
                    </a:xfrm>
                    <a:prstGeom prst="rect">
                      <a:avLst/>
                    </a:prstGeom>
                  </pic:spPr>
                </pic:pic>
              </a:graphicData>
            </a:graphic>
          </wp:inline>
        </w:drawing>
      </w:r>
    </w:p>
    <w:p w14:paraId="1C4A3703" w14:textId="43D623D7" w:rsidR="00C52D98" w:rsidRPr="00C52D98" w:rsidRDefault="00C52D98" w:rsidP="00C52D98">
      <w:pPr>
        <w:pStyle w:val="Caption"/>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 xml:space="preserve">Figure </w:t>
      </w:r>
      <w:r w:rsidRPr="00EB4420">
        <w:rPr>
          <w:rFonts w:ascii="Times New Roman" w:hAnsi="Times New Roman" w:cs="Times New Roman"/>
          <w:i w:val="0"/>
          <w:iCs w:val="0"/>
          <w:color w:val="auto"/>
          <w:sz w:val="24"/>
          <w:szCs w:val="24"/>
        </w:rPr>
        <w:t>S</w:t>
      </w:r>
      <w:r w:rsidR="00EB4420">
        <w:rPr>
          <w:rFonts w:ascii="Times New Roman" w:hAnsi="Times New Roman" w:cs="Times New Roman"/>
          <w:i w:val="0"/>
          <w:iCs w:val="0"/>
          <w:color w:val="auto"/>
          <w:sz w:val="24"/>
          <w:szCs w:val="24"/>
        </w:rPr>
        <w:t>4</w:t>
      </w:r>
      <w:r w:rsidRPr="00C52D98">
        <w:rPr>
          <w:rFonts w:ascii="Times New Roman" w:hAnsi="Times New Roman" w:cs="Times New Roman"/>
          <w:i w:val="0"/>
          <w:iCs w:val="0"/>
          <w:color w:val="auto"/>
          <w:sz w:val="24"/>
          <w:szCs w:val="24"/>
        </w:rPr>
        <w:t>. Scree plot of percentage of variance explained by each principal component (dimension) from principal components analysis of daily environmental variables</w:t>
      </w:r>
      <w:r w:rsidR="00AF6A6A">
        <w:rPr>
          <w:rFonts w:ascii="Times New Roman" w:hAnsi="Times New Roman" w:cs="Times New Roman"/>
          <w:i w:val="0"/>
          <w:iCs w:val="0"/>
          <w:color w:val="auto"/>
          <w:sz w:val="24"/>
          <w:szCs w:val="24"/>
        </w:rPr>
        <w:t xml:space="preserve"> (Table 2 in main article)</w:t>
      </w:r>
      <w:r w:rsidRPr="00C52D98">
        <w:rPr>
          <w:rFonts w:ascii="Times New Roman" w:hAnsi="Times New Roman" w:cs="Times New Roman"/>
          <w:i w:val="0"/>
          <w:iCs w:val="0"/>
          <w:color w:val="auto"/>
          <w:sz w:val="24"/>
          <w:szCs w:val="24"/>
        </w:rPr>
        <w:t xml:space="preserve">. </w:t>
      </w:r>
    </w:p>
    <w:p w14:paraId="662D3259" w14:textId="77777777" w:rsidR="00C52D98" w:rsidRDefault="00C52D98" w:rsidP="00C52D98"/>
    <w:p w14:paraId="78B994FB" w14:textId="763CE9DA" w:rsidR="00C52D98" w:rsidRDefault="00C52D98">
      <w:pPr>
        <w:rPr>
          <w:rFonts w:ascii="Times New Roman" w:hAnsi="Times New Roman" w:cs="Times New Roman"/>
        </w:rPr>
      </w:pPr>
    </w:p>
    <w:p w14:paraId="19E43F77" w14:textId="0310ACAA" w:rsidR="00896D00" w:rsidRPr="00140BA2" w:rsidRDefault="00896D00">
      <w:pPr>
        <w:rPr>
          <w:rFonts w:ascii="Times New Roman" w:hAnsi="Times New Roman" w:cs="Times New Roman"/>
          <w:b/>
          <w:bCs/>
          <w:sz w:val="24"/>
          <w:szCs w:val="24"/>
        </w:rPr>
      </w:pPr>
      <w:r w:rsidRPr="00140BA2">
        <w:rPr>
          <w:rFonts w:ascii="Times New Roman" w:hAnsi="Times New Roman" w:cs="Times New Roman"/>
          <w:b/>
          <w:bCs/>
          <w:sz w:val="24"/>
          <w:szCs w:val="24"/>
        </w:rPr>
        <w:lastRenderedPageBreak/>
        <w:t>REFERENCES</w:t>
      </w:r>
    </w:p>
    <w:p w14:paraId="7875DDFA" w14:textId="60D6CCB4" w:rsidR="00896D00" w:rsidRDefault="00896D00" w:rsidP="00896D00">
      <w:pPr>
        <w:rPr>
          <w:rFonts w:ascii="Times New Roman" w:hAnsi="Times New Roman" w:cs="Times New Roman"/>
          <w:color w:val="222222"/>
          <w:sz w:val="24"/>
          <w:szCs w:val="24"/>
          <w:shd w:val="clear" w:color="auto" w:fill="FFFFFF"/>
        </w:rPr>
      </w:pPr>
      <w:r w:rsidRPr="00896D00">
        <w:rPr>
          <w:rFonts w:ascii="Times New Roman" w:hAnsi="Times New Roman" w:cs="Times New Roman"/>
          <w:color w:val="222222"/>
          <w:sz w:val="24"/>
          <w:szCs w:val="24"/>
          <w:shd w:val="clear" w:color="auto" w:fill="FFFFFF"/>
        </w:rPr>
        <w:t xml:space="preserve">Environment and Climate Change Canada (2022) Historical </w:t>
      </w:r>
      <w:r>
        <w:rPr>
          <w:rFonts w:ascii="Times New Roman" w:hAnsi="Times New Roman" w:cs="Times New Roman"/>
          <w:color w:val="222222"/>
          <w:sz w:val="24"/>
          <w:szCs w:val="24"/>
          <w:shd w:val="clear" w:color="auto" w:fill="FFFFFF"/>
        </w:rPr>
        <w:t>H</w:t>
      </w:r>
      <w:r w:rsidRPr="00896D00">
        <w:rPr>
          <w:rFonts w:ascii="Times New Roman" w:hAnsi="Times New Roman" w:cs="Times New Roman"/>
          <w:color w:val="222222"/>
          <w:sz w:val="24"/>
          <w:szCs w:val="24"/>
          <w:shd w:val="clear" w:color="auto" w:fill="FFFFFF"/>
        </w:rPr>
        <w:t>ydrometric Data</w:t>
      </w:r>
      <w:r>
        <w:rPr>
          <w:rFonts w:ascii="Times New Roman" w:hAnsi="Times New Roman" w:cs="Times New Roman"/>
          <w:color w:val="222222"/>
          <w:sz w:val="24"/>
          <w:szCs w:val="24"/>
          <w:shd w:val="clear" w:color="auto" w:fill="FFFFFF"/>
        </w:rPr>
        <w:t xml:space="preserve"> for </w:t>
      </w:r>
      <w:r w:rsidRPr="00896D00">
        <w:rPr>
          <w:rFonts w:ascii="Times New Roman" w:hAnsi="Times New Roman" w:cs="Times New Roman"/>
          <w:color w:val="222222"/>
          <w:sz w:val="24"/>
          <w:szCs w:val="24"/>
          <w:shd w:val="clear" w:color="auto" w:fill="FFFFFF"/>
        </w:rPr>
        <w:t xml:space="preserve">Elbow Diversion Canal at Drop Structure (05JG006). </w:t>
      </w:r>
      <w:r>
        <w:rPr>
          <w:rFonts w:ascii="Times New Roman" w:hAnsi="Times New Roman" w:cs="Times New Roman"/>
          <w:color w:val="222222"/>
          <w:sz w:val="24"/>
          <w:szCs w:val="24"/>
          <w:shd w:val="clear" w:color="auto" w:fill="FFFFFF"/>
        </w:rPr>
        <w:t xml:space="preserve">Available online: </w:t>
      </w:r>
      <w:hyperlink r:id="rId8" w:history="1">
        <w:r w:rsidRPr="0025338D">
          <w:rPr>
            <w:rStyle w:val="Hyperlink"/>
            <w:rFonts w:ascii="Times New Roman" w:hAnsi="Times New Roman" w:cs="Times New Roman"/>
            <w:sz w:val="24"/>
            <w:szCs w:val="24"/>
            <w:shd w:val="clear" w:color="auto" w:fill="FFFFFF"/>
          </w:rPr>
          <w:t>https://wateroffice.ec.gc.ca/search/historical_e.html</w:t>
        </w:r>
      </w:hyperlink>
    </w:p>
    <w:p w14:paraId="6485F61F" w14:textId="77777777" w:rsidR="00896D00" w:rsidRPr="00896D00" w:rsidRDefault="00896D00" w:rsidP="00896D00">
      <w:pPr>
        <w:rPr>
          <w:rFonts w:ascii="Times New Roman" w:hAnsi="Times New Roman" w:cs="Times New Roman"/>
          <w:color w:val="222222"/>
          <w:sz w:val="24"/>
          <w:szCs w:val="24"/>
          <w:shd w:val="clear" w:color="auto" w:fill="FFFFFF"/>
        </w:rPr>
      </w:pPr>
    </w:p>
    <w:p w14:paraId="31BC9FA5" w14:textId="77777777" w:rsidR="00896D00" w:rsidRPr="00C52D98" w:rsidRDefault="00896D00">
      <w:pPr>
        <w:rPr>
          <w:rFonts w:ascii="Times New Roman" w:hAnsi="Times New Roman" w:cs="Times New Roman"/>
        </w:rPr>
      </w:pPr>
    </w:p>
    <w:sectPr w:rsidR="00896D00" w:rsidRPr="00C52D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D98"/>
    <w:rsid w:val="00140BA2"/>
    <w:rsid w:val="00221E77"/>
    <w:rsid w:val="002F618B"/>
    <w:rsid w:val="003F146A"/>
    <w:rsid w:val="005A342D"/>
    <w:rsid w:val="00733EDF"/>
    <w:rsid w:val="00792DE8"/>
    <w:rsid w:val="007D16DA"/>
    <w:rsid w:val="00800DC9"/>
    <w:rsid w:val="00896D00"/>
    <w:rsid w:val="00922EDC"/>
    <w:rsid w:val="009A7E29"/>
    <w:rsid w:val="00AF6A6A"/>
    <w:rsid w:val="00B8106B"/>
    <w:rsid w:val="00C52D98"/>
    <w:rsid w:val="00C76A8E"/>
    <w:rsid w:val="00EB4420"/>
    <w:rsid w:val="00FE68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A4ABE"/>
  <w15:chartTrackingRefBased/>
  <w15:docId w15:val="{4E4EADB6-B33A-4940-829E-02A1BE6FC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52D98"/>
    <w:pPr>
      <w:suppressAutoHyphens/>
      <w:spacing w:after="200" w:line="240" w:lineRule="auto"/>
    </w:pPr>
    <w:rPr>
      <w:i/>
      <w:iCs/>
      <w:color w:val="44546A" w:themeColor="text2"/>
      <w:sz w:val="18"/>
      <w:szCs w:val="18"/>
    </w:rPr>
  </w:style>
  <w:style w:type="table" w:styleId="TableGrid">
    <w:name w:val="Table Grid"/>
    <w:basedOn w:val="TableNormal"/>
    <w:uiPriority w:val="39"/>
    <w:rsid w:val="00C52D98"/>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00"/>
    <w:rPr>
      <w:color w:val="0563C1" w:themeColor="hyperlink"/>
      <w:u w:val="single"/>
    </w:rPr>
  </w:style>
  <w:style w:type="character" w:styleId="UnresolvedMention">
    <w:name w:val="Unresolved Mention"/>
    <w:basedOn w:val="DefaultParagraphFont"/>
    <w:uiPriority w:val="99"/>
    <w:semiHidden/>
    <w:unhideWhenUsed/>
    <w:rsid w:val="00896D00"/>
    <w:rPr>
      <w:color w:val="605E5C"/>
      <w:shd w:val="clear" w:color="auto" w:fill="E1DFDD"/>
    </w:rPr>
  </w:style>
  <w:style w:type="character" w:styleId="CommentReference">
    <w:name w:val="annotation reference"/>
    <w:basedOn w:val="DefaultParagraphFont"/>
    <w:uiPriority w:val="99"/>
    <w:semiHidden/>
    <w:unhideWhenUsed/>
    <w:rsid w:val="00B8106B"/>
    <w:rPr>
      <w:sz w:val="16"/>
      <w:szCs w:val="16"/>
    </w:rPr>
  </w:style>
  <w:style w:type="paragraph" w:styleId="CommentText">
    <w:name w:val="annotation text"/>
    <w:basedOn w:val="Normal"/>
    <w:link w:val="CommentTextChar"/>
    <w:uiPriority w:val="99"/>
    <w:unhideWhenUsed/>
    <w:rsid w:val="00B8106B"/>
    <w:pPr>
      <w:spacing w:line="240" w:lineRule="auto"/>
    </w:pPr>
    <w:rPr>
      <w:sz w:val="20"/>
      <w:szCs w:val="20"/>
    </w:rPr>
  </w:style>
  <w:style w:type="character" w:customStyle="1" w:styleId="CommentTextChar">
    <w:name w:val="Comment Text Char"/>
    <w:basedOn w:val="DefaultParagraphFont"/>
    <w:link w:val="CommentText"/>
    <w:uiPriority w:val="99"/>
    <w:rsid w:val="00B8106B"/>
    <w:rPr>
      <w:sz w:val="20"/>
      <w:szCs w:val="20"/>
    </w:rPr>
  </w:style>
  <w:style w:type="paragraph" w:styleId="CommentSubject">
    <w:name w:val="annotation subject"/>
    <w:basedOn w:val="CommentText"/>
    <w:next w:val="CommentText"/>
    <w:link w:val="CommentSubjectChar"/>
    <w:uiPriority w:val="99"/>
    <w:semiHidden/>
    <w:unhideWhenUsed/>
    <w:rsid w:val="00B8106B"/>
    <w:rPr>
      <w:b/>
      <w:bCs/>
    </w:rPr>
  </w:style>
  <w:style w:type="character" w:customStyle="1" w:styleId="CommentSubjectChar">
    <w:name w:val="Comment Subject Char"/>
    <w:basedOn w:val="CommentTextChar"/>
    <w:link w:val="CommentSubject"/>
    <w:uiPriority w:val="99"/>
    <w:semiHidden/>
    <w:rsid w:val="00B810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teroffice.ec.gc.ca/search/historical_e.html"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Painter</dc:creator>
  <cp:keywords/>
  <dc:description/>
  <cp:lastModifiedBy>Kristin Painter</cp:lastModifiedBy>
  <cp:revision>5</cp:revision>
  <dcterms:created xsi:type="dcterms:W3CDTF">2022-09-06T17:41:00Z</dcterms:created>
  <dcterms:modified xsi:type="dcterms:W3CDTF">2022-11-16T19:34:00Z</dcterms:modified>
</cp:coreProperties>
</file>