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F0E" w:rsidRPr="00677C36" w:rsidRDefault="008D344A" w:rsidP="00677C36">
      <w:pPr>
        <w:pStyle w:val="Title"/>
      </w:pPr>
      <w:r w:rsidRPr="00677C36">
        <w:t>A Comprehensive Evaluation of Methods for Identifying Differential</w:t>
      </w:r>
      <w:r w:rsidR="00173181" w:rsidRPr="00677C36">
        <w:t>ly</w:t>
      </w:r>
      <w:r w:rsidRPr="00677C36">
        <w:t xml:space="preserve"> Methylation Regions in </w:t>
      </w:r>
      <w:proofErr w:type="spellStart"/>
      <w:r w:rsidRPr="00677C36">
        <w:t>Epigenome</w:t>
      </w:r>
      <w:proofErr w:type="spellEnd"/>
      <w:r w:rsidRPr="00677C36">
        <w:t>-wide Association Studies</w:t>
      </w:r>
    </w:p>
    <w:p w:rsidR="00236637" w:rsidRDefault="00236637" w:rsidP="008D344A">
      <w:pPr>
        <w:pStyle w:val="NoSpacing"/>
      </w:pPr>
    </w:p>
    <w:p w:rsidR="00060166" w:rsidRDefault="00060166" w:rsidP="008D344A">
      <w:pPr>
        <w:pStyle w:val="NoSpacing"/>
        <w:rPr>
          <w:sz w:val="28"/>
          <w:szCs w:val="28"/>
        </w:rPr>
      </w:pPr>
      <w:r w:rsidRPr="00B666EB">
        <w:rPr>
          <w:sz w:val="28"/>
          <w:szCs w:val="28"/>
        </w:rPr>
        <w:t>Saurav</w:t>
      </w:r>
      <w:r w:rsidR="00B666EB" w:rsidRPr="00B666EB">
        <w:rPr>
          <w:sz w:val="28"/>
          <w:szCs w:val="28"/>
        </w:rPr>
        <w:t xml:space="preserve"> Mallik</w:t>
      </w:r>
      <w:r w:rsidR="005B4D0D">
        <w:rPr>
          <w:sz w:val="28"/>
          <w:szCs w:val="28"/>
          <w:vertAlign w:val="superscript"/>
        </w:rPr>
        <w:t>1</w:t>
      </w:r>
      <w:r w:rsidRPr="00B666EB">
        <w:rPr>
          <w:sz w:val="28"/>
          <w:szCs w:val="28"/>
        </w:rPr>
        <w:t>, Zhen</w:t>
      </w:r>
      <w:r w:rsidR="00B666EB" w:rsidRPr="00B666EB">
        <w:rPr>
          <w:sz w:val="28"/>
          <w:szCs w:val="28"/>
        </w:rPr>
        <w:t xml:space="preserve"> Gao</w:t>
      </w:r>
      <w:r w:rsidR="005B4D0D">
        <w:rPr>
          <w:sz w:val="28"/>
          <w:szCs w:val="28"/>
          <w:vertAlign w:val="superscript"/>
        </w:rPr>
        <w:t>1</w:t>
      </w:r>
      <w:r w:rsidRPr="00B666EB">
        <w:rPr>
          <w:sz w:val="28"/>
          <w:szCs w:val="28"/>
        </w:rPr>
        <w:t>, Gabriel</w:t>
      </w:r>
      <w:r w:rsidR="00B666EB" w:rsidRPr="00B666EB">
        <w:rPr>
          <w:sz w:val="28"/>
          <w:szCs w:val="28"/>
        </w:rPr>
        <w:t xml:space="preserve"> J Odam</w:t>
      </w:r>
      <w:r w:rsidR="005B4D0D">
        <w:rPr>
          <w:sz w:val="28"/>
          <w:szCs w:val="28"/>
          <w:vertAlign w:val="superscript"/>
        </w:rPr>
        <w:t>1</w:t>
      </w:r>
      <w:r w:rsidRPr="00B666EB">
        <w:rPr>
          <w:sz w:val="28"/>
          <w:szCs w:val="28"/>
        </w:rPr>
        <w:t xml:space="preserve">, </w:t>
      </w:r>
      <w:r w:rsidR="004A46AC" w:rsidRPr="00B666EB">
        <w:rPr>
          <w:sz w:val="28"/>
          <w:szCs w:val="28"/>
        </w:rPr>
        <w:t xml:space="preserve">Steven </w:t>
      </w:r>
      <w:r w:rsidR="00B666EB" w:rsidRPr="00B666EB">
        <w:rPr>
          <w:sz w:val="28"/>
          <w:szCs w:val="28"/>
        </w:rPr>
        <w:t>Xi Chen</w:t>
      </w:r>
      <w:r w:rsidR="005B4D0D">
        <w:rPr>
          <w:sz w:val="28"/>
          <w:szCs w:val="28"/>
          <w:vertAlign w:val="superscript"/>
        </w:rPr>
        <w:t>1,</w:t>
      </w:r>
      <w:r w:rsidR="007F5329">
        <w:rPr>
          <w:sz w:val="28"/>
          <w:szCs w:val="28"/>
        </w:rPr>
        <w:t>*</w:t>
      </w:r>
      <w:r w:rsidRPr="00B666EB">
        <w:rPr>
          <w:sz w:val="28"/>
          <w:szCs w:val="28"/>
        </w:rPr>
        <w:t xml:space="preserve">, </w:t>
      </w:r>
      <w:r w:rsidR="007F5329">
        <w:rPr>
          <w:sz w:val="28"/>
          <w:szCs w:val="28"/>
        </w:rPr>
        <w:t xml:space="preserve">and </w:t>
      </w:r>
      <w:r w:rsidRPr="00B666EB">
        <w:rPr>
          <w:sz w:val="28"/>
          <w:szCs w:val="28"/>
        </w:rPr>
        <w:t>Lily</w:t>
      </w:r>
      <w:r w:rsidR="00B666EB" w:rsidRPr="00B666EB">
        <w:rPr>
          <w:sz w:val="28"/>
          <w:szCs w:val="28"/>
        </w:rPr>
        <w:t xml:space="preserve"> Wang</w:t>
      </w:r>
      <w:r w:rsidR="005B4D0D">
        <w:rPr>
          <w:sz w:val="28"/>
          <w:szCs w:val="28"/>
          <w:vertAlign w:val="superscript"/>
        </w:rPr>
        <w:t>1,</w:t>
      </w:r>
      <w:r w:rsidR="007F5329">
        <w:rPr>
          <w:sz w:val="28"/>
          <w:szCs w:val="28"/>
        </w:rPr>
        <w:t>*</w:t>
      </w:r>
    </w:p>
    <w:p w:rsidR="004A46AC" w:rsidRPr="004A46AC" w:rsidRDefault="004A46AC" w:rsidP="004A46AC">
      <w:pPr>
        <w:spacing w:before="136"/>
        <w:ind w:right="1365"/>
        <w:rPr>
          <w:color w:val="231F20"/>
          <w:w w:val="110"/>
          <w:sz w:val="18"/>
        </w:rPr>
      </w:pPr>
      <w:r>
        <w:rPr>
          <w:color w:val="231F20"/>
          <w:w w:val="110"/>
          <w:position w:val="8"/>
          <w:sz w:val="12"/>
        </w:rPr>
        <w:t>1</w:t>
      </w:r>
      <w:r>
        <w:rPr>
          <w:color w:val="231F20"/>
          <w:w w:val="110"/>
          <w:sz w:val="18"/>
        </w:rPr>
        <w:t>Division of Biostatistics,</w:t>
      </w:r>
      <w:r w:rsidRPr="004A46AC">
        <w:rPr>
          <w:rFonts w:ascii="Helvetica" w:eastAsia="Times New Roman" w:hAnsi="Helvetica" w:cs="Times New Roman"/>
          <w:color w:val="222222"/>
          <w:spacing w:val="3"/>
          <w:sz w:val="26"/>
          <w:szCs w:val="26"/>
        </w:rPr>
        <w:t xml:space="preserve"> </w:t>
      </w:r>
      <w:r w:rsidRPr="004A46AC">
        <w:rPr>
          <w:color w:val="231F20"/>
          <w:w w:val="110"/>
          <w:sz w:val="18"/>
        </w:rPr>
        <w:t>Department of Public Health Sciences</w:t>
      </w:r>
      <w:r>
        <w:rPr>
          <w:color w:val="231F20"/>
          <w:w w:val="110"/>
          <w:sz w:val="18"/>
        </w:rPr>
        <w:t xml:space="preserve">, </w:t>
      </w:r>
      <w:r w:rsidRPr="004A46AC">
        <w:rPr>
          <w:color w:val="231F20"/>
          <w:w w:val="110"/>
          <w:sz w:val="18"/>
        </w:rPr>
        <w:t>University of Miami Miller School of Medicine, Miami, FL, 33136, USA</w:t>
      </w:r>
      <w:bookmarkStart w:id="0" w:name="_bookmark7"/>
      <w:bookmarkEnd w:id="0"/>
    </w:p>
    <w:p w:rsidR="004A46AC" w:rsidRDefault="004A46AC" w:rsidP="004A46AC">
      <w:pPr>
        <w:spacing w:before="119" w:line="174" w:lineRule="exact"/>
        <w:rPr>
          <w:color w:val="231F20"/>
          <w:w w:val="110"/>
          <w:sz w:val="13"/>
        </w:rPr>
      </w:pPr>
      <w:r>
        <w:rPr>
          <w:color w:val="231F20"/>
          <w:w w:val="110"/>
          <w:sz w:val="13"/>
        </w:rPr>
        <w:t xml:space="preserve">*Contact Author: </w:t>
      </w:r>
      <w:hyperlink r:id="rId5" w:history="1">
        <w:r w:rsidR="0053305D" w:rsidRPr="00D86CE1">
          <w:rPr>
            <w:rStyle w:val="Hyperlink"/>
            <w:w w:val="110"/>
            <w:sz w:val="13"/>
          </w:rPr>
          <w:t>lily.wang@med.miami.edu</w:t>
        </w:r>
      </w:hyperlink>
      <w:r w:rsidR="0053305D">
        <w:rPr>
          <w:color w:val="231F20"/>
          <w:w w:val="110"/>
          <w:sz w:val="13"/>
        </w:rPr>
        <w:t xml:space="preserve">, </w:t>
      </w:r>
      <w:hyperlink r:id="rId6" w:history="1">
        <w:r w:rsidR="0053305D" w:rsidRPr="00D86CE1">
          <w:rPr>
            <w:rStyle w:val="Hyperlink"/>
            <w:w w:val="110"/>
            <w:sz w:val="13"/>
          </w:rPr>
          <w:t>steven.chen@med.miami.edu</w:t>
        </w:r>
      </w:hyperlink>
      <w:r w:rsidR="007F5329" w:rsidRPr="007F5329">
        <w:rPr>
          <w:color w:val="231F20"/>
          <w:w w:val="110"/>
          <w:sz w:val="13"/>
        </w:rPr>
        <w:t xml:space="preserve"> </w:t>
      </w:r>
    </w:p>
    <w:p w:rsidR="005966F1" w:rsidRDefault="005966F1" w:rsidP="004A46AC">
      <w:pPr>
        <w:spacing w:before="119" w:line="174" w:lineRule="exact"/>
        <w:rPr>
          <w:sz w:val="13"/>
        </w:rPr>
      </w:pPr>
      <w:r>
        <w:rPr>
          <w:noProof/>
          <w:sz w:val="13"/>
        </w:rPr>
        <w:drawing>
          <wp:inline distT="0" distB="0" distL="0" distR="0" wp14:anchorId="7E47B7A2">
            <wp:extent cx="6990715" cy="57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0715" cy="57150"/>
                    </a:xfrm>
                    <a:prstGeom prst="rect">
                      <a:avLst/>
                    </a:prstGeom>
                    <a:noFill/>
                  </pic:spPr>
                </pic:pic>
              </a:graphicData>
            </a:graphic>
          </wp:inline>
        </w:drawing>
      </w:r>
    </w:p>
    <w:p w:rsidR="00BF0B04" w:rsidRPr="00FE1667" w:rsidRDefault="00BF0B04" w:rsidP="00BF0B04">
      <w:pPr>
        <w:pStyle w:val="Heading2"/>
        <w:rPr>
          <w:rFonts w:ascii="Book Antiqua" w:hAnsi="Book Antiqua"/>
          <w:b/>
          <w:sz w:val="24"/>
          <w:szCs w:val="24"/>
        </w:rPr>
      </w:pPr>
      <w:r w:rsidRPr="00FE1667">
        <w:rPr>
          <w:rFonts w:ascii="Book Antiqua" w:hAnsi="Book Antiqua"/>
          <w:b/>
          <w:color w:val="231F20"/>
          <w:w w:val="110"/>
          <w:sz w:val="24"/>
          <w:szCs w:val="24"/>
        </w:rPr>
        <w:t>Abstract</w:t>
      </w:r>
    </w:p>
    <w:p w:rsidR="00BF0B04" w:rsidRPr="00FE1667" w:rsidRDefault="00BF0B04" w:rsidP="00AE6E94">
      <w:pPr>
        <w:spacing w:before="90" w:line="244" w:lineRule="auto"/>
        <w:ind w:left="143" w:right="1418"/>
        <w:jc w:val="both"/>
        <w:rPr>
          <w:rFonts w:ascii="Palatino Linotype" w:hAnsi="Palatino Linotype"/>
          <w:sz w:val="20"/>
          <w:szCs w:val="20"/>
        </w:rPr>
      </w:pPr>
      <w:bookmarkStart w:id="1" w:name="_bookmark9"/>
      <w:bookmarkEnd w:id="1"/>
      <w:r w:rsidRPr="00FE1667">
        <w:rPr>
          <w:rFonts w:ascii="Palatino Linotype" w:hAnsi="Palatino Linotype"/>
          <w:color w:val="231F20"/>
          <w:w w:val="110"/>
          <w:sz w:val="20"/>
          <w:szCs w:val="20"/>
        </w:rPr>
        <w:t xml:space="preserve">Recent findings show that </w:t>
      </w:r>
      <w:r w:rsidR="005C732A" w:rsidRPr="00FE1667">
        <w:rPr>
          <w:rFonts w:ascii="Palatino Linotype" w:hAnsi="Palatino Linotype"/>
          <w:color w:val="231F20"/>
          <w:w w:val="110"/>
          <w:sz w:val="20"/>
          <w:szCs w:val="20"/>
        </w:rPr>
        <w:t xml:space="preserve">a number of tools have been developed for the analysis of </w:t>
      </w:r>
      <w:r w:rsidR="002E58F9">
        <w:rPr>
          <w:rFonts w:ascii="Palatino Linotype" w:hAnsi="Palatino Linotype"/>
          <w:color w:val="231F20"/>
          <w:w w:val="110"/>
          <w:sz w:val="20"/>
          <w:szCs w:val="20"/>
        </w:rPr>
        <w:t>D</w:t>
      </w:r>
      <w:r w:rsidR="005C732A" w:rsidRPr="00FE1667">
        <w:rPr>
          <w:rFonts w:ascii="Palatino Linotype" w:hAnsi="Palatino Linotype"/>
          <w:color w:val="231F20"/>
          <w:w w:val="110"/>
          <w:sz w:val="20"/>
          <w:szCs w:val="20"/>
        </w:rPr>
        <w:t>ifferentially Methylation Regions (DMRs)</w:t>
      </w:r>
      <w:r w:rsidR="00DB52E3" w:rsidRPr="00FE1667">
        <w:rPr>
          <w:rFonts w:ascii="Palatino Linotype" w:hAnsi="Palatino Linotype"/>
          <w:color w:val="231F20"/>
          <w:w w:val="110"/>
          <w:sz w:val="20"/>
          <w:szCs w:val="20"/>
        </w:rPr>
        <w:t>.</w:t>
      </w:r>
      <w:r w:rsidR="005C732A" w:rsidRPr="00FE1667">
        <w:rPr>
          <w:rFonts w:ascii="Palatino Linotype" w:hAnsi="Palatino Linotype"/>
          <w:color w:val="231F20"/>
          <w:w w:val="110"/>
          <w:sz w:val="20"/>
          <w:szCs w:val="20"/>
        </w:rPr>
        <w:t xml:space="preserve"> </w:t>
      </w:r>
      <w:r w:rsidR="00DA3B48" w:rsidRPr="00FE1667">
        <w:rPr>
          <w:rFonts w:ascii="Palatino Linotype" w:hAnsi="Palatino Linotype"/>
          <w:color w:val="231F20"/>
          <w:w w:val="110"/>
          <w:sz w:val="20"/>
          <w:szCs w:val="20"/>
        </w:rPr>
        <w:t>A very limited number of previous studies has been performed regarding the comparison of the methods for predefined regions. However, there is a lack of systematic evaluation of methods that analyze user defined regions. Hence, i</w:t>
      </w:r>
      <w:r w:rsidR="00786C8F" w:rsidRPr="00FE1667">
        <w:rPr>
          <w:rFonts w:ascii="Palatino Linotype" w:hAnsi="Palatino Linotype"/>
          <w:color w:val="231F20"/>
          <w:w w:val="110"/>
          <w:sz w:val="20"/>
          <w:szCs w:val="20"/>
        </w:rPr>
        <w:t xml:space="preserve">n this article, we conducted a comprehensive evaluation of the most popular software tools for user defined DMR analysis, including </w:t>
      </w:r>
      <w:proofErr w:type="spellStart"/>
      <w:r w:rsidR="00786C8F" w:rsidRPr="00FE1667">
        <w:rPr>
          <w:rFonts w:ascii="Palatino Linotype" w:hAnsi="Palatino Linotype"/>
          <w:color w:val="231F20"/>
          <w:w w:val="110"/>
          <w:sz w:val="20"/>
          <w:szCs w:val="20"/>
        </w:rPr>
        <w:t>DMRcate</w:t>
      </w:r>
      <w:proofErr w:type="spellEnd"/>
      <w:r w:rsidR="00786C8F" w:rsidRPr="00FE1667">
        <w:rPr>
          <w:rFonts w:ascii="Palatino Linotype" w:hAnsi="Palatino Linotype"/>
          <w:color w:val="231F20"/>
          <w:w w:val="110"/>
          <w:sz w:val="20"/>
          <w:szCs w:val="20"/>
        </w:rPr>
        <w:t xml:space="preserve">, </w:t>
      </w:r>
      <w:proofErr w:type="spellStart"/>
      <w:r w:rsidR="00786C8F" w:rsidRPr="00FE1667">
        <w:rPr>
          <w:rFonts w:ascii="Palatino Linotype" w:hAnsi="Palatino Linotype"/>
          <w:color w:val="231F20"/>
          <w:w w:val="110"/>
          <w:sz w:val="20"/>
          <w:szCs w:val="20"/>
        </w:rPr>
        <w:t>ProbeLasso</w:t>
      </w:r>
      <w:proofErr w:type="spellEnd"/>
      <w:r w:rsidR="00786C8F" w:rsidRPr="00FE1667">
        <w:rPr>
          <w:rFonts w:ascii="Palatino Linotype" w:hAnsi="Palatino Linotype"/>
          <w:color w:val="231F20"/>
          <w:w w:val="110"/>
          <w:sz w:val="20"/>
          <w:szCs w:val="20"/>
        </w:rPr>
        <w:t xml:space="preserve">, </w:t>
      </w:r>
      <w:proofErr w:type="spellStart"/>
      <w:r w:rsidR="00786C8F" w:rsidRPr="00FE1667">
        <w:rPr>
          <w:rFonts w:ascii="Palatino Linotype" w:hAnsi="Palatino Linotype"/>
          <w:color w:val="231F20"/>
          <w:w w:val="110"/>
          <w:sz w:val="20"/>
          <w:szCs w:val="20"/>
        </w:rPr>
        <w:t>Bumphunting</w:t>
      </w:r>
      <w:proofErr w:type="spellEnd"/>
      <w:r w:rsidR="00786C8F" w:rsidRPr="00FE1667">
        <w:rPr>
          <w:rFonts w:ascii="Palatino Linotype" w:hAnsi="Palatino Linotype"/>
          <w:color w:val="231F20"/>
          <w:w w:val="110"/>
          <w:sz w:val="20"/>
          <w:szCs w:val="20"/>
        </w:rPr>
        <w:t xml:space="preserve"> and comb-p. In addition to evaluating power, precision and type I error rate, we also compared several additional characteristics of the analysis results by these different methods, including the size of the DMRs, the amount of correlations between nearby </w:t>
      </w:r>
      <w:proofErr w:type="spellStart"/>
      <w:r w:rsidR="00786C8F" w:rsidRPr="00FE1667">
        <w:rPr>
          <w:rFonts w:ascii="Palatino Linotype" w:hAnsi="Palatino Linotype"/>
          <w:color w:val="231F20"/>
          <w:w w:val="110"/>
          <w:sz w:val="20"/>
          <w:szCs w:val="20"/>
        </w:rPr>
        <w:t>CpGs</w:t>
      </w:r>
      <w:proofErr w:type="spellEnd"/>
      <w:r w:rsidR="00786C8F" w:rsidRPr="00FE1667">
        <w:rPr>
          <w:rFonts w:ascii="Palatino Linotype" w:hAnsi="Palatino Linotype"/>
          <w:color w:val="231F20"/>
          <w:w w:val="110"/>
          <w:sz w:val="20"/>
          <w:szCs w:val="20"/>
        </w:rPr>
        <w:t xml:space="preserve"> within the identified DMRs, and overlap between the methods.  </w:t>
      </w:r>
    </w:p>
    <w:p w:rsidR="00BF0B04" w:rsidRPr="00FE1667" w:rsidRDefault="00BF0B04" w:rsidP="00BF0B04">
      <w:pPr>
        <w:spacing w:before="152"/>
        <w:ind w:left="143"/>
        <w:rPr>
          <w:rFonts w:ascii="Palatino Linotype" w:hAnsi="Palatino Linotype"/>
          <w:sz w:val="20"/>
          <w:szCs w:val="20"/>
        </w:rPr>
      </w:pPr>
      <w:r w:rsidRPr="00FE1667">
        <w:rPr>
          <w:rFonts w:ascii="Palatino Linotype" w:hAnsi="Palatino Linotype"/>
          <w:color w:val="231F20"/>
          <w:w w:val="110"/>
          <w:sz w:val="20"/>
          <w:szCs w:val="20"/>
        </w:rPr>
        <w:t xml:space="preserve">Key words: </w:t>
      </w:r>
      <w:r w:rsidR="009C3353" w:rsidRPr="00FE1667">
        <w:rPr>
          <w:rFonts w:ascii="Palatino Linotype" w:hAnsi="Palatino Linotype"/>
          <w:color w:val="231F20"/>
          <w:w w:val="110"/>
          <w:sz w:val="20"/>
          <w:szCs w:val="20"/>
        </w:rPr>
        <w:t>DMR finding tools</w:t>
      </w:r>
      <w:r w:rsidRPr="00FE1667">
        <w:rPr>
          <w:rFonts w:ascii="Palatino Linotype" w:hAnsi="Palatino Linotype"/>
          <w:color w:val="231F20"/>
          <w:w w:val="110"/>
          <w:sz w:val="20"/>
          <w:szCs w:val="20"/>
        </w:rPr>
        <w:t xml:space="preserve">, </w:t>
      </w:r>
      <w:r w:rsidR="0047151E" w:rsidRPr="00FE1667">
        <w:rPr>
          <w:rFonts w:ascii="Palatino Linotype" w:hAnsi="Palatino Linotype"/>
          <w:color w:val="231F20"/>
          <w:w w:val="110"/>
          <w:sz w:val="20"/>
          <w:szCs w:val="20"/>
        </w:rPr>
        <w:t>A-clustering</w:t>
      </w:r>
      <w:r w:rsidRPr="00FE1667">
        <w:rPr>
          <w:rFonts w:ascii="Palatino Linotype" w:hAnsi="Palatino Linotype"/>
          <w:color w:val="231F20"/>
          <w:w w:val="110"/>
          <w:sz w:val="20"/>
          <w:szCs w:val="20"/>
        </w:rPr>
        <w:t>,</w:t>
      </w:r>
      <w:r w:rsidR="00927871" w:rsidRPr="00FE1667">
        <w:rPr>
          <w:rFonts w:ascii="Palatino Linotype" w:hAnsi="Palatino Linotype"/>
          <w:color w:val="231F20"/>
          <w:w w:val="110"/>
          <w:sz w:val="20"/>
          <w:szCs w:val="20"/>
        </w:rPr>
        <w:t xml:space="preserve"> DMR co-methylation, DMR overlap, DMR size, Evaluation metrics.</w:t>
      </w:r>
    </w:p>
    <w:p w:rsidR="004A6F0F" w:rsidRDefault="005966F1" w:rsidP="008D344A">
      <w:pPr>
        <w:pStyle w:val="NoSpacing"/>
      </w:pPr>
      <w:r>
        <w:rPr>
          <w:noProof/>
        </w:rPr>
        <w:drawing>
          <wp:inline distT="0" distB="0" distL="0" distR="0" wp14:anchorId="2A041D8C">
            <wp:extent cx="6990715" cy="57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0715" cy="57150"/>
                    </a:xfrm>
                    <a:prstGeom prst="rect">
                      <a:avLst/>
                    </a:prstGeom>
                    <a:noFill/>
                  </pic:spPr>
                </pic:pic>
              </a:graphicData>
            </a:graphic>
          </wp:inline>
        </w:drawing>
      </w:r>
    </w:p>
    <w:p w:rsidR="005966F1" w:rsidRDefault="005966F1" w:rsidP="008D344A">
      <w:pPr>
        <w:pStyle w:val="NoSpacing"/>
      </w:pPr>
    </w:p>
    <w:p w:rsidR="00236637" w:rsidRPr="007B69C0" w:rsidRDefault="00236637" w:rsidP="008D344A">
      <w:pPr>
        <w:pStyle w:val="NoSpacing"/>
        <w:rPr>
          <w:rFonts w:ascii="Book Antiqua" w:hAnsi="Book Antiqua"/>
          <w:b/>
          <w:sz w:val="28"/>
          <w:szCs w:val="28"/>
        </w:rPr>
      </w:pPr>
      <w:r w:rsidRPr="007B69C0">
        <w:rPr>
          <w:rFonts w:ascii="Book Antiqua" w:hAnsi="Book Antiqua"/>
          <w:b/>
          <w:sz w:val="28"/>
          <w:szCs w:val="28"/>
        </w:rPr>
        <w:t>Introduction</w:t>
      </w:r>
    </w:p>
    <w:p w:rsidR="00236637" w:rsidRDefault="00236637" w:rsidP="008D344A">
      <w:pPr>
        <w:pStyle w:val="NoSpacing"/>
      </w:pPr>
    </w:p>
    <w:p w:rsidR="004165F7" w:rsidRDefault="004165F7" w:rsidP="008D344A">
      <w:pPr>
        <w:pStyle w:val="NoSpacing"/>
      </w:pPr>
      <w:r>
        <w:t>- DNA methylation</w:t>
      </w:r>
    </w:p>
    <w:p w:rsidR="004165F7" w:rsidRDefault="004165F7" w:rsidP="008D344A">
      <w:pPr>
        <w:pStyle w:val="NoSpacing"/>
      </w:pPr>
      <w:r>
        <w:t xml:space="preserve">- </w:t>
      </w:r>
      <w:r w:rsidR="004179DB">
        <w:t xml:space="preserve">measured by </w:t>
      </w:r>
      <w:r>
        <w:t>arrays</w:t>
      </w:r>
      <w:r w:rsidR="004179DB">
        <w:t>, beta values</w:t>
      </w:r>
    </w:p>
    <w:p w:rsidR="004179DB" w:rsidRDefault="004179DB" w:rsidP="004179DB">
      <w:pPr>
        <w:pStyle w:val="NoSpacing"/>
        <w:jc w:val="both"/>
      </w:pPr>
      <w:r>
        <w:t xml:space="preserve">- DMR analysis </w:t>
      </w:r>
    </w:p>
    <w:p w:rsidR="004179DB" w:rsidRDefault="004179DB" w:rsidP="004179DB">
      <w:pPr>
        <w:pStyle w:val="NoSpacing"/>
        <w:jc w:val="both"/>
      </w:pPr>
      <w:r>
        <w:t xml:space="preserve">  - </w:t>
      </w:r>
      <w:proofErr w:type="gramStart"/>
      <w:r>
        <w:t>why</w:t>
      </w:r>
      <w:proofErr w:type="gramEnd"/>
      <w:r>
        <w:t xml:space="preserve"> they are important</w:t>
      </w:r>
    </w:p>
    <w:p w:rsidR="004179DB" w:rsidRDefault="004179DB" w:rsidP="004179DB">
      <w:pPr>
        <w:pStyle w:val="NoSpacing"/>
        <w:jc w:val="both"/>
      </w:pPr>
      <w:r>
        <w:t xml:space="preserve">   - supervised vs. unsupervised methods</w:t>
      </w:r>
    </w:p>
    <w:p w:rsidR="004179DB" w:rsidRDefault="004179DB" w:rsidP="008D344A">
      <w:pPr>
        <w:pStyle w:val="NoSpacing"/>
      </w:pPr>
    </w:p>
    <w:p w:rsidR="004165F7" w:rsidRDefault="004165F7" w:rsidP="008D344A">
      <w:pPr>
        <w:pStyle w:val="NoSpacing"/>
      </w:pPr>
      <w:r>
        <w:t xml:space="preserve">- </w:t>
      </w:r>
      <w:proofErr w:type="gramStart"/>
      <w:r>
        <w:t>lack</w:t>
      </w:r>
      <w:proofErr w:type="gramEnd"/>
      <w:r>
        <w:t xml:space="preserve"> of systematic evaluation / comparison of methods</w:t>
      </w:r>
    </w:p>
    <w:p w:rsidR="004165F7" w:rsidRDefault="004179DB" w:rsidP="00BB1360">
      <w:pPr>
        <w:pStyle w:val="NoSpacing"/>
        <w:jc w:val="both"/>
      </w:pPr>
      <w:r>
        <w:t xml:space="preserve">  - </w:t>
      </w:r>
      <w:proofErr w:type="gramStart"/>
      <w:r>
        <w:t>previous</w:t>
      </w:r>
      <w:proofErr w:type="gramEnd"/>
      <w:r>
        <w:t xml:space="preserve"> reviews</w:t>
      </w:r>
    </w:p>
    <w:p w:rsidR="004179DB" w:rsidRDefault="004179DB" w:rsidP="00BB1360">
      <w:pPr>
        <w:pStyle w:val="NoSpacing"/>
        <w:jc w:val="both"/>
      </w:pPr>
      <w:bookmarkStart w:id="2" w:name="_GoBack"/>
      <w:bookmarkEnd w:id="2"/>
    </w:p>
    <w:p w:rsidR="00A0443D" w:rsidRDefault="00A0443D" w:rsidP="00BB1360">
      <w:pPr>
        <w:pStyle w:val="NoSpacing"/>
        <w:jc w:val="both"/>
      </w:pPr>
      <w:r>
        <w:t xml:space="preserve">DNA methylation is one of the most studied epigenetic mechanisms, which are </w:t>
      </w:r>
      <w:r w:rsidR="004D0EEE">
        <w:t xml:space="preserve">stable heritable traits that </w:t>
      </w:r>
      <w:proofErr w:type="spellStart"/>
      <w:r w:rsidR="004D0EEE">
        <w:t>can not</w:t>
      </w:r>
      <w:proofErr w:type="spellEnd"/>
      <w:r w:rsidR="004D0EEE">
        <w:t xml:space="preserve"> be explained by DNA sequences. The most widely characterized DNA methylation process is the addition of the methyl group at the 5-carbon of the cytosine ring, which results in 5-methylcytosine (5-mC). </w:t>
      </w:r>
      <w:r>
        <w:t xml:space="preserve">When located in gene promoter, DNA methylation typically acts to repress gene transcription. </w:t>
      </w:r>
    </w:p>
    <w:p w:rsidR="00A0443D" w:rsidRDefault="00A0443D" w:rsidP="00BB1360">
      <w:pPr>
        <w:pStyle w:val="NoSpacing"/>
        <w:jc w:val="both"/>
      </w:pPr>
    </w:p>
    <w:p w:rsidR="0009362B" w:rsidRDefault="00A0443D" w:rsidP="00BB1360">
      <w:pPr>
        <w:pStyle w:val="NoSpacing"/>
        <w:jc w:val="both"/>
      </w:pPr>
      <w:r>
        <w:t xml:space="preserve">The gold standard for measuring methylation status is the whole-genome bisulfite sequencing (WGBS). However, the high cost of WGBS has limited its use in large epidemiology studies. Currently, most of the </w:t>
      </w:r>
      <w:proofErr w:type="spellStart"/>
      <w:r>
        <w:t>Epigenome</w:t>
      </w:r>
      <w:proofErr w:type="spellEnd"/>
      <w:r>
        <w:t>-wide</w:t>
      </w:r>
      <w:r w:rsidR="007A4A95">
        <w:t xml:space="preserve"> Association Studies conducted </w:t>
      </w:r>
      <w:r>
        <w:t>utilized the array based technologies, which provides an economical, high throughput and comprehensive alternative. For example,</w:t>
      </w:r>
      <w:r w:rsidR="0009362B">
        <w:t xml:space="preserve"> &lt;450K array &gt; &lt;location of the probes&gt;</w:t>
      </w:r>
    </w:p>
    <w:p w:rsidR="0009362B" w:rsidRDefault="0009362B" w:rsidP="00BB1360">
      <w:pPr>
        <w:pStyle w:val="NoSpacing"/>
        <w:jc w:val="both"/>
      </w:pPr>
    </w:p>
    <w:p w:rsidR="00AB4767" w:rsidRDefault="0009362B" w:rsidP="00BB1360">
      <w:pPr>
        <w:pStyle w:val="NoSpacing"/>
        <w:jc w:val="both"/>
      </w:pPr>
      <w:r>
        <w:t>More recently, the EPIC was developed to include more probes on the regulatory regions</w:t>
      </w:r>
      <w:r w:rsidR="00611833">
        <w:t xml:space="preserve"> </w:t>
      </w:r>
      <w:r w:rsidR="00611833">
        <w:fldChar w:fldCharType="begin">
          <w:fldData xml:space="preserve">PEVuZE5vdGU+PENpdGU+PEF1dGhvcj5Mb2d1ZTwvQXV0aG9yPjxZZWFyPjIwMTc8L1llYXI+PFJl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</w:fldData>
        </w:fldChar>
      </w:r>
      <w:r w:rsidR="00611833">
        <w:instrText xml:space="preserve"> ADDIN EN.CITE </w:instrText>
      </w:r>
      <w:r w:rsidR="00611833">
        <w:fldChar w:fldCharType="begin">
          <w:fldData xml:space="preserve">PEVuZE5vdGU+PENpdGU+PEF1dGhvcj5Mb2d1ZTwvQXV0aG9yPjxZZWFyPjIwMTc8L1llYXI+PFJl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</w:fldData>
        </w:fldChar>
      </w:r>
      <w:r w:rsidR="00611833">
        <w:instrText xml:space="preserve"> ADDIN EN.CITE.DATA </w:instrText>
      </w:r>
      <w:r w:rsidR="00611833">
        <w:fldChar w:fldCharType="end"/>
      </w:r>
      <w:r w:rsidR="00611833">
        <w:fldChar w:fldCharType="separate"/>
      </w:r>
      <w:r w:rsidR="00611833">
        <w:rPr>
          <w:noProof/>
        </w:rPr>
        <w:t>(</w:t>
      </w:r>
      <w:hyperlink w:anchor="_ENREF_4" w:tooltip="Logue, 2017 #1" w:history="1">
        <w:r w:rsidR="00A8434B">
          <w:rPr>
            <w:noProof/>
          </w:rPr>
          <w:t>Logue, et al., 2017</w:t>
        </w:r>
      </w:hyperlink>
      <w:r w:rsidR="00611833">
        <w:rPr>
          <w:noProof/>
        </w:rPr>
        <w:t>)</w:t>
      </w:r>
      <w:r w:rsidR="00611833">
        <w:fldChar w:fldCharType="end"/>
      </w:r>
      <w:r w:rsidR="00BD05FF">
        <w:t xml:space="preserve"> </w:t>
      </w:r>
      <w:r w:rsidR="00A0443D">
        <w:t xml:space="preserve">the </w:t>
      </w:r>
      <w:r w:rsidR="004E1C50">
        <w:t xml:space="preserve">Illumina </w:t>
      </w:r>
      <w:proofErr w:type="spellStart"/>
      <w:r w:rsidR="004E1C50">
        <w:t>Infinium</w:t>
      </w:r>
      <w:proofErr w:type="spellEnd"/>
      <w:r w:rsidR="004E1C50">
        <w:t xml:space="preserve"> </w:t>
      </w:r>
      <w:r w:rsidR="00611833" w:rsidRPr="00611833">
        <w:t>http://it.miami.edu/a-z-listing/endnote/index.html</w:t>
      </w:r>
      <w:r w:rsidR="004E1C50">
        <w:t xml:space="preserve">provides coverage for over 850K </w:t>
      </w:r>
      <w:proofErr w:type="spellStart"/>
      <w:r w:rsidR="004E1C50">
        <w:t>CpG</w:t>
      </w:r>
      <w:proofErr w:type="spellEnd"/>
      <w:r w:rsidR="004E1C50">
        <w:t xml:space="preserve"> sites across the genome. </w:t>
      </w:r>
      <w:r w:rsidR="00F43E5F">
        <w:t>&lt;It has been shown concordance between array and bisulfite sequencing result &gt;</w:t>
      </w:r>
      <w:r>
        <w:t xml:space="preserve"> </w:t>
      </w:r>
    </w:p>
    <w:p w:rsidR="004D0EEE" w:rsidRDefault="004D0EEE" w:rsidP="00BB1360">
      <w:pPr>
        <w:pStyle w:val="NoSpacing"/>
        <w:jc w:val="both"/>
      </w:pPr>
    </w:p>
    <w:p w:rsidR="004179DB" w:rsidRDefault="004179DB" w:rsidP="00BB1360">
      <w:pPr>
        <w:pStyle w:val="NoSpacing"/>
        <w:jc w:val="both"/>
      </w:pPr>
      <w:r>
        <w:t xml:space="preserve">It has been shown recently that </w:t>
      </w:r>
      <w:r w:rsidR="004E1C50">
        <w:t xml:space="preserve">regions with differentially methylated cytosine </w:t>
      </w:r>
      <w:r w:rsidR="00A91462">
        <w:t>were shown to be</w:t>
      </w:r>
      <w:r w:rsidR="004E1C50">
        <w:t xml:space="preserve"> associated with various diseases (ref)</w:t>
      </w:r>
      <w:r>
        <w:t xml:space="preserve">. For example, </w:t>
      </w:r>
    </w:p>
    <w:p w:rsidR="004179DB" w:rsidRDefault="004179DB" w:rsidP="00BB1360">
      <w:pPr>
        <w:pStyle w:val="NoSpacing"/>
        <w:jc w:val="both"/>
      </w:pPr>
    </w:p>
    <w:p w:rsidR="004179DB" w:rsidRDefault="004179DB" w:rsidP="00BB1360">
      <w:pPr>
        <w:pStyle w:val="NoSpacing"/>
        <w:jc w:val="both"/>
      </w:pPr>
    </w:p>
    <w:p w:rsidR="004165F7" w:rsidRDefault="004179DB" w:rsidP="00BB1360">
      <w:pPr>
        <w:pStyle w:val="NoSpacing"/>
        <w:jc w:val="both"/>
      </w:pPr>
      <w:r>
        <w:t xml:space="preserve">Therefore, </w:t>
      </w:r>
      <w:r w:rsidR="00A91462">
        <w:t xml:space="preserve">recent research effort has gradually shifted from identifying differentially methylated positions (DMPs) to identification of differentially methylated regions (DMRs). </w:t>
      </w:r>
      <w:r w:rsidR="004E1C50">
        <w:t xml:space="preserve">A DMR is defined as </w:t>
      </w:r>
      <w:r w:rsidR="00A91462">
        <w:t xml:space="preserve">a </w:t>
      </w:r>
      <w:r w:rsidR="004E1C50">
        <w:t xml:space="preserve">region with consecutive </w:t>
      </w:r>
      <w:r w:rsidR="00A91462">
        <w:t>DMPs</w:t>
      </w:r>
      <w:r w:rsidR="004E1C50">
        <w:t xml:space="preserve">. </w:t>
      </w:r>
    </w:p>
    <w:p w:rsidR="004165F7" w:rsidRDefault="004165F7" w:rsidP="00BB1360">
      <w:pPr>
        <w:pStyle w:val="NoSpacing"/>
        <w:jc w:val="both"/>
      </w:pPr>
    </w:p>
    <w:p w:rsidR="00757A42" w:rsidRDefault="004179DB" w:rsidP="00BB1360">
      <w:pPr>
        <w:pStyle w:val="NoSpacing"/>
        <w:jc w:val="both"/>
      </w:pPr>
      <w:r>
        <w:t xml:space="preserve">A number of tools have been developed for the analysis of DMRs. </w:t>
      </w:r>
      <w:r w:rsidR="001F082A">
        <w:t xml:space="preserve">Chen et al. (2016) classified </w:t>
      </w:r>
      <w:r w:rsidR="00236637">
        <w:t>DMR</w:t>
      </w:r>
      <w:r w:rsidR="001F082A">
        <w:t xml:space="preserve"> identification methods into two classes that considers pre</w:t>
      </w:r>
      <w:r w:rsidR="00236637">
        <w:t xml:space="preserve">defined </w:t>
      </w:r>
      <w:r w:rsidR="001F082A">
        <w:t xml:space="preserve">regions or </w:t>
      </w:r>
      <w:r w:rsidR="00236637">
        <w:t>user defined regions</w:t>
      </w:r>
      <w:r w:rsidR="001F082A">
        <w:t xml:space="preserve">. In methods that analyze predefined regions, the </w:t>
      </w:r>
      <w:proofErr w:type="spellStart"/>
      <w:r w:rsidR="001F082A">
        <w:t>CpG</w:t>
      </w:r>
      <w:proofErr w:type="spellEnd"/>
      <w:r w:rsidR="001F082A">
        <w:t xml:space="preserve"> probes are first grouped into genomic regions such as </w:t>
      </w:r>
      <w:proofErr w:type="spellStart"/>
      <w:r w:rsidR="001F082A">
        <w:t>CpG</w:t>
      </w:r>
      <w:proofErr w:type="spellEnd"/>
      <w:r w:rsidR="001F082A">
        <w:t xml:space="preserve"> islands, </w:t>
      </w:r>
      <w:proofErr w:type="spellStart"/>
      <w:r w:rsidR="001F082A">
        <w:t>CpG</w:t>
      </w:r>
      <w:proofErr w:type="spellEnd"/>
      <w:r w:rsidR="001F082A">
        <w:t xml:space="preserve"> shores, TSS200 using annotation information, and then tested for association with phenotype. In methods that analyze user defined regions, a p-value or corresponding t-statistic is computed at each </w:t>
      </w:r>
      <w:proofErr w:type="spellStart"/>
      <w:r w:rsidR="001F082A">
        <w:t>CpG</w:t>
      </w:r>
      <w:proofErr w:type="spellEnd"/>
      <w:r w:rsidR="001F082A">
        <w:t xml:space="preserve"> first, then the regions in the genome with consecutive small p-values or t-statistics are identified based on user specified criteria such as </w:t>
      </w:r>
      <w:r w:rsidR="00757A42">
        <w:t xml:space="preserve">the minimum number of </w:t>
      </w:r>
      <w:proofErr w:type="spellStart"/>
      <w:r w:rsidR="00757A42">
        <w:t>CpGs</w:t>
      </w:r>
      <w:proofErr w:type="spellEnd"/>
      <w:r w:rsidR="00757A42">
        <w:t xml:space="preserve"> for the region. </w:t>
      </w:r>
    </w:p>
    <w:p w:rsidR="00757A42" w:rsidRDefault="00757A42" w:rsidP="00BB1360">
      <w:pPr>
        <w:pStyle w:val="NoSpacing"/>
        <w:jc w:val="both"/>
      </w:pPr>
    </w:p>
    <w:p w:rsidR="00757A42" w:rsidRDefault="00757A42" w:rsidP="00BB1360">
      <w:pPr>
        <w:pStyle w:val="NoSpacing"/>
        <w:jc w:val="both"/>
      </w:pPr>
      <w:r>
        <w:t xml:space="preserve">Two previous studies (Klein, Chen) compared analysis methods for predefined regions. However, there is a lack of systematic evaluation of methods that analyze user defined regions. </w:t>
      </w:r>
    </w:p>
    <w:p w:rsidR="00757A42" w:rsidRDefault="00757A42" w:rsidP="00BB1360">
      <w:pPr>
        <w:pStyle w:val="NoSpacing"/>
        <w:jc w:val="both"/>
      </w:pPr>
    </w:p>
    <w:p w:rsidR="00236637" w:rsidRDefault="00757A42" w:rsidP="00BB1360">
      <w:pPr>
        <w:pStyle w:val="NoSpacing"/>
        <w:jc w:val="both"/>
      </w:pPr>
      <w:r>
        <w:t xml:space="preserve">In this study, we conducted a comprehensive evaluation of the most popular software tools for user defined DMR analysis, including </w:t>
      </w:r>
      <w:proofErr w:type="spellStart"/>
      <w:r w:rsidRPr="002E4D98">
        <w:rPr>
          <w:i/>
        </w:rPr>
        <w:t>DMRcate</w:t>
      </w:r>
      <w:proofErr w:type="spellEnd"/>
      <w:r w:rsidRPr="002E4D98">
        <w:rPr>
          <w:i/>
        </w:rPr>
        <w:t xml:space="preserve">, </w:t>
      </w:r>
      <w:proofErr w:type="spellStart"/>
      <w:r w:rsidRPr="002E4D98">
        <w:rPr>
          <w:i/>
        </w:rPr>
        <w:t>ProbeLasso</w:t>
      </w:r>
      <w:proofErr w:type="spellEnd"/>
      <w:r w:rsidRPr="002E4D98">
        <w:rPr>
          <w:i/>
        </w:rPr>
        <w:t xml:space="preserve">, </w:t>
      </w:r>
      <w:proofErr w:type="spellStart"/>
      <w:r w:rsidRPr="002E4D98">
        <w:rPr>
          <w:i/>
        </w:rPr>
        <w:t>Bumphunting</w:t>
      </w:r>
      <w:proofErr w:type="spellEnd"/>
      <w:r w:rsidRPr="002E4D98">
        <w:rPr>
          <w:i/>
        </w:rPr>
        <w:t xml:space="preserve"> </w:t>
      </w:r>
      <w:r w:rsidRPr="00BE3164">
        <w:t xml:space="preserve">and </w:t>
      </w:r>
      <w:r w:rsidRPr="002E4D98">
        <w:rPr>
          <w:i/>
        </w:rPr>
        <w:t>comb-p</w:t>
      </w:r>
      <w:r>
        <w:t xml:space="preserve">. </w:t>
      </w:r>
      <w:r w:rsidR="00236637">
        <w:t>In addition to evaluating power</w:t>
      </w:r>
      <w:r w:rsidR="00B55433">
        <w:t xml:space="preserve">, </w:t>
      </w:r>
      <w:r w:rsidR="00236637">
        <w:t>precision</w:t>
      </w:r>
      <w:r w:rsidR="00B55433">
        <w:t xml:space="preserve"> and type I error rate</w:t>
      </w:r>
      <w:r w:rsidR="00236637">
        <w:t xml:space="preserve">, we also compared several additional characteristics of the analysis results by </w:t>
      </w:r>
      <w:r>
        <w:t xml:space="preserve">these </w:t>
      </w:r>
      <w:r w:rsidR="00236637">
        <w:t>different methods, including the size of the DMRs, the amount of co</w:t>
      </w:r>
      <w:r w:rsidR="00B55433">
        <w:t xml:space="preserve">rrelations between nearby </w:t>
      </w:r>
      <w:proofErr w:type="spellStart"/>
      <w:r w:rsidR="00B55433">
        <w:t>CpGs</w:t>
      </w:r>
      <w:proofErr w:type="spellEnd"/>
      <w:r>
        <w:t xml:space="preserve"> within </w:t>
      </w:r>
      <w:r w:rsidR="00B55433">
        <w:t xml:space="preserve">the identified DMRs, and overlap between the methods.  </w:t>
      </w:r>
    </w:p>
    <w:p w:rsidR="00236637" w:rsidRDefault="00236637" w:rsidP="008D344A">
      <w:pPr>
        <w:pStyle w:val="NoSpacing"/>
      </w:pPr>
    </w:p>
    <w:p w:rsidR="00236637" w:rsidRPr="00826E51" w:rsidRDefault="00236637" w:rsidP="00B55433">
      <w:pPr>
        <w:pStyle w:val="NoSpacing"/>
        <w:rPr>
          <w:rFonts w:ascii="Book Antiqua" w:hAnsi="Book Antiqua"/>
          <w:b/>
          <w:sz w:val="28"/>
          <w:szCs w:val="28"/>
        </w:rPr>
      </w:pPr>
      <w:r w:rsidRPr="00826E51">
        <w:rPr>
          <w:rFonts w:ascii="Book Antiqua" w:hAnsi="Book Antiqua"/>
          <w:b/>
          <w:sz w:val="28"/>
          <w:szCs w:val="28"/>
        </w:rPr>
        <w:t>Methods</w:t>
      </w:r>
    </w:p>
    <w:p w:rsidR="00753465" w:rsidRDefault="00753465" w:rsidP="00BB1360">
      <w:pPr>
        <w:pStyle w:val="NoSpacing"/>
        <w:jc w:val="both"/>
      </w:pPr>
      <w:r>
        <w:t xml:space="preserve">Figure </w:t>
      </w:r>
      <w:r w:rsidR="00E11080">
        <w:t xml:space="preserve">1 shows the workflow of our simulation study. Briefly, we first obtained methylation dataset of 14 healthy controls with similar ages. Next, we performed adjacent site clustering to obtain 3063 clusters of adjacent </w:t>
      </w:r>
      <w:proofErr w:type="spellStart"/>
      <w:r w:rsidR="00E11080">
        <w:t>CpG</w:t>
      </w:r>
      <w:proofErr w:type="spellEnd"/>
      <w:r w:rsidR="00E11080">
        <w:t xml:space="preserve"> probes. </w:t>
      </w:r>
      <w:r w:rsidR="00216076">
        <w:t>The 14 samples were randomly divided into two groups and d</w:t>
      </w:r>
      <w:r w:rsidR="00E11080">
        <w:t>ifferential methylation of a small subset of the clusters were simulated by adding a</w:t>
      </w:r>
      <w:r w:rsidR="00216076">
        <w:t xml:space="preserve"> small number to beta values in one of the groups. </w:t>
      </w:r>
    </w:p>
    <w:p w:rsidR="00753465" w:rsidRDefault="00753465" w:rsidP="008D344A">
      <w:pPr>
        <w:pStyle w:val="NoSpacing"/>
      </w:pPr>
    </w:p>
    <w:p w:rsidR="00173181" w:rsidRPr="009B4195" w:rsidRDefault="00173181" w:rsidP="00BD1B75">
      <w:pPr>
        <w:pStyle w:val="Subtitle"/>
        <w:rPr>
          <w:rFonts w:ascii="Book Antiqua" w:hAnsi="Book Antiqua"/>
          <w:b/>
        </w:rPr>
      </w:pPr>
      <w:r w:rsidRPr="009B4195">
        <w:rPr>
          <w:rFonts w:ascii="Book Antiqua" w:hAnsi="Book Antiqua"/>
          <w:b/>
        </w:rPr>
        <w:t>Dataset</w:t>
      </w:r>
    </w:p>
    <w:p w:rsidR="00173181" w:rsidRDefault="00FA517C" w:rsidP="00BB1360">
      <w:pPr>
        <w:pStyle w:val="NoSpacing"/>
        <w:jc w:val="both"/>
      </w:pPr>
      <w:r>
        <w:t xml:space="preserve">To preserve correlation patterns in real datasets, we generated simulation data by using a real dataset as input. </w:t>
      </w:r>
      <w:r w:rsidR="00753465">
        <w:t xml:space="preserve">The dataset GSE41169) from Horvath et al. (2012) [35], [36] included DNA methylation profiles of whole blood samples of 62 schizophrenia patients  and 33 healthy controls from the Dutch population. The Illumina </w:t>
      </w:r>
      <w:proofErr w:type="spellStart"/>
      <w:r w:rsidR="00753465">
        <w:t>Infinium</w:t>
      </w:r>
      <w:proofErr w:type="spellEnd"/>
      <w:r w:rsidR="00753465">
        <w:t xml:space="preserve"> 450k Human DNA methylation </w:t>
      </w:r>
      <w:proofErr w:type="spellStart"/>
      <w:r w:rsidR="00753465">
        <w:t>Beadchip</w:t>
      </w:r>
      <w:proofErr w:type="spellEnd"/>
      <w:r w:rsidR="00753465">
        <w:t xml:space="preserve"> v1.2 was applied to measure the methylation status of nearly 485,577 </w:t>
      </w:r>
      <w:proofErr w:type="spellStart"/>
      <w:r w:rsidR="00753465">
        <w:t>CpGs</w:t>
      </w:r>
      <w:proofErr w:type="spellEnd"/>
      <w:r w:rsidR="00753465">
        <w:t>.</w:t>
      </w:r>
    </w:p>
    <w:p w:rsidR="00FA517C" w:rsidRDefault="00FA517C" w:rsidP="00BB1360">
      <w:pPr>
        <w:pStyle w:val="NoSpacing"/>
        <w:jc w:val="both"/>
      </w:pPr>
    </w:p>
    <w:p w:rsidR="00FA517C" w:rsidRDefault="00FA517C" w:rsidP="00BB1360">
      <w:pPr>
        <w:pStyle w:val="NoSpacing"/>
        <w:jc w:val="both"/>
      </w:pPr>
      <w:r>
        <w:t xml:space="preserve">For </w:t>
      </w:r>
      <w:r w:rsidR="00753465">
        <w:t>our</w:t>
      </w:r>
      <w:r>
        <w:t xml:space="preserve"> study, we select</w:t>
      </w:r>
      <w:r w:rsidR="00753465">
        <w:t>ed</w:t>
      </w:r>
      <w:r>
        <w:t xml:space="preserve"> a total of 14 samples that satisfied two conditions, (1) these are all healthy male samples, and </w:t>
      </w:r>
      <w:r w:rsidR="00753465">
        <w:t xml:space="preserve">(2) </w:t>
      </w:r>
      <w:r>
        <w:t xml:space="preserve">the age-ranges of the patients related to the samples are between 20 and 30. The </w:t>
      </w:r>
      <w:r w:rsidR="00753465">
        <w:t>sample IDs</w:t>
      </w:r>
      <w:r>
        <w:t xml:space="preserve"> of the 14 </w:t>
      </w:r>
      <w:r w:rsidR="00753465">
        <w:t xml:space="preserve">selected </w:t>
      </w:r>
      <w:r>
        <w:t>samples are GSM1009744, GSM1009748, GSM1009666, GSM1009667,</w:t>
      </w:r>
      <w:r w:rsidR="00753465">
        <w:t xml:space="preserve"> </w:t>
      </w:r>
      <w:r>
        <w:t>GSM1009668, GSM1009688, GSM1009695, GSM1009746, GSM1009742, GSM1009745, GSM1009743,</w:t>
      </w:r>
      <w:r w:rsidR="00BB1360">
        <w:t xml:space="preserve"> </w:t>
      </w:r>
      <w:r>
        <w:t>GSM1009681, GSM1009892 and GSM1009893</w:t>
      </w:r>
    </w:p>
    <w:p w:rsidR="00236637" w:rsidRDefault="00236637" w:rsidP="008D344A">
      <w:pPr>
        <w:pStyle w:val="NoSpacing"/>
      </w:pPr>
    </w:p>
    <w:p w:rsidR="004165F7" w:rsidRDefault="004165F7" w:rsidP="008D344A">
      <w:pPr>
        <w:pStyle w:val="NoSpacing"/>
      </w:pPr>
      <w:r>
        <w:t xml:space="preserve">- </w:t>
      </w:r>
      <w:proofErr w:type="gramStart"/>
      <w:r>
        <w:t>beta</w:t>
      </w:r>
      <w:proofErr w:type="gramEnd"/>
      <w:r>
        <w:t xml:space="preserve"> values</w:t>
      </w:r>
    </w:p>
    <w:p w:rsidR="004165F7" w:rsidRDefault="004165F7" w:rsidP="008D344A">
      <w:pPr>
        <w:pStyle w:val="NoSpacing"/>
      </w:pPr>
    </w:p>
    <w:p w:rsidR="00753465" w:rsidRPr="0001294D" w:rsidRDefault="00753465" w:rsidP="00BD1B75">
      <w:pPr>
        <w:pStyle w:val="Subtitle"/>
        <w:rPr>
          <w:rFonts w:ascii="Book Antiqua" w:hAnsi="Book Antiqua"/>
          <w:b/>
        </w:rPr>
      </w:pPr>
      <w:r w:rsidRPr="0001294D">
        <w:rPr>
          <w:rFonts w:ascii="Book Antiqua" w:hAnsi="Book Antiqua"/>
          <w:b/>
        </w:rPr>
        <w:t>Adjacent Site Clustering (A-clustering)</w:t>
      </w:r>
    </w:p>
    <w:p w:rsidR="00216076" w:rsidRDefault="00C64E8D" w:rsidP="00BB1360">
      <w:pPr>
        <w:pStyle w:val="NoSpacing"/>
        <w:jc w:val="both"/>
      </w:pPr>
      <w:r>
        <w:t>First b</w:t>
      </w:r>
      <w:r w:rsidR="00216076">
        <w:t xml:space="preserve">efore clustering analysis, we used </w:t>
      </w:r>
      <w:proofErr w:type="spellStart"/>
      <w:r w:rsidR="00216076">
        <w:t>DMRcate</w:t>
      </w:r>
      <w:proofErr w:type="spellEnd"/>
      <w:r w:rsidR="00216076">
        <w:t xml:space="preserve"> function </w:t>
      </w:r>
      <w:proofErr w:type="spellStart"/>
      <w:r w:rsidR="00216076">
        <w:t>rmSNPandCH</w:t>
      </w:r>
      <w:proofErr w:type="spellEnd"/>
      <w:r w:rsidR="00216076">
        <w:t xml:space="preserve"> to remove </w:t>
      </w:r>
      <w:proofErr w:type="spellStart"/>
      <w:r w:rsidR="00216076">
        <w:t>CpGs</w:t>
      </w:r>
      <w:proofErr w:type="spellEnd"/>
      <w:r w:rsidR="00216076">
        <w:t xml:space="preserve"> that are close to SNPs, cross-hybridizing and located on sex chromosomes (ref- </w:t>
      </w:r>
      <w:proofErr w:type="spellStart"/>
      <w:r w:rsidR="00216076">
        <w:t>DMRcate</w:t>
      </w:r>
      <w:proofErr w:type="spellEnd"/>
      <w:r w:rsidR="00216076">
        <w:t xml:space="preserve">, original paper). </w:t>
      </w:r>
      <w:r>
        <w:t xml:space="preserve">We also removed those </w:t>
      </w:r>
      <w:proofErr w:type="spellStart"/>
      <w:r>
        <w:t>CpGs</w:t>
      </w:r>
      <w:proofErr w:type="spellEnd"/>
      <w:r>
        <w:t xml:space="preserve"> with little variations across all the samples, i.e. those </w:t>
      </w:r>
      <w:proofErr w:type="spellStart"/>
      <w:r>
        <w:t>CpGs</w:t>
      </w:r>
      <w:proofErr w:type="spellEnd"/>
      <w:r>
        <w:t xml:space="preserve"> with all beta values &lt; 0.05 or </w:t>
      </w:r>
      <w:proofErr w:type="spellStart"/>
      <w:r>
        <w:t>CpGs</w:t>
      </w:r>
      <w:proofErr w:type="spellEnd"/>
      <w:r>
        <w:t xml:space="preserve"> with all beta values &gt; 0.95. On the methylation arrays, b</w:t>
      </w:r>
      <w:r w:rsidRPr="00C64E8D">
        <w:t xml:space="preserve">eta values are </w:t>
      </w:r>
      <w:r>
        <w:t xml:space="preserve">computed based on </w:t>
      </w:r>
      <w:r w:rsidRPr="00C64E8D">
        <w:t xml:space="preserve">the ratios of the methylated signal intensity to the sum of both </w:t>
      </w:r>
      <w:r w:rsidRPr="00C64E8D">
        <w:lastRenderedPageBreak/>
        <w:t xml:space="preserve">methylated and </w:t>
      </w:r>
      <w:proofErr w:type="spellStart"/>
      <w:r w:rsidRPr="00C64E8D">
        <w:t>unmethylated</w:t>
      </w:r>
      <w:proofErr w:type="spellEnd"/>
      <w:r w:rsidRPr="00C64E8D">
        <w:t xml:space="preserve"> signals after background subtraction, they range from 0 (completely </w:t>
      </w:r>
      <w:proofErr w:type="spellStart"/>
      <w:r w:rsidRPr="00C64E8D">
        <w:t>unmethylated</w:t>
      </w:r>
      <w:proofErr w:type="spellEnd"/>
      <w:r w:rsidRPr="00C64E8D">
        <w:t xml:space="preserve"> ) to 1 (fully methylated).</w:t>
      </w:r>
    </w:p>
    <w:p w:rsidR="00C64E8D" w:rsidRDefault="00C64E8D" w:rsidP="00BB1360">
      <w:pPr>
        <w:pStyle w:val="NoSpacing"/>
        <w:jc w:val="both"/>
      </w:pPr>
    </w:p>
    <w:p w:rsidR="00C64E8D" w:rsidRDefault="00C64E8D" w:rsidP="00BB1360">
      <w:pPr>
        <w:pStyle w:val="NoSpacing"/>
        <w:jc w:val="both"/>
      </w:pPr>
      <w:r>
        <w:t xml:space="preserve">A-clustering is an algorithm that detect sets of neighboring </w:t>
      </w:r>
      <w:proofErr w:type="spellStart"/>
      <w:r>
        <w:t>CpG</w:t>
      </w:r>
      <w:proofErr w:type="spellEnd"/>
      <w:r>
        <w:t xml:space="preserve"> sites that are correlated with each other. W</w:t>
      </w:r>
      <w:r w:rsidR="00216076">
        <w:t xml:space="preserve">e applied A-clustering to </w:t>
      </w:r>
      <w:r>
        <w:t xml:space="preserve">the </w:t>
      </w:r>
      <w:r w:rsidR="00216076">
        <w:t>14 samples selected above to obt</w:t>
      </w:r>
      <w:r w:rsidR="00437C59">
        <w:t>ain a total of 3</w:t>
      </w:r>
      <w:r w:rsidR="00507267">
        <w:t>,</w:t>
      </w:r>
      <w:r w:rsidR="00437C59">
        <w:t xml:space="preserve">063 clusters, each consisting of </w:t>
      </w:r>
      <w:r>
        <w:t xml:space="preserve">at least 5 </w:t>
      </w:r>
      <w:r w:rsidR="00216076">
        <w:t xml:space="preserve">adjacent </w:t>
      </w:r>
      <w:proofErr w:type="spellStart"/>
      <w:r w:rsidR="00216076">
        <w:t>CpGs</w:t>
      </w:r>
      <w:proofErr w:type="spellEnd"/>
      <w:r w:rsidR="00216076">
        <w:t xml:space="preserve">. </w:t>
      </w:r>
      <w:r w:rsidR="00437C59">
        <w:t xml:space="preserve">The parameters we used are </w:t>
      </w:r>
      <w:proofErr w:type="spellStart"/>
      <w:proofErr w:type="gramStart"/>
      <w:r w:rsidR="00437C59" w:rsidRPr="00437C59">
        <w:rPr>
          <w:rFonts w:asciiTheme="majorHAnsi" w:hAnsiTheme="majorHAnsi" w:cstheme="majorHAnsi"/>
        </w:rPr>
        <w:t>assign.to.clusters</w:t>
      </w:r>
      <w:proofErr w:type="spellEnd"/>
      <w:r w:rsidR="00437C59" w:rsidRPr="00437C59">
        <w:rPr>
          <w:rFonts w:asciiTheme="majorHAnsi" w:hAnsiTheme="majorHAnsi" w:cstheme="majorHAnsi"/>
        </w:rPr>
        <w:t>(</w:t>
      </w:r>
      <w:proofErr w:type="gramEnd"/>
      <w:r w:rsidR="00437C59" w:rsidRPr="00437C59">
        <w:rPr>
          <w:rFonts w:asciiTheme="majorHAnsi" w:hAnsiTheme="majorHAnsi" w:cstheme="majorHAnsi"/>
        </w:rPr>
        <w:t>betas</w:t>
      </w:r>
      <w:r w:rsidR="00437C59">
        <w:rPr>
          <w:rFonts w:asciiTheme="majorHAnsi" w:hAnsiTheme="majorHAnsi" w:cstheme="majorHAnsi"/>
        </w:rPr>
        <w:t xml:space="preserve"> </w:t>
      </w:r>
      <w:r w:rsidR="00437C59" w:rsidRPr="00437C59">
        <w:rPr>
          <w:rFonts w:asciiTheme="majorHAnsi" w:hAnsiTheme="majorHAnsi" w:cstheme="majorHAnsi"/>
        </w:rPr>
        <w:t>=</w:t>
      </w:r>
      <w:r w:rsidR="00437C59">
        <w:rPr>
          <w:rFonts w:asciiTheme="majorHAnsi" w:hAnsiTheme="majorHAnsi" w:cstheme="majorHAnsi"/>
        </w:rPr>
        <w:t xml:space="preserve"> </w:t>
      </w:r>
      <w:proofErr w:type="spellStart"/>
      <w:r w:rsidR="00437C59" w:rsidRPr="00437C59">
        <w:rPr>
          <w:rFonts w:asciiTheme="majorHAnsi" w:hAnsiTheme="majorHAnsi" w:cstheme="majorHAnsi"/>
        </w:rPr>
        <w:t>beta.value</w:t>
      </w:r>
      <w:proofErr w:type="spellEnd"/>
      <w:r w:rsidR="00437C59" w:rsidRPr="00437C59">
        <w:rPr>
          <w:rFonts w:asciiTheme="majorHAnsi" w:hAnsiTheme="majorHAnsi" w:cstheme="majorHAnsi"/>
        </w:rPr>
        <w:t xml:space="preserve">, </w:t>
      </w:r>
      <w:proofErr w:type="spellStart"/>
      <w:r w:rsidR="00437C59" w:rsidRPr="00437C59">
        <w:rPr>
          <w:rFonts w:asciiTheme="majorHAnsi" w:hAnsiTheme="majorHAnsi" w:cstheme="majorHAnsi"/>
        </w:rPr>
        <w:t>dist.thresh</w:t>
      </w:r>
      <w:proofErr w:type="spellEnd"/>
      <w:r w:rsidR="00437C59" w:rsidRPr="00437C59">
        <w:rPr>
          <w:rFonts w:asciiTheme="majorHAnsi" w:hAnsiTheme="majorHAnsi" w:cstheme="majorHAnsi"/>
        </w:rPr>
        <w:t xml:space="preserve"> = 0.5, </w:t>
      </w:r>
      <w:proofErr w:type="spellStart"/>
      <w:r w:rsidR="00437C59" w:rsidRPr="00437C59">
        <w:rPr>
          <w:rFonts w:asciiTheme="majorHAnsi" w:hAnsiTheme="majorHAnsi" w:cstheme="majorHAnsi"/>
        </w:rPr>
        <w:t>bp.merge</w:t>
      </w:r>
      <w:proofErr w:type="spellEnd"/>
      <w:r w:rsidR="00437C59" w:rsidRPr="00437C59">
        <w:rPr>
          <w:rFonts w:asciiTheme="majorHAnsi" w:hAnsiTheme="majorHAnsi" w:cstheme="majorHAnsi"/>
        </w:rPr>
        <w:t xml:space="preserve"> = 200, </w:t>
      </w:r>
      <w:proofErr w:type="spellStart"/>
      <w:r w:rsidR="00437C59" w:rsidRPr="00437C59">
        <w:rPr>
          <w:rFonts w:asciiTheme="majorHAnsi" w:hAnsiTheme="majorHAnsi" w:cstheme="majorHAnsi"/>
        </w:rPr>
        <w:t>dist.type</w:t>
      </w:r>
      <w:proofErr w:type="spellEnd"/>
      <w:r w:rsidR="00437C59" w:rsidRPr="00437C59">
        <w:rPr>
          <w:rFonts w:asciiTheme="majorHAnsi" w:hAnsiTheme="majorHAnsi" w:cstheme="majorHAnsi"/>
        </w:rPr>
        <w:t>="spearman", method="complete")</w:t>
      </w:r>
      <w:r w:rsidR="00437C59">
        <w:rPr>
          <w:rFonts w:asciiTheme="majorHAnsi" w:hAnsiTheme="majorHAnsi" w:cstheme="majorHAnsi"/>
        </w:rPr>
        <w:t xml:space="preserve"> </w:t>
      </w:r>
      <w:r w:rsidR="00437C59">
        <w:rPr>
          <w:rFonts w:cstheme="minorHAnsi"/>
        </w:rPr>
        <w:t xml:space="preserve">which corresponded to merging two </w:t>
      </w:r>
      <w:proofErr w:type="spellStart"/>
      <w:r w:rsidR="00437C59">
        <w:rPr>
          <w:rFonts w:cstheme="minorHAnsi"/>
        </w:rPr>
        <w:t>CpGs</w:t>
      </w:r>
      <w:proofErr w:type="spellEnd"/>
      <w:r w:rsidR="00437C59">
        <w:rPr>
          <w:rFonts w:cstheme="minorHAnsi"/>
        </w:rPr>
        <w:t xml:space="preserve"> with Spearman correlation greater than 0.5 and are within 200 </w:t>
      </w:r>
      <w:proofErr w:type="spellStart"/>
      <w:r w:rsidR="00437C59">
        <w:rPr>
          <w:rFonts w:cstheme="minorHAnsi"/>
        </w:rPr>
        <w:t>bp</w:t>
      </w:r>
      <w:proofErr w:type="spellEnd"/>
      <w:r w:rsidR="00437C59">
        <w:rPr>
          <w:rFonts w:cstheme="minorHAnsi"/>
        </w:rPr>
        <w:t xml:space="preserve"> into a cluster. </w:t>
      </w:r>
      <w:r>
        <w:t>T</w:t>
      </w:r>
      <w:r w:rsidR="00216076">
        <w:t xml:space="preserve">he clusters </w:t>
      </w:r>
      <w:r w:rsidR="00437C59">
        <w:t xml:space="preserve">obtained </w:t>
      </w:r>
      <w:r w:rsidR="00216076">
        <w:t xml:space="preserve">ranged in size </w:t>
      </w:r>
      <w:r>
        <w:t xml:space="preserve">of </w:t>
      </w:r>
      <w:r w:rsidRPr="00C64E8D">
        <w:rPr>
          <w:highlight w:val="yellow"/>
        </w:rPr>
        <w:t xml:space="preserve">xx </w:t>
      </w:r>
      <w:proofErr w:type="spellStart"/>
      <w:r w:rsidRPr="00C64E8D">
        <w:rPr>
          <w:highlight w:val="yellow"/>
        </w:rPr>
        <w:t>CpGs</w:t>
      </w:r>
      <w:proofErr w:type="spellEnd"/>
      <w:r w:rsidRPr="00C64E8D">
        <w:rPr>
          <w:highlight w:val="yellow"/>
        </w:rPr>
        <w:t xml:space="preserve"> to xx </w:t>
      </w:r>
      <w:proofErr w:type="spellStart"/>
      <w:r w:rsidRPr="00C64E8D">
        <w:rPr>
          <w:highlight w:val="yellow"/>
        </w:rPr>
        <w:t>CpGs</w:t>
      </w:r>
      <w:proofErr w:type="spellEnd"/>
      <w:r>
        <w:t xml:space="preserve">. </w:t>
      </w:r>
      <w:r w:rsidR="00216076">
        <w:t xml:space="preserve">Fig 2 shows an example of </w:t>
      </w:r>
      <w:r w:rsidR="00437C59">
        <w:t xml:space="preserve">an </w:t>
      </w:r>
      <w:r w:rsidR="00216076">
        <w:t>A-cluster.</w:t>
      </w:r>
      <w:r w:rsidR="00437C59">
        <w:t xml:space="preserve"> </w:t>
      </w:r>
    </w:p>
    <w:p w:rsidR="00C64E8D" w:rsidRPr="0001294D" w:rsidRDefault="00C64E8D" w:rsidP="008D344A">
      <w:pPr>
        <w:pStyle w:val="NoSpacing"/>
        <w:rPr>
          <w:rFonts w:ascii="Book Antiqua" w:hAnsi="Book Antiqua"/>
        </w:rPr>
      </w:pPr>
    </w:p>
    <w:p w:rsidR="00236637" w:rsidRPr="0001294D" w:rsidRDefault="00173181" w:rsidP="00CC44EA">
      <w:pPr>
        <w:pStyle w:val="Subtitle"/>
        <w:rPr>
          <w:rFonts w:ascii="Book Antiqua" w:hAnsi="Book Antiqua"/>
          <w:b/>
        </w:rPr>
      </w:pPr>
      <w:r w:rsidRPr="0001294D">
        <w:rPr>
          <w:rFonts w:ascii="Book Antiqua" w:hAnsi="Book Antiqua"/>
          <w:b/>
        </w:rPr>
        <w:t>DMR analysis m</w:t>
      </w:r>
      <w:r w:rsidR="00236637" w:rsidRPr="0001294D">
        <w:rPr>
          <w:rFonts w:ascii="Book Antiqua" w:hAnsi="Book Antiqua"/>
          <w:b/>
        </w:rPr>
        <w:t>ethods</w:t>
      </w:r>
    </w:p>
    <w:p w:rsidR="00252CBF" w:rsidRDefault="00252CBF" w:rsidP="008D344A">
      <w:pPr>
        <w:pStyle w:val="NoSpacing"/>
      </w:pPr>
      <w:r>
        <w:t xml:space="preserve">All the DMR analysis methods follows three steps (1) </w:t>
      </w:r>
      <w:r w:rsidR="00174E28">
        <w:t>fits linear model to each</w:t>
      </w:r>
      <w:r>
        <w:t xml:space="preserve"> </w:t>
      </w:r>
      <w:proofErr w:type="spellStart"/>
      <w:r>
        <w:t>CpGs</w:t>
      </w:r>
      <w:proofErr w:type="spellEnd"/>
      <w:r>
        <w:t xml:space="preserve"> (2) identify candidate regions in the genome with consecutive </w:t>
      </w:r>
      <w:proofErr w:type="spellStart"/>
      <w:r>
        <w:t>CpGs</w:t>
      </w:r>
      <w:proofErr w:type="spellEnd"/>
      <w:r>
        <w:t xml:space="preserve"> with small p-values (3) compute p-values for the candidate regions. We discuss in details for each of these steps for </w:t>
      </w:r>
      <w:proofErr w:type="spellStart"/>
      <w:r>
        <w:t>DMRcate</w:t>
      </w:r>
      <w:proofErr w:type="spellEnd"/>
      <w:r>
        <w:t xml:space="preserve">, </w:t>
      </w:r>
      <w:proofErr w:type="spellStart"/>
      <w:r>
        <w:t>bumphunter</w:t>
      </w:r>
      <w:proofErr w:type="spellEnd"/>
      <w:r>
        <w:t xml:space="preserve">, </w:t>
      </w:r>
      <w:proofErr w:type="spellStart"/>
      <w:r>
        <w:t>probeLasso</w:t>
      </w:r>
      <w:proofErr w:type="spellEnd"/>
      <w:r>
        <w:t xml:space="preserve"> and comb-p in the following</w:t>
      </w:r>
      <w:r w:rsidR="00225356">
        <w:t xml:space="preserve">. </w:t>
      </w:r>
    </w:p>
    <w:p w:rsidR="00252CBF" w:rsidRDefault="00252CBF" w:rsidP="008D344A">
      <w:pPr>
        <w:pStyle w:val="NoSpacing"/>
      </w:pPr>
    </w:p>
    <w:p w:rsidR="00C11F3A" w:rsidRDefault="00C11F3A" w:rsidP="008D344A">
      <w:pPr>
        <w:pStyle w:val="NoSpacing"/>
        <w:rPr>
          <w:rStyle w:val="SubtleEmphasis"/>
          <w:b/>
        </w:rPr>
      </w:pPr>
    </w:p>
    <w:p w:rsidR="00173181" w:rsidRPr="00510FB5" w:rsidRDefault="00173181" w:rsidP="008D344A">
      <w:pPr>
        <w:pStyle w:val="NoSpacing"/>
        <w:rPr>
          <w:rStyle w:val="SubtleEmphasis"/>
          <w:rFonts w:ascii="Book Antiqua" w:hAnsi="Book Antiqua"/>
          <w:b/>
        </w:rPr>
      </w:pPr>
      <w:proofErr w:type="spellStart"/>
      <w:r w:rsidRPr="00510FB5">
        <w:rPr>
          <w:rStyle w:val="SubtleEmphasis"/>
          <w:rFonts w:ascii="Book Antiqua" w:hAnsi="Book Antiqua"/>
          <w:b/>
        </w:rPr>
        <w:t>DMRcate</w:t>
      </w:r>
      <w:proofErr w:type="spellEnd"/>
    </w:p>
    <w:p w:rsidR="00E945EA" w:rsidRDefault="00225356" w:rsidP="00A240A3">
      <w:pPr>
        <w:pStyle w:val="NoSpacing"/>
        <w:jc w:val="both"/>
      </w:pPr>
      <w:r>
        <w:t xml:space="preserve">For the </w:t>
      </w:r>
      <w:proofErr w:type="spellStart"/>
      <w:r>
        <w:t>t</w:t>
      </w:r>
      <w:r w:rsidR="00837FEE">
        <w:t>he</w:t>
      </w:r>
      <w:proofErr w:type="spellEnd"/>
      <w:r w:rsidR="00837FEE">
        <w:t xml:space="preserve"> </w:t>
      </w:r>
      <w:proofErr w:type="spellStart"/>
      <w:r w:rsidR="00252CBF">
        <w:t>DMRcate</w:t>
      </w:r>
      <w:proofErr w:type="spellEnd"/>
      <w:r w:rsidR="00252CBF">
        <w:t xml:space="preserve"> method</w:t>
      </w:r>
      <w:r w:rsidR="0010472D">
        <w:t>, first</w:t>
      </w:r>
      <w:r>
        <w:t xml:space="preserve"> </w:t>
      </w:r>
      <w:r w:rsidR="0010472D">
        <w:t>a</w:t>
      </w:r>
      <w:r>
        <w:t xml:space="preserve"> linear model </w:t>
      </w:r>
      <w:r w:rsidR="0010472D">
        <w:t>with</w:t>
      </w:r>
      <w:r>
        <w:t xml:space="preserve"> methylation M value as the outcome variable, group status and any other covariate variables such as age or batch effects</w:t>
      </w:r>
      <w:r w:rsidR="0010472D">
        <w:t xml:space="preserve"> is applied to data for each</w:t>
      </w:r>
      <w:r w:rsidR="005E0DFC">
        <w:t xml:space="preserve"> individual </w:t>
      </w:r>
      <w:proofErr w:type="spellStart"/>
      <w:r w:rsidR="005E0DFC">
        <w:t>CpG</w:t>
      </w:r>
      <w:proofErr w:type="spellEnd"/>
      <w:r w:rsidR="005E0DFC">
        <w:t xml:space="preserve"> by using functions from the </w:t>
      </w:r>
      <w:proofErr w:type="spellStart"/>
      <w:r w:rsidR="005E0DFC">
        <w:t>limma</w:t>
      </w:r>
      <w:proofErr w:type="spellEnd"/>
      <w:r w:rsidR="005E0DFC">
        <w:t xml:space="preserve"> R package</w:t>
      </w:r>
      <w:r>
        <w:t xml:space="preserve">. </w:t>
      </w:r>
      <w:proofErr w:type="spellStart"/>
      <w:proofErr w:type="gramStart"/>
      <w:r w:rsidR="00D1653D" w:rsidRPr="00D1653D">
        <w:rPr>
          <w:rFonts w:asciiTheme="majorHAnsi" w:hAnsiTheme="majorHAnsi" w:cstheme="majorHAnsi"/>
          <w:i/>
        </w:rPr>
        <w:t>limma</w:t>
      </w:r>
      <w:proofErr w:type="spellEnd"/>
      <w:proofErr w:type="gramEnd"/>
      <w:r w:rsidR="00D1653D" w:rsidRPr="00D1653D">
        <w:rPr>
          <w:i/>
        </w:rPr>
        <w:t xml:space="preserve"> </w:t>
      </w:r>
      <w:r w:rsidR="00D1653D">
        <w:t xml:space="preserve">is one of the most popular statistical tool for assessing differential gene expression expressions. </w:t>
      </w:r>
      <w:r w:rsidR="005E0DFC">
        <w:t>In the application to methylation study, b</w:t>
      </w:r>
      <w:r w:rsidR="00D1653D">
        <w:t xml:space="preserve">ecause </w:t>
      </w:r>
      <w:proofErr w:type="spellStart"/>
      <w:r w:rsidR="00D1653D" w:rsidRPr="00D1653D">
        <w:rPr>
          <w:rFonts w:asciiTheme="majorHAnsi" w:hAnsiTheme="majorHAnsi" w:cstheme="majorHAnsi"/>
          <w:i/>
        </w:rPr>
        <w:t>limma</w:t>
      </w:r>
      <w:proofErr w:type="spellEnd"/>
      <w:r w:rsidR="00D1653D">
        <w:t xml:space="preserve"> shrinks variances for each </w:t>
      </w:r>
      <w:proofErr w:type="spellStart"/>
      <w:r w:rsidR="00D1653D">
        <w:t>CpG</w:t>
      </w:r>
      <w:proofErr w:type="spellEnd"/>
      <w:r w:rsidR="00D1653D">
        <w:t xml:space="preserve"> toward the global variance estimated from all </w:t>
      </w:r>
      <w:proofErr w:type="spellStart"/>
      <w:r w:rsidR="00D1653D">
        <w:t>CpGs</w:t>
      </w:r>
      <w:proofErr w:type="spellEnd"/>
      <w:r w:rsidR="00D1653D">
        <w:t xml:space="preserve"> using the empirical Bayes method, results from </w:t>
      </w:r>
      <w:proofErr w:type="spellStart"/>
      <w:r w:rsidR="00D1653D">
        <w:t>limma</w:t>
      </w:r>
      <w:proofErr w:type="spellEnd"/>
      <w:r w:rsidR="00D1653D">
        <w:t xml:space="preserve"> are more stable for studies with small sample sizes.</w:t>
      </w:r>
      <w:r w:rsidR="0010472D">
        <w:t xml:space="preserve"> </w:t>
      </w:r>
    </w:p>
    <w:p w:rsidR="00E945EA" w:rsidRDefault="00E945EA" w:rsidP="00D1653D">
      <w:pPr>
        <w:pStyle w:val="NoSpacing"/>
      </w:pPr>
    </w:p>
    <w:p w:rsidR="00174E28" w:rsidRDefault="00E945EA" w:rsidP="00A240A3">
      <w:pPr>
        <w:pStyle w:val="NoSpacing"/>
        <w:jc w:val="both"/>
      </w:pPr>
      <w:r>
        <w:t>The statistic Y = t</w:t>
      </w:r>
      <w:r w:rsidRPr="00E945EA">
        <w:rPr>
          <w:vertAlign w:val="superscript"/>
        </w:rPr>
        <w:t>2</w:t>
      </w:r>
      <w:r>
        <w:t xml:space="preserve"> is calculated for each position, where </w:t>
      </w:r>
      <w:proofErr w:type="spellStart"/>
      <w:r>
        <w:t>t</w:t>
      </w:r>
      <w:proofErr w:type="spellEnd"/>
      <w:r>
        <w:t xml:space="preserve"> is the t-statistics from linear model corresponding to group effect. </w:t>
      </w:r>
      <w:r w:rsidR="0010472D">
        <w:t xml:space="preserve">In the second step, </w:t>
      </w:r>
      <w:proofErr w:type="spellStart"/>
      <w:r w:rsidR="0010472D">
        <w:t>DMRcate</w:t>
      </w:r>
      <w:proofErr w:type="spellEnd"/>
      <w:r w:rsidR="0010472D">
        <w:t xml:space="preserve"> </w:t>
      </w:r>
      <w:r>
        <w:t>applies kernel smoothing using the</w:t>
      </w:r>
      <w:r w:rsidR="0010472D">
        <w:t xml:space="preserve"> Gaussi</w:t>
      </w:r>
      <w:r>
        <w:t>a</w:t>
      </w:r>
      <w:r w:rsidR="0010472D">
        <w:t>n</w:t>
      </w:r>
      <w:r>
        <w:t xml:space="preserve"> smoother. P-values for each position is then computed by moment matching using the method of </w:t>
      </w:r>
      <w:proofErr w:type="spellStart"/>
      <w:r>
        <w:t>Sattererthwaite</w:t>
      </w:r>
      <w:proofErr w:type="spellEnd"/>
      <w:r>
        <w:t xml:space="preserve"> (ref). The </w:t>
      </w:r>
      <w:proofErr w:type="spellStart"/>
      <w:r>
        <w:t>CpG</w:t>
      </w:r>
      <w:proofErr w:type="spellEnd"/>
      <w:r>
        <w:t xml:space="preserve"> sites with </w:t>
      </w:r>
      <w:proofErr w:type="spellStart"/>
      <w:r>
        <w:t>with</w:t>
      </w:r>
      <w:proofErr w:type="spellEnd"/>
      <w:r>
        <w:t xml:space="preserve"> multiple comparison corrected (via method of BH) are selected</w:t>
      </w:r>
      <w:r w:rsidR="00D03816">
        <w:t xml:space="preserve"> as significant </w:t>
      </w:r>
      <w:proofErr w:type="spellStart"/>
      <w:r w:rsidR="00D03816">
        <w:t>CpGs</w:t>
      </w:r>
      <w:proofErr w:type="spellEnd"/>
      <w:r>
        <w:t xml:space="preserve">. </w:t>
      </w:r>
    </w:p>
    <w:p w:rsidR="00174E28" w:rsidRDefault="00174E28" w:rsidP="00D1653D">
      <w:pPr>
        <w:pStyle w:val="NoSpacing"/>
      </w:pPr>
    </w:p>
    <w:p w:rsidR="00E945EA" w:rsidRDefault="00E945EA" w:rsidP="00A240A3">
      <w:pPr>
        <w:pStyle w:val="NoSpacing"/>
        <w:jc w:val="both"/>
      </w:pPr>
      <w:r>
        <w:t>Regions for DMRs are identifi</w:t>
      </w:r>
      <w:r w:rsidR="00D03816">
        <w:t>ed by collapsing contiguous</w:t>
      </w:r>
      <w:r>
        <w:t xml:space="preserve"> </w:t>
      </w:r>
      <w:r w:rsidR="00D03816">
        <w:t xml:space="preserve">significant </w:t>
      </w:r>
      <w:proofErr w:type="spellStart"/>
      <w:r>
        <w:t>CpGs</w:t>
      </w:r>
      <w:proofErr w:type="spellEnd"/>
      <w:r>
        <w:t xml:space="preserve"> that are at most </w:t>
      </w:r>
      <w:proofErr w:type="spellStart"/>
      <w:r>
        <w:t>la</w:t>
      </w:r>
      <w:r w:rsidR="00D03816">
        <w:t>mda</w:t>
      </w:r>
      <w:proofErr w:type="spellEnd"/>
      <w:r w:rsidR="00D03816">
        <w:t xml:space="preserve"> nucleotides from each other. The p-value for DMR is compu</w:t>
      </w:r>
      <w:r w:rsidR="00012994">
        <w:t xml:space="preserve">ted using Stouffer’s method </w:t>
      </w:r>
      <w:r w:rsidR="00012994">
        <w:fldChar w:fldCharType="begin"/>
      </w:r>
      <w:r w:rsidR="00012994">
        <w:instrText xml:space="preserve"> ADDIN EN.CITE &lt;EndNote&gt;&lt;Cite&gt;&lt;Author&gt;Hoffman&lt;/Author&gt;&lt;Year&gt;1965&lt;/Year&gt;&lt;RecNum&gt;19&lt;/RecNum&gt;&lt;DisplayText&gt;(Hoffman, 1965)&lt;/DisplayText&gt;&lt;record&gt;&lt;rec-number&gt;19&lt;/rec-number&gt;&lt;foreign-keys&gt;&lt;key app="EN" db-id="wdt5af9r82tws7efato550zydf59sxaepd00" timestamp="1515980646"&gt;19&lt;/key&gt;&lt;/foreign-keys&gt;&lt;ref-type name="Journal Article"&gt;17&lt;/ref-type&gt;&lt;contributors&gt;&lt;authors&gt;&lt;author&gt;Hoffman, J.&lt;/author&gt;&lt;/authors&gt;&lt;/contributors&gt;&lt;titles&gt;&lt;title&gt;The American Soldier, Vol 1, Adjustment during Army Life, Vol 2, Combat and Its Aftermath - Stouffer&lt;/title&gt;&lt;secondary-title&gt;Contemporary Psychology&lt;/secondary-title&gt;&lt;alt-title&gt;Contemp Psychol&lt;/alt-title&gt;&lt;/titles&gt;&lt;periodical&gt;&lt;full-title&gt;Contemporary Psychology&lt;/full-title&gt;&lt;abbr-1&gt;Contemp Psychol&lt;/abbr-1&gt;&lt;/periodical&gt;&lt;alt-periodical&gt;&lt;full-title&gt;Contemporary Psychology&lt;/full-title&gt;&lt;abbr-1&gt;Contemp Psychol&lt;/abbr-1&gt;&lt;/alt-periodical&gt;&lt;pages&gt;505-505&lt;/pages&gt;&lt;volume&gt;10&lt;/volume&gt;&lt;number&gt;11&lt;/number&gt;&lt;dates&gt;&lt;year&gt;1965&lt;/year&gt;&lt;/dates&gt;&lt;isbn&gt;0010-7549&lt;/isbn&gt;&lt;accession-num&gt;WOS:A1965CDA0200031&lt;/accession-num&gt;&lt;urls&gt;&lt;related-urls&gt;&lt;url&gt;&amp;lt;Go to ISI&amp;gt;://WOS:A1965CDA0200031&lt;/url&gt;&lt;/related-urls&gt;&lt;/urls&gt;&lt;language&gt;English&lt;/language&gt;&lt;/record&gt;&lt;/Cite&gt;&lt;/EndNote&gt;</w:instrText>
      </w:r>
      <w:r w:rsidR="00012994">
        <w:fldChar w:fldCharType="separate"/>
      </w:r>
      <w:r w:rsidR="00012994">
        <w:rPr>
          <w:noProof/>
        </w:rPr>
        <w:t>(</w:t>
      </w:r>
      <w:hyperlink w:anchor="_ENREF_2" w:tooltip="Hoffman, 1965 #19" w:history="1">
        <w:r w:rsidR="00A8434B">
          <w:rPr>
            <w:noProof/>
          </w:rPr>
          <w:t>Hoffman, 1965</w:t>
        </w:r>
      </w:hyperlink>
      <w:r w:rsidR="00012994">
        <w:rPr>
          <w:noProof/>
        </w:rPr>
        <w:t>)</w:t>
      </w:r>
      <w:r w:rsidR="00012994">
        <w:fldChar w:fldCharType="end"/>
      </w:r>
      <w:r w:rsidR="00D03816">
        <w:t xml:space="preserve">. </w:t>
      </w:r>
    </w:p>
    <w:p w:rsidR="007C03EB" w:rsidRDefault="007C03EB" w:rsidP="00D1653D">
      <w:pPr>
        <w:pStyle w:val="NoSpacing"/>
      </w:pPr>
    </w:p>
    <w:p w:rsidR="00173181" w:rsidRPr="00FB2308" w:rsidRDefault="00173181" w:rsidP="008D344A">
      <w:pPr>
        <w:pStyle w:val="NoSpacing"/>
        <w:rPr>
          <w:rStyle w:val="SubtleEmphasis"/>
          <w:rFonts w:ascii="Book Antiqua" w:hAnsi="Book Antiqua"/>
          <w:b/>
        </w:rPr>
      </w:pPr>
      <w:proofErr w:type="spellStart"/>
      <w:r w:rsidRPr="00FB2308">
        <w:rPr>
          <w:rStyle w:val="SubtleEmphasis"/>
          <w:rFonts w:ascii="Book Antiqua" w:hAnsi="Book Antiqua"/>
          <w:b/>
        </w:rPr>
        <w:t>Bumphunter</w:t>
      </w:r>
      <w:proofErr w:type="spellEnd"/>
    </w:p>
    <w:p w:rsidR="00202F31" w:rsidRDefault="00B770B2" w:rsidP="00A240A3">
      <w:pPr>
        <w:pStyle w:val="NoSpacing"/>
        <w:jc w:val="both"/>
      </w:pPr>
      <w:r>
        <w:t>In th</w:t>
      </w:r>
      <w:r w:rsidR="00202F31">
        <w:t xml:space="preserve">e </w:t>
      </w:r>
      <w:proofErr w:type="spellStart"/>
      <w:r w:rsidR="00202F31">
        <w:t>bumphunting</w:t>
      </w:r>
      <w:proofErr w:type="spellEnd"/>
      <w:r w:rsidR="00202F31">
        <w:t xml:space="preserve"> method, first </w:t>
      </w:r>
      <w:r>
        <w:t>a</w:t>
      </w:r>
      <w:r w:rsidR="00202F31">
        <w:t xml:space="preserve"> linear regression model </w:t>
      </w:r>
      <w:r w:rsidR="00202F31" w:rsidRPr="00202F31">
        <w:rPr>
          <w:rFonts w:asciiTheme="majorHAnsi" w:hAnsiTheme="majorHAnsi" w:cstheme="majorHAnsi"/>
        </w:rPr>
        <w:t>M value ~ Group</w:t>
      </w:r>
      <w:r w:rsidR="00202F31">
        <w:t xml:space="preserve"> is applied to model differential methylation between case and control groups at each </w:t>
      </w:r>
      <w:proofErr w:type="spellStart"/>
      <w:r w:rsidR="00202F31">
        <w:t>CpG</w:t>
      </w:r>
      <w:proofErr w:type="spellEnd"/>
      <w:r w:rsidR="00202F31">
        <w:t xml:space="preserve"> site. Here M value is a logit transformation of the beta values, i.e. M value = log</w:t>
      </w:r>
      <w:r w:rsidR="00202F31" w:rsidRPr="00202F31">
        <w:rPr>
          <w:vertAlign w:val="subscript"/>
        </w:rPr>
        <w:t>2</w:t>
      </w:r>
      <w:r w:rsidR="00202F31">
        <w:t xml:space="preserve"> (beta value / (1- beta value). It has been shown that in the analysis of methylat</w:t>
      </w:r>
      <w:r>
        <w:t xml:space="preserve">ion data, </w:t>
      </w:r>
      <w:r w:rsidRPr="00B770B2">
        <w:t>M values have better statistical properties such as homoscedasticity (ref)</w:t>
      </w:r>
      <w:r w:rsidR="004C4058">
        <w:t xml:space="preserve">. Next, an optional smoothing step is involved where the loess curve fitting is applied to estimated t-statistic corresponding to the regression coefficients. Candidate regions (bumps) are identified to be clusters of consecutive probes for which all the t-statistics exceed a user defined threshold (argument xx in </w:t>
      </w:r>
      <w:proofErr w:type="spellStart"/>
      <w:r w:rsidR="004C4058">
        <w:t>bumphunter</w:t>
      </w:r>
      <w:proofErr w:type="spellEnd"/>
      <w:r w:rsidR="004C4058">
        <w:t xml:space="preserve"> function). Permutation test</w:t>
      </w:r>
      <w:r w:rsidR="00B7307A">
        <w:t>,</w:t>
      </w:r>
      <w:r w:rsidR="004C4058">
        <w:t xml:space="preserve"> </w:t>
      </w:r>
      <w:r w:rsidR="00B7307A">
        <w:t xml:space="preserve">which permutes sample labels to create null distribution of candidate regions, </w:t>
      </w:r>
      <w:r w:rsidR="00945A1C">
        <w:t xml:space="preserve">are then </w:t>
      </w:r>
      <w:r w:rsidR="004C4058">
        <w:t xml:space="preserve">conducted to estimate statistical significance of the candidate regions.  </w:t>
      </w:r>
    </w:p>
    <w:p w:rsidR="00202F31" w:rsidRDefault="00202F31" w:rsidP="008D344A">
      <w:pPr>
        <w:pStyle w:val="NoSpacing"/>
      </w:pPr>
    </w:p>
    <w:p w:rsidR="00202F31" w:rsidRDefault="00945A1C" w:rsidP="00A240A3">
      <w:pPr>
        <w:pStyle w:val="NoSpacing"/>
        <w:jc w:val="both"/>
      </w:pPr>
      <w:r>
        <w:t xml:space="preserve">The </w:t>
      </w:r>
      <w:proofErr w:type="spellStart"/>
      <w:r>
        <w:t>bumphunter</w:t>
      </w:r>
      <w:proofErr w:type="spellEnd"/>
      <w:r>
        <w:t xml:space="preserve"> function is implemented in </w:t>
      </w:r>
      <w:proofErr w:type="spellStart"/>
      <w:r w:rsidRPr="00B7307A">
        <w:rPr>
          <w:i/>
        </w:rPr>
        <w:t>minfi</w:t>
      </w:r>
      <w:proofErr w:type="spellEnd"/>
      <w:r w:rsidRPr="00B7307A">
        <w:rPr>
          <w:i/>
        </w:rPr>
        <w:t xml:space="preserve"> </w:t>
      </w:r>
      <w:r>
        <w:t xml:space="preserve">R package. </w:t>
      </w:r>
      <w:r w:rsidR="00B7307A">
        <w:t>Note that i</w:t>
      </w:r>
      <w:r>
        <w:t xml:space="preserve">n the identification of regions, spatial correlation structure were used to model correlations of methylation levels between </w:t>
      </w:r>
      <w:r w:rsidR="00B7307A">
        <w:t xml:space="preserve">neighboring </w:t>
      </w:r>
      <w:proofErr w:type="spellStart"/>
      <w:r w:rsidR="00B7307A">
        <w:t>CpGs</w:t>
      </w:r>
      <w:proofErr w:type="spellEnd"/>
      <w:r w:rsidR="00B7307A">
        <w:t xml:space="preserve">. When design of the study involves covariate variables, such as </w:t>
      </w:r>
      <w:r w:rsidR="00667A3F">
        <w:t xml:space="preserve">age or batch effect, bootstrap </w:t>
      </w:r>
      <w:r w:rsidR="00667A3F">
        <w:fldChar w:fldCharType="begin"/>
      </w:r>
      <w:r w:rsidR="00667A3F">
        <w:instrText xml:space="preserve"> ADDIN EN.CITE &lt;EndNote&gt;&lt;Cite&gt;&lt;Author&gt;Rindskopf&lt;/Author&gt;&lt;Year&gt;1997&lt;/Year&gt;&lt;RecNum&gt;17&lt;/RecNum&gt;&lt;DisplayText&gt;(Rindskopf, 1997)&lt;/DisplayText&gt;&lt;record&gt;&lt;rec-number&gt;17&lt;/rec-number&gt;&lt;foreign-keys&gt;&lt;key app="EN" db-id="wdt5af9r82tws7efato550zydf59sxaepd00" timestamp="1515980446"&gt;17&lt;/key&gt;&lt;/foreign-keys&gt;&lt;ref-type name="Journal Article"&gt;17&lt;/ref-type&gt;&lt;contributors&gt;&lt;authors&gt;&lt;author&gt;Rindskopf, D.&lt;/author&gt;&lt;/authors&gt;&lt;/contributors&gt;&lt;titles&gt;&lt;title&gt;An introduction to the bootstrap - Efron,B, Tibshirani,RJ&lt;/title&gt;&lt;secondary-title&gt;Journal of Educational and Behavioral Statistics&lt;/secondary-title&gt;&lt;alt-title&gt;J Educ Behav Stat&lt;/alt-title&gt;&lt;/titles&gt;&lt;periodical&gt;&lt;full-title&gt;Journal of Educational and Behavioral Statistics&lt;/full-title&gt;&lt;abbr-1&gt;J Educ Behav Stat&lt;/abbr-1&gt;&lt;/periodical&gt;&lt;alt-periodical&gt;&lt;full-title&gt;Journal of Educational and Behavioral Statistics&lt;/full-title&gt;&lt;abbr-1&gt;J Educ Behav Stat&lt;/abbr-1&gt;&lt;/alt-periodical&gt;&lt;pages&gt;245-245&lt;/pages&gt;&lt;volume&gt;22&lt;/volume&gt;&lt;number&gt;2&lt;/number&gt;&lt;dates&gt;&lt;year&gt;1997&lt;/year&gt;&lt;pub-dates&gt;&lt;date&gt;Sum&lt;/date&gt;&lt;/pub-dates&gt;&lt;/dates&gt;&lt;isbn&gt;1076-9986&lt;/isbn&gt;&lt;accession-num&gt;WOS:A1997XK07900012&lt;/accession-num&gt;&lt;urls&gt;&lt;related-urls&gt;&lt;url&gt;&amp;lt;Go to ISI&amp;gt;://WOS:A1997XK07900012&lt;/url&gt;&lt;/related-urls&gt;&lt;/urls&gt;&lt;language&gt;English&lt;/language&gt;&lt;/record&gt;&lt;/Cite&gt;&lt;/EndNote&gt;</w:instrText>
      </w:r>
      <w:r w:rsidR="00667A3F">
        <w:fldChar w:fldCharType="separate"/>
      </w:r>
      <w:r w:rsidR="00667A3F">
        <w:rPr>
          <w:noProof/>
        </w:rPr>
        <w:t>(</w:t>
      </w:r>
      <w:hyperlink w:anchor="_ENREF_7" w:tooltip="Rindskopf, 1997 #17" w:history="1">
        <w:r w:rsidR="00A8434B">
          <w:rPr>
            <w:noProof/>
          </w:rPr>
          <w:t>Rindskopf, 1997</w:t>
        </w:r>
      </w:hyperlink>
      <w:r w:rsidR="00667A3F">
        <w:rPr>
          <w:noProof/>
        </w:rPr>
        <w:t>)</w:t>
      </w:r>
      <w:r w:rsidR="00667A3F">
        <w:fldChar w:fldCharType="end"/>
      </w:r>
      <w:r w:rsidR="00B7307A">
        <w:t xml:space="preserve"> </w:t>
      </w:r>
      <w:r w:rsidR="007C03EB">
        <w:t>option can be</w:t>
      </w:r>
      <w:r w:rsidR="00B7307A">
        <w:t xml:space="preserve"> used to estimated statistical significance of the bumps. </w:t>
      </w:r>
    </w:p>
    <w:p w:rsidR="0015415A" w:rsidRDefault="0015415A" w:rsidP="008D344A">
      <w:pPr>
        <w:pStyle w:val="NoSpacing"/>
      </w:pPr>
    </w:p>
    <w:p w:rsidR="0015415A" w:rsidRDefault="00667A3F" w:rsidP="0015415A">
      <w:pPr>
        <w:pStyle w:val="NoSpacing"/>
      </w:pPr>
      <w:r>
        <w:t>####</w:t>
      </w:r>
      <w:r w:rsidR="0015415A">
        <w:t xml:space="preserve">Ref </w:t>
      </w:r>
      <w:proofErr w:type="spellStart"/>
      <w:proofErr w:type="gramStart"/>
      <w:r w:rsidR="0015415A">
        <w:t>Efron</w:t>
      </w:r>
      <w:proofErr w:type="spellEnd"/>
      <w:r w:rsidR="0015415A">
        <w:t xml:space="preserve">  B</w:t>
      </w:r>
      <w:proofErr w:type="gramEnd"/>
      <w:r w:rsidR="0015415A">
        <w:t xml:space="preserve">,  </w:t>
      </w:r>
      <w:proofErr w:type="spellStart"/>
      <w:r w:rsidR="0015415A">
        <w:t>Tibshirani</w:t>
      </w:r>
      <w:proofErr w:type="spellEnd"/>
      <w:r w:rsidR="0015415A">
        <w:t xml:space="preserve">  RJ. </w:t>
      </w:r>
      <w:proofErr w:type="gramStart"/>
      <w:r w:rsidR="00AC2CAB">
        <w:t>An  Introduction</w:t>
      </w:r>
      <w:proofErr w:type="gramEnd"/>
      <w:r w:rsidR="00AC2CAB">
        <w:t xml:space="preserve">  to  the  Bootstrap</w:t>
      </w:r>
      <w:r w:rsidR="0015415A">
        <w:t xml:space="preserve">. </w:t>
      </w:r>
      <w:proofErr w:type="gramStart"/>
      <w:r w:rsidR="0015415A">
        <w:t>New  York</w:t>
      </w:r>
      <w:proofErr w:type="gramEnd"/>
      <w:r w:rsidR="0015415A">
        <w:t>,  NY:  Chapman  and  Hall,  1993,  p.  436.</w:t>
      </w:r>
    </w:p>
    <w:p w:rsidR="00202F31" w:rsidRDefault="00202F31" w:rsidP="008D344A">
      <w:pPr>
        <w:pStyle w:val="NoSpacing"/>
      </w:pPr>
    </w:p>
    <w:p w:rsidR="00173181" w:rsidRPr="00FB2308" w:rsidRDefault="00173181" w:rsidP="008D344A">
      <w:pPr>
        <w:pStyle w:val="NoSpacing"/>
        <w:rPr>
          <w:rStyle w:val="SubtleEmphasis"/>
          <w:rFonts w:ascii="Book Antiqua" w:hAnsi="Book Antiqua"/>
          <w:b/>
        </w:rPr>
      </w:pPr>
      <w:r w:rsidRPr="00FB2308">
        <w:rPr>
          <w:rStyle w:val="SubtleEmphasis"/>
          <w:rFonts w:ascii="Book Antiqua" w:hAnsi="Book Antiqua"/>
          <w:b/>
        </w:rPr>
        <w:t>Probe</w:t>
      </w:r>
      <w:r w:rsidR="00E353ED">
        <w:rPr>
          <w:rStyle w:val="SubtleEmphasis"/>
          <w:rFonts w:ascii="Book Antiqua" w:hAnsi="Book Antiqua"/>
          <w:b/>
        </w:rPr>
        <w:t xml:space="preserve"> </w:t>
      </w:r>
      <w:r w:rsidRPr="00FB2308">
        <w:rPr>
          <w:rStyle w:val="SubtleEmphasis"/>
          <w:rFonts w:ascii="Book Antiqua" w:hAnsi="Book Antiqua"/>
          <w:b/>
        </w:rPr>
        <w:t>Lasso</w:t>
      </w:r>
      <w:r w:rsidR="00C44D65">
        <w:rPr>
          <w:rStyle w:val="SubtleEmphasis"/>
          <w:rFonts w:ascii="Book Antiqua" w:hAnsi="Book Antiqua"/>
          <w:b/>
        </w:rPr>
        <w:t xml:space="preserve"> </w:t>
      </w:r>
      <w:r w:rsidR="00C44D65" w:rsidRPr="00845A6B">
        <w:rPr>
          <w:rStyle w:val="SubtleEmphasis"/>
          <w:rFonts w:ascii="Book Antiqua" w:hAnsi="Book Antiqua"/>
          <w:b/>
          <w:color w:val="FF0000"/>
        </w:rPr>
        <w:t>###</w:t>
      </w:r>
      <w:r w:rsidR="00C44D65">
        <w:rPr>
          <w:rStyle w:val="SubtleEmphasis"/>
          <w:rFonts w:ascii="Book Antiqua" w:hAnsi="Book Antiqua"/>
          <w:b/>
          <w:color w:val="FF0000"/>
        </w:rPr>
        <w:t>Not checked before</w:t>
      </w:r>
    </w:p>
    <w:p w:rsidR="00E565A6" w:rsidRDefault="00152925" w:rsidP="000F0F83">
      <w:pPr>
        <w:pStyle w:val="NoSpacing"/>
        <w:jc w:val="both"/>
      </w:pPr>
      <w:r>
        <w:t>For the case of considering the spacing between the uneven probes, probe Lasso produces flexible (i.e.,</w:t>
      </w:r>
      <w:r w:rsidR="000F0F83">
        <w:t xml:space="preserve"> </w:t>
      </w:r>
      <w:r>
        <w:t xml:space="preserve">fault-tolerant) and dynamic lassos which are fit with the content of the local feature. Probe-lassos might be contemplated as consisting of a </w:t>
      </w:r>
      <w:r w:rsidR="00431D99">
        <w:t>center</w:t>
      </w:r>
      <w:r>
        <w:t xml:space="preserve"> and a radius. Just like real object, a probe-lasso can be “thrown” throughout a probe and the radius of it </w:t>
      </w:r>
      <w:r>
        <w:lastRenderedPageBreak/>
        <w:t xml:space="preserve">expands to upstream as well as downstream, that are itself </w:t>
      </w:r>
      <w:r w:rsidR="005F371B">
        <w:t>centered</w:t>
      </w:r>
      <w:r>
        <w:t xml:space="preserve"> on the</w:t>
      </w:r>
      <w:r w:rsidR="00431D99">
        <w:t xml:space="preserve"> </w:t>
      </w:r>
      <w:r>
        <w:t xml:space="preserve">targeted </w:t>
      </w:r>
      <w:proofErr w:type="spellStart"/>
      <w:r>
        <w:t>CpG</w:t>
      </w:r>
      <w:proofErr w:type="spellEnd"/>
      <w:r>
        <w:t>.</w:t>
      </w:r>
      <w:r w:rsidR="00431D99">
        <w:t xml:space="preserve"> Notably, important (significant) DMR calling using the non-CG positions exclusively could not be promoted due to their scant distribution on the respective 450K </w:t>
      </w:r>
      <w:proofErr w:type="spellStart"/>
      <w:r w:rsidR="00431D99">
        <w:t>BeadChip</w:t>
      </w:r>
      <w:proofErr w:type="spellEnd"/>
      <w:r w:rsidR="00431D99">
        <w:t>. Specially, probe-lasso derivation is completely depending upon user-provided thresholds as well as the input dataset.</w:t>
      </w:r>
      <w:r w:rsidR="00E565A6">
        <w:t xml:space="preserve"> Probe Lasso computes probe-spacing for every probe belonging to the dataset. Thereafter, these data are grouped together into an epigenetic (or, genetic) types (viz., 4 CGI relations, and</w:t>
      </w:r>
      <w:r w:rsidR="000F0F83">
        <w:t xml:space="preserve"> </w:t>
      </w:r>
      <w:r w:rsidR="00E565A6">
        <w:t xml:space="preserve">7 gene features) and then converted into the quantile distributions. </w:t>
      </w:r>
    </w:p>
    <w:p w:rsidR="00E565A6" w:rsidRDefault="00E565A6" w:rsidP="000F0F83">
      <w:pPr>
        <w:pStyle w:val="NoSpacing"/>
        <w:jc w:val="both"/>
      </w:pPr>
    </w:p>
    <w:p w:rsidR="00173181" w:rsidRDefault="00E565A6" w:rsidP="000F0F83">
      <w:pPr>
        <w:pStyle w:val="NoSpacing"/>
        <w:jc w:val="both"/>
      </w:pPr>
      <w:r>
        <w:t>A contingency is here prepared based on two user-defined parameters, “</w:t>
      </w:r>
      <w:proofErr w:type="spellStart"/>
      <w:r>
        <w:t>lassoStyle</w:t>
      </w:r>
      <w:proofErr w:type="spellEnd"/>
      <w:r>
        <w:t>” and “</w:t>
      </w:r>
      <w:proofErr w:type="spellStart"/>
      <w:r>
        <w:t>lassoRadius</w:t>
      </w:r>
      <w:proofErr w:type="spellEnd"/>
      <w:r>
        <w:t>”. While “</w:t>
      </w:r>
      <w:proofErr w:type="spellStart"/>
      <w:r>
        <w:t>lassoStyle</w:t>
      </w:r>
      <w:proofErr w:type="spellEnd"/>
      <w:r>
        <w:t xml:space="preserve">” = max, size of the probe-lasso becomes ≤ (2×lassoRadius) </w:t>
      </w:r>
      <w:proofErr w:type="spellStart"/>
      <w:r>
        <w:t>bp.</w:t>
      </w:r>
      <w:proofErr w:type="spellEnd"/>
      <w:r>
        <w:t xml:space="preserve"> On the other hand, whenever “</w:t>
      </w:r>
      <w:proofErr w:type="spellStart"/>
      <w:r>
        <w:t>lassoStyle</w:t>
      </w:r>
      <w:proofErr w:type="spellEnd"/>
      <w:r>
        <w:t xml:space="preserve">” = min, the probe-lassos must have the size of ≥ (2×lassoRadius) </w:t>
      </w:r>
      <w:proofErr w:type="spellStart"/>
      <w:r>
        <w:t>bp.</w:t>
      </w:r>
      <w:proofErr w:type="spellEnd"/>
      <w:r>
        <w:t xml:space="preserve"> Since every epigenetic (or, genetic) type has individual probe-spacing, Probe Lasso detects the epigenetic (or, genetic) type which follows the user-defined maximum (or, minimum) </w:t>
      </w:r>
      <w:proofErr w:type="spellStart"/>
      <w:r>
        <w:t>lassoRadius</w:t>
      </w:r>
      <w:proofErr w:type="spellEnd"/>
      <w:r>
        <w:t xml:space="preserve"> as well as derives the quantile in which it locates. Then the derived quantile is utilized to every</w:t>
      </w:r>
      <w:r w:rsidR="00BF6F5E">
        <w:t xml:space="preserve"> </w:t>
      </w:r>
      <w:r>
        <w:t>epigenetic (or, genetic) distribution of the probe-</w:t>
      </w:r>
      <w:proofErr w:type="spellStart"/>
      <w:r>
        <w:t>spacings</w:t>
      </w:r>
      <w:proofErr w:type="spellEnd"/>
      <w:r>
        <w:t xml:space="preserve"> for generating the </w:t>
      </w:r>
      <w:proofErr w:type="spellStart"/>
      <w:r>
        <w:t>probelassos</w:t>
      </w:r>
      <w:proofErr w:type="spellEnd"/>
      <w:r>
        <w:t xml:space="preserve"> which differ depending</w:t>
      </w:r>
      <w:r w:rsidR="00BF6F5E">
        <w:t xml:space="preserve"> </w:t>
      </w:r>
      <w:r>
        <w:t>on the epigenetic (or, genetic) feature.</w:t>
      </w:r>
    </w:p>
    <w:p w:rsidR="00E565A6" w:rsidRDefault="00E565A6" w:rsidP="000F0F83">
      <w:pPr>
        <w:pStyle w:val="NoSpacing"/>
        <w:jc w:val="both"/>
      </w:pPr>
    </w:p>
    <w:p w:rsidR="00152925" w:rsidRDefault="001222CA" w:rsidP="000F0F83">
      <w:pPr>
        <w:pStyle w:val="NoSpacing"/>
        <w:jc w:val="both"/>
      </w:pPr>
      <w:r>
        <w:t>Probe Lasso</w:t>
      </w:r>
      <w:r w:rsidR="00E565A6">
        <w:t xml:space="preserve"> </w:t>
      </w:r>
      <w:r>
        <w:fldChar w:fldCharType="begin"/>
      </w:r>
      <w:r>
        <w:instrText xml:space="preserve"> ADDIN EN.CITE &lt;EndNote&gt;&lt;Cite&gt;&lt;Author&gt;Butcher&lt;/Author&gt;&lt;Year&gt;2015&lt;/Year&gt;&lt;RecNum&gt;13&lt;/RecNum&gt;&lt;DisplayText&gt;(Butcher and Beck, 2015)&lt;/DisplayText&gt;&lt;record&gt;&lt;rec-number&gt;13&lt;/rec-number&gt;&lt;foreign-keys&gt;&lt;key app="EN" db-id="wdt5af9r82tws7efato550zydf59sxaepd00" timestamp="1515980273"&gt;13&lt;/key&gt;&lt;/foreign-keys&gt;&lt;ref-type name="Journal Article"&gt;17&lt;/ref-type&gt;&lt;contributors&gt;&lt;authors&gt;&lt;author&gt;Butcher, L. M.&lt;/author&gt;&lt;author&gt;Beck, S.&lt;/author&gt;&lt;/authors&gt;&lt;/contributors&gt;&lt;auth-address&gt;UCL Cancer Institute, University College London, London WC1E 6BT, UK. Electronic address: l.butcher@ucl.ac.uk.&amp;#xD;UCL Cancer Institute, University College London, London WC1E 6BT, UK.&lt;/auth-address&gt;&lt;titles&gt;&lt;title&gt;Probe Lasso: a novel method to rope in differentially methylated regions with 450K DNA methylation data&lt;/title&gt;&lt;secondary-title&gt;Methods&lt;/secondary-title&gt;&lt;/titles&gt;&lt;periodical&gt;&lt;full-title&gt;Methods&lt;/full-title&gt;&lt;/periodical&gt;&lt;pages&gt;21-8&lt;/pages&gt;&lt;volume&gt;72&lt;/volume&gt;&lt;keywords&gt;&lt;keyword&gt;Algorithms&lt;/keyword&gt;&lt;keyword&gt;CpG Islands&lt;/keyword&gt;&lt;keyword&gt;*DNA Methylation&lt;/keyword&gt;&lt;keyword&gt;Data Interpretation, Statistical&lt;/keyword&gt;&lt;keyword&gt;Datasets as Topic&lt;/keyword&gt;&lt;keyword&gt;Epigenomics/methods&lt;/keyword&gt;&lt;keyword&gt;Oligonucleotide Array Sequence Analysis/*methods&lt;/keyword&gt;&lt;keyword&gt;Software&lt;/keyword&gt;&lt;keyword&gt;DNA methylation&lt;/keyword&gt;&lt;keyword&gt;Differentially methylated regions&lt;/keyword&gt;&lt;keyword&gt;Ewas&lt;/keyword&gt;&lt;keyword&gt;Epigenetics&lt;/keyword&gt;&lt;keyword&gt;Illumina 450K BeadChip&lt;/keyword&gt;&lt;/keywords&gt;&lt;dates&gt;&lt;year&gt;2015&lt;/year&gt;&lt;pub-dates&gt;&lt;date&gt;Jan 15&lt;/date&gt;&lt;/pub-dates&gt;&lt;/dates&gt;&lt;isbn&gt;1095-9130 (Electronic)&amp;#xD;1046-2023 (Linking)&lt;/isbn&gt;&lt;accession-num&gt;25461817&lt;/accession-num&gt;&lt;urls&gt;&lt;related-urls&gt;&lt;url&gt;https://www.ncbi.nlm.nih.gov/pubmed/25461817&lt;/url&gt;&lt;/related-urls&gt;&lt;/urls&gt;&lt;custom2&gt;PMC4304833&lt;/custom2&gt;&lt;electronic-resource-num&gt;10.1016/j.ymeth.2014.10.036&lt;/electronic-resource-num&gt;&lt;/record&gt;&lt;/Cite&gt;&lt;/EndNote&gt;</w:instrText>
      </w:r>
      <w:r>
        <w:fldChar w:fldCharType="separate"/>
      </w:r>
      <w:r>
        <w:rPr>
          <w:noProof/>
        </w:rPr>
        <w:t>(</w:t>
      </w:r>
      <w:hyperlink w:anchor="_ENREF_1" w:tooltip="Butcher, 2015 #13" w:history="1">
        <w:r w:rsidR="00A8434B">
          <w:rPr>
            <w:noProof/>
          </w:rPr>
          <w:t>Butcher and Beck, 2015</w:t>
        </w:r>
      </w:hyperlink>
      <w:r>
        <w:rPr>
          <w:noProof/>
        </w:rPr>
        <w:t>)</w:t>
      </w:r>
      <w:r>
        <w:fldChar w:fldCharType="end"/>
      </w:r>
      <w:r w:rsidRPr="00B55433">
        <w:t xml:space="preserve"> </w:t>
      </w:r>
      <w:r w:rsidR="00E565A6">
        <w:t>is a popular DMR finding method. The implementation pf the Probe Lasso is found in a</w:t>
      </w:r>
      <w:r w:rsidR="00CA6607">
        <w:t xml:space="preserve"> </w:t>
      </w:r>
      <w:r w:rsidR="00F1452B">
        <w:t>Bioconductor package, “</w:t>
      </w:r>
      <w:proofErr w:type="spellStart"/>
      <w:r w:rsidR="00F1452B">
        <w:t>ChAMP</w:t>
      </w:r>
      <w:proofErr w:type="spellEnd"/>
      <w:r w:rsidR="00F1452B">
        <w:t xml:space="preserve">” </w:t>
      </w:r>
      <w:r w:rsidR="00F1452B">
        <w:fldChar w:fldCharType="begin"/>
      </w:r>
      <w:r w:rsidR="00AC2CAB">
        <w:instrText xml:space="preserve"> ADDIN EN.CITE &lt;EndNote&gt;&lt;Cite&gt;&lt;Author&gt;Morris&lt;/Author&gt;&lt;Year&gt;2014&lt;/Year&gt;&lt;RecNum&gt;14&lt;/RecNum&gt;&lt;DisplayText&gt;(Morris, et al., 2014)&lt;/DisplayText&gt;&lt;record&gt;&lt;rec-number&gt;14&lt;/rec-number&gt;&lt;foreign-keys&gt;&lt;key app="EN" db-id="wdt5af9r82tws7efato550zydf59sxaepd00" timestamp="1515980368"&gt;14&lt;/key&gt;&lt;/foreign-keys&gt;&lt;ref-type name="Journal Article"&gt;17&lt;/ref-type&gt;&lt;contributors&gt;&lt;authors&gt;&lt;author&gt;Morris, T. J.&lt;/author&gt;&lt;author&gt;Butcher, L. M.&lt;/author&gt;&lt;author&gt;Feber, A.&lt;/author&gt;&lt;author&gt;Teschendorff, A. E.&lt;/author&gt;&lt;author&gt;Chakravarthy, A. R.&lt;/author&gt;&lt;author&gt;Wojdacz, T. K.&lt;/author&gt;&lt;author&gt;Beck, S.&lt;/author&gt;&lt;/authors&gt;&lt;/contributors&gt;&lt;auth-address&gt;Medical Genomics, and Statistical Genomics, UCL Cancer Institute, University College London, London WC1E 6BT, UK, CAS-MPG Partner Institute for Computational Biology, Shanghai Institute for Biological Sciences, Shanghai 200031, China and Institute of Environmental Medicine, Karolinska Instytutet, 17177 Stockholm, Sweden.&lt;/auth-address&gt;&lt;titles&gt;&lt;title&gt;ChAMP: 450k Chip Analysis Methylation Pipeline&lt;/title&gt;&lt;secondary-title&gt;Bioinformatics&lt;/secondary-title&gt;&lt;/titles&gt;&lt;periodical&gt;&lt;full-title&gt;Bioinformatics&lt;/full-title&gt;&lt;/periodical&gt;&lt;pages&gt;428-30&lt;/pages&gt;&lt;volume&gt;30&lt;/volume&gt;&lt;number&gt;3&lt;/number&gt;&lt;keywords&gt;&lt;keyword&gt;DNA Copy Number Variations&lt;/keyword&gt;&lt;keyword&gt;*DNA Methylation&lt;/keyword&gt;&lt;keyword&gt;Oligonucleotide Array Sequence Analysis/*methods&lt;/keyword&gt;&lt;keyword&gt;*Software&lt;/keyword&gt;&lt;/keywords&gt;&lt;dates&gt;&lt;year&gt;2014&lt;/year&gt;&lt;pub-dates&gt;&lt;date&gt;Feb 1&lt;/date&gt;&lt;/pub-dates&gt;&lt;/dates&gt;&lt;isbn&gt;1367-4811 (Electronic)&amp;#xD;1367-4803 (Linking)&lt;/isbn&gt;&lt;accession-num&gt;24336642&lt;/accession-num&gt;&lt;urls&gt;&lt;related-urls&gt;&lt;url&gt;https://www.ncbi.nlm.nih.gov/pubmed/24336642&lt;/url&gt;&lt;/related-urls&gt;&lt;/urls&gt;&lt;custom2&gt;PMC3904520&lt;/custom2&gt;&lt;electronic-resource-num&gt;10.1093/bioinformatics/btt684&lt;/electronic-resource-num&gt;&lt;/record&gt;&lt;/Cite&gt;&lt;/EndNote&gt;</w:instrText>
      </w:r>
      <w:r w:rsidR="00F1452B">
        <w:fldChar w:fldCharType="separate"/>
      </w:r>
      <w:r w:rsidR="00AC2CAB">
        <w:rPr>
          <w:noProof/>
        </w:rPr>
        <w:t>(</w:t>
      </w:r>
      <w:hyperlink w:anchor="_ENREF_5" w:tooltip="Morris, 2014 #14" w:history="1">
        <w:r w:rsidR="00A8434B">
          <w:rPr>
            <w:noProof/>
          </w:rPr>
          <w:t>Morris, et al., 2014</w:t>
        </w:r>
      </w:hyperlink>
      <w:r w:rsidR="00AC2CAB">
        <w:rPr>
          <w:noProof/>
        </w:rPr>
        <w:t>)</w:t>
      </w:r>
      <w:r w:rsidR="00F1452B">
        <w:fldChar w:fldCharType="end"/>
      </w:r>
      <w:r w:rsidR="00E565A6">
        <w:t>.</w:t>
      </w:r>
    </w:p>
    <w:p w:rsidR="00152925" w:rsidRDefault="00152925" w:rsidP="008D344A">
      <w:pPr>
        <w:pStyle w:val="NoSpacing"/>
      </w:pPr>
    </w:p>
    <w:p w:rsidR="00173181" w:rsidRPr="00845A6B" w:rsidRDefault="00173181" w:rsidP="008D344A">
      <w:pPr>
        <w:pStyle w:val="NoSpacing"/>
        <w:rPr>
          <w:rStyle w:val="SubtleEmphasis"/>
          <w:rFonts w:ascii="Book Antiqua" w:hAnsi="Book Antiqua"/>
          <w:b/>
          <w:color w:val="FF0000"/>
        </w:rPr>
      </w:pPr>
      <w:r w:rsidRPr="0014020D">
        <w:rPr>
          <w:rStyle w:val="SubtleEmphasis"/>
          <w:rFonts w:ascii="Book Antiqua" w:hAnsi="Book Antiqua"/>
          <w:b/>
        </w:rPr>
        <w:t>Comb-</w:t>
      </w:r>
      <w:proofErr w:type="gramStart"/>
      <w:r w:rsidRPr="0014020D">
        <w:rPr>
          <w:rStyle w:val="SubtleEmphasis"/>
          <w:rFonts w:ascii="Book Antiqua" w:hAnsi="Book Antiqua"/>
          <w:b/>
        </w:rPr>
        <w:t>p</w:t>
      </w:r>
      <w:r w:rsidR="00845A6B">
        <w:rPr>
          <w:rStyle w:val="SubtleEmphasis"/>
          <w:rFonts w:ascii="Book Antiqua" w:hAnsi="Book Antiqua"/>
          <w:b/>
        </w:rPr>
        <w:t xml:space="preserve">  </w:t>
      </w:r>
      <w:r w:rsidR="00845A6B" w:rsidRPr="00845A6B">
        <w:rPr>
          <w:rStyle w:val="SubtleEmphasis"/>
          <w:rFonts w:ascii="Book Antiqua" w:hAnsi="Book Antiqua"/>
          <w:b/>
          <w:color w:val="FF0000"/>
        </w:rPr>
        <w:t>#</w:t>
      </w:r>
      <w:proofErr w:type="gramEnd"/>
      <w:r w:rsidR="00845A6B" w:rsidRPr="00845A6B">
        <w:rPr>
          <w:rStyle w:val="SubtleEmphasis"/>
          <w:rFonts w:ascii="Book Antiqua" w:hAnsi="Book Antiqua"/>
          <w:b/>
          <w:color w:val="FF0000"/>
        </w:rPr>
        <w:t xml:space="preserve">##Please check and update </w:t>
      </w:r>
      <w:r w:rsidR="009246F2">
        <w:rPr>
          <w:rStyle w:val="SubtleEmphasis"/>
          <w:rFonts w:ascii="Book Antiqua" w:hAnsi="Book Antiqua"/>
          <w:b/>
          <w:color w:val="FF0000"/>
        </w:rPr>
        <w:t>Comp-b method</w:t>
      </w:r>
      <w:r w:rsidR="00845A6B" w:rsidRPr="00845A6B">
        <w:rPr>
          <w:rStyle w:val="SubtleEmphasis"/>
          <w:rFonts w:ascii="Book Antiqua" w:hAnsi="Book Antiqua"/>
          <w:b/>
          <w:color w:val="FF0000"/>
        </w:rPr>
        <w:t xml:space="preserve"> portion carefully as Zen has run this part</w:t>
      </w:r>
    </w:p>
    <w:p w:rsidR="007D66D5" w:rsidRDefault="00F5427D" w:rsidP="000F0F83">
      <w:pPr>
        <w:pStyle w:val="NoSpacing"/>
        <w:jc w:val="both"/>
      </w:pPr>
      <w:r>
        <w:t xml:space="preserve">Comb-p is basically a </w:t>
      </w:r>
      <w:r w:rsidR="00114C81" w:rsidRPr="00114C81">
        <w:t>command-line tool and a python library</w:t>
      </w:r>
      <w:r w:rsidR="00DD7243">
        <w:t xml:space="preserve"> </w:t>
      </w:r>
      <w:r w:rsidR="00DD7243">
        <w:fldChar w:fldCharType="begin"/>
      </w:r>
      <w:r w:rsidR="00A8434B">
        <w:instrText xml:space="preserve"> ADDIN EN.CITE &lt;EndNote&gt;&lt;Cite&gt;&lt;Author&gt;Pedersen&lt;/Author&gt;&lt;Year&gt;2012&lt;/Year&gt;&lt;RecNum&gt;21&lt;/RecNum&gt;&lt;DisplayText&gt;(Pedersen, et al., 2012)&lt;/DisplayText&gt;&lt;record&gt;&lt;rec-number&gt;21&lt;/rec-number&gt;&lt;foreign-keys&gt;&lt;key app="EN" db-id="wdt5af9r82tws7efato550zydf59sxaepd00" timestamp="1516054793"&gt;21&lt;/key&gt;&lt;/foreign-keys&gt;&lt;ref-type name="Journal Article"&gt;17&lt;/ref-type&gt;&lt;contributors&gt;&lt;authors&gt;&lt;author&gt;Pedersen, B. S.&lt;/author&gt;&lt;author&gt;Schwartz, D. A.&lt;/author&gt;&lt;author&gt;Yang, I. V.&lt;/author&gt;&lt;author&gt;Kechris, K. J.&lt;/author&gt;&lt;/authors&gt;&lt;/contributors&gt;&lt;auth-address&gt;Department of Medicine, University of Colorado, Denver, Anschutz Medical Campus, Aurora, CO 80045, USA. bpederse@gmail.com&lt;/auth-address&gt;&lt;titles&gt;&lt;title&gt;Comb-p: software for combining, analyzing, grouping and correcting spatially correlated P-values&lt;/title&gt;&lt;secondary-title&gt;Bioinformatics&lt;/secondary-title&gt;&lt;/titles&gt;&lt;periodical&gt;&lt;full-title&gt;Bioinformatics&lt;/full-title&gt;&lt;/periodical&gt;&lt;pages&gt;2986-8&lt;/pages&gt;&lt;volume&gt;28&lt;/volume&gt;&lt;number&gt;22&lt;/number&gt;&lt;keywords&gt;&lt;keyword&gt;DNA Probes/analysis/genetics&lt;/keyword&gt;&lt;keyword&gt;Genome-Wide Association Study&lt;/keyword&gt;&lt;keyword&gt;Genomics/*methods&lt;/keyword&gt;&lt;keyword&gt;Humans&lt;/keyword&gt;&lt;keyword&gt;Programming Languages&lt;/keyword&gt;&lt;keyword&gt;Sequence Analysis, DNA&lt;/keyword&gt;&lt;keyword&gt;*Software&lt;/keyword&gt;&lt;/keywords&gt;&lt;dates&gt;&lt;year&gt;2012&lt;/year&gt;&lt;pub-dates&gt;&lt;date&gt;Nov 15&lt;/date&gt;&lt;/pub-dates&gt;&lt;/dates&gt;&lt;isbn&gt;1367-4811 (Electronic)&amp;#xD;1367-4803 (Linking)&lt;/isbn&gt;&lt;accession-num&gt;22954632&lt;/accession-num&gt;&lt;urls&gt;&lt;related-urls&gt;&lt;url&gt;https://www.ncbi.nlm.nih.gov/pubmed/22954632&lt;/url&gt;&lt;/related-urls&gt;&lt;/urls&gt;&lt;custom2&gt;PMC3496335&lt;/custom2&gt;&lt;electronic-resource-num&gt;10.1093/bioinformatics/bts545&lt;/electronic-resource-num&gt;&lt;/record&gt;&lt;/Cite&gt;&lt;/EndNote&gt;</w:instrText>
      </w:r>
      <w:r w:rsidR="00DD7243">
        <w:fldChar w:fldCharType="separate"/>
      </w:r>
      <w:r w:rsidR="00A8434B">
        <w:rPr>
          <w:noProof/>
        </w:rPr>
        <w:t>(</w:t>
      </w:r>
      <w:hyperlink w:anchor="_ENREF_6" w:tooltip="Pedersen, 2012 #21" w:history="1">
        <w:r w:rsidR="00A8434B">
          <w:rPr>
            <w:noProof/>
          </w:rPr>
          <w:t>Pedersen, et al., 2012</w:t>
        </w:r>
      </w:hyperlink>
      <w:r w:rsidR="00A8434B">
        <w:rPr>
          <w:noProof/>
        </w:rPr>
        <w:t>)</w:t>
      </w:r>
      <w:r w:rsidR="00DD7243">
        <w:fldChar w:fldCharType="end"/>
      </w:r>
      <w:r>
        <w:t>. It can able to</w:t>
      </w:r>
      <w:r w:rsidR="00114C81" w:rsidRPr="00114C81">
        <w:t xml:space="preserve"> </w:t>
      </w:r>
      <w:r>
        <w:t xml:space="preserve">handle </w:t>
      </w:r>
      <w:r w:rsidR="00114C81" w:rsidRPr="00114C81">
        <w:t xml:space="preserve">BED files of </w:t>
      </w:r>
      <w:r>
        <w:t>the p</w:t>
      </w:r>
      <w:r w:rsidR="00114C81" w:rsidRPr="00114C81">
        <w:t xml:space="preserve">-values </w:t>
      </w:r>
      <w:r>
        <w:t xml:space="preserve">that are irregularly spaced. </w:t>
      </w:r>
      <w:r w:rsidR="00114C81" w:rsidRPr="00114C81">
        <w:t xml:space="preserve"> </w:t>
      </w:r>
      <w:r w:rsidR="00CF6029">
        <w:t xml:space="preserve">It </w:t>
      </w:r>
      <w:r w:rsidR="00CF6029">
        <w:rPr>
          <w:color w:val="000000"/>
          <w:shd w:val="clear" w:color="auto" w:fill="FFFFFF"/>
        </w:rPr>
        <w:t>computes auto-correlation, conjoins adjacent </w:t>
      </w:r>
      <w:r w:rsidR="00CF6029">
        <w:rPr>
          <w:rStyle w:val="Emphasis"/>
          <w:color w:val="000000"/>
          <w:shd w:val="clear" w:color="auto" w:fill="FFFFFF"/>
        </w:rPr>
        <w:t>p</w:t>
      </w:r>
      <w:r w:rsidR="00CF6029">
        <w:rPr>
          <w:color w:val="000000"/>
          <w:shd w:val="clear" w:color="auto" w:fill="FFFFFF"/>
        </w:rPr>
        <w:t xml:space="preserve">-values, carries out false discovery adjustment, </w:t>
      </w:r>
      <w:r w:rsidR="008503C7">
        <w:rPr>
          <w:color w:val="000000"/>
          <w:shd w:val="clear" w:color="auto" w:fill="FFFFFF"/>
        </w:rPr>
        <w:t>identifies the</w:t>
      </w:r>
      <w:r w:rsidR="00875F89">
        <w:rPr>
          <w:color w:val="000000"/>
          <w:shd w:val="clear" w:color="auto" w:fill="FFFFFF"/>
        </w:rPr>
        <w:t xml:space="preserve"> enrich</w:t>
      </w:r>
      <w:r w:rsidR="002015DD">
        <w:rPr>
          <w:color w:val="000000"/>
          <w:shd w:val="clear" w:color="auto" w:fill="FFFFFF"/>
        </w:rPr>
        <w:t>ed</w:t>
      </w:r>
      <w:r w:rsidR="00CF6029">
        <w:rPr>
          <w:color w:val="000000"/>
          <w:shd w:val="clear" w:color="auto" w:fill="FFFFFF"/>
        </w:rPr>
        <w:t xml:space="preserve"> regions</w:t>
      </w:r>
      <w:r w:rsidR="00875F89">
        <w:rPr>
          <w:color w:val="000000"/>
          <w:shd w:val="clear" w:color="auto" w:fill="FFFFFF"/>
        </w:rPr>
        <w:t xml:space="preserve"> (containing</w:t>
      </w:r>
      <w:r w:rsidR="005A693F">
        <w:rPr>
          <w:color w:val="000000"/>
          <w:shd w:val="clear" w:color="auto" w:fill="FFFFFF"/>
        </w:rPr>
        <w:t xml:space="preserve"> the </w:t>
      </w:r>
      <w:r w:rsidR="00CF6029">
        <w:rPr>
          <w:color w:val="000000"/>
          <w:shd w:val="clear" w:color="auto" w:fill="FFFFFF"/>
        </w:rPr>
        <w:t>series of adjacent low </w:t>
      </w:r>
      <w:r w:rsidR="005A693F">
        <w:rPr>
          <w:color w:val="000000"/>
          <w:shd w:val="clear" w:color="auto" w:fill="FFFFFF"/>
        </w:rPr>
        <w:t>p</w:t>
      </w:r>
      <w:r w:rsidR="00CF6029">
        <w:rPr>
          <w:color w:val="000000"/>
          <w:shd w:val="clear" w:color="auto" w:fill="FFFFFF"/>
        </w:rPr>
        <w:t>-values)</w:t>
      </w:r>
      <w:r w:rsidR="00193879">
        <w:rPr>
          <w:color w:val="000000"/>
          <w:shd w:val="clear" w:color="auto" w:fill="FFFFFF"/>
        </w:rPr>
        <w:t>,</w:t>
      </w:r>
      <w:r w:rsidR="00CF6029">
        <w:rPr>
          <w:color w:val="000000"/>
          <w:shd w:val="clear" w:color="auto" w:fill="FFFFFF"/>
        </w:rPr>
        <w:t xml:space="preserve"> and </w:t>
      </w:r>
      <w:r w:rsidR="0029412B">
        <w:rPr>
          <w:color w:val="000000"/>
          <w:shd w:val="clear" w:color="auto" w:fill="FFFFFF"/>
        </w:rPr>
        <w:t>allocates the</w:t>
      </w:r>
      <w:r w:rsidR="00CF6029">
        <w:rPr>
          <w:color w:val="000000"/>
          <w:shd w:val="clear" w:color="auto" w:fill="FFFFFF"/>
        </w:rPr>
        <w:t xml:space="preserve"> significance to th</w:t>
      </w:r>
      <w:r w:rsidR="00955CE2">
        <w:rPr>
          <w:color w:val="000000"/>
          <w:shd w:val="clear" w:color="auto" w:fill="FFFFFF"/>
        </w:rPr>
        <w:t>e</w:t>
      </w:r>
      <w:r w:rsidR="002015DD">
        <w:rPr>
          <w:color w:val="000000"/>
          <w:shd w:val="clear" w:color="auto" w:fill="FFFFFF"/>
        </w:rPr>
        <w:t xml:space="preserve"> enriched</w:t>
      </w:r>
      <w:r w:rsidR="00CF6029">
        <w:rPr>
          <w:color w:val="000000"/>
          <w:shd w:val="clear" w:color="auto" w:fill="FFFFFF"/>
        </w:rPr>
        <w:t xml:space="preserve"> regions.</w:t>
      </w:r>
    </w:p>
    <w:p w:rsidR="007D66D5" w:rsidRDefault="007D66D5" w:rsidP="000F0F83">
      <w:pPr>
        <w:pStyle w:val="NoSpacing"/>
        <w:jc w:val="both"/>
      </w:pPr>
    </w:p>
    <w:p w:rsidR="00AA55DB" w:rsidRDefault="00EC6074" w:rsidP="000F0F83">
      <w:pPr>
        <w:pStyle w:val="NoSpacing"/>
        <w:jc w:val="both"/>
      </w:pPr>
      <w:r>
        <w:t xml:space="preserve">In the </w:t>
      </w:r>
      <w:r w:rsidR="0027156A" w:rsidRPr="0027156A">
        <w:t>comb-p</w:t>
      </w:r>
      <w:r>
        <w:t xml:space="preserve"> method,</w:t>
      </w:r>
      <w:r w:rsidR="0027156A" w:rsidRPr="0027156A">
        <w:t xml:space="preserve"> </w:t>
      </w:r>
      <w:r>
        <w:t xml:space="preserve">first of all, </w:t>
      </w:r>
      <w:r w:rsidR="0027156A" w:rsidRPr="0027156A">
        <w:t xml:space="preserve">the correlation </w:t>
      </w:r>
      <w:r>
        <w:t xml:space="preserve">is measured </w:t>
      </w:r>
      <w:r w:rsidR="0027156A" w:rsidRPr="0027156A">
        <w:t xml:space="preserve">at </w:t>
      </w:r>
      <w:r>
        <w:t xml:space="preserve">altering </w:t>
      </w:r>
      <w:r w:rsidR="0027156A" w:rsidRPr="0027156A">
        <w:t xml:space="preserve">distance lags </w:t>
      </w:r>
      <w:r w:rsidR="0078624A">
        <w:t xml:space="preserve">that is called as </w:t>
      </w:r>
      <w:r w:rsidR="0027156A" w:rsidRPr="0027156A">
        <w:t>auto-correl</w:t>
      </w:r>
      <w:r w:rsidR="0078624A">
        <w:t xml:space="preserve">ation or, </w:t>
      </w:r>
      <w:r w:rsidR="0027156A" w:rsidRPr="0027156A">
        <w:t xml:space="preserve">ACF). </w:t>
      </w:r>
      <w:r w:rsidR="00AA55DB">
        <w:t xml:space="preserve">In general, </w:t>
      </w:r>
      <w:r w:rsidR="00606A1D" w:rsidRPr="0027156A">
        <w:t>a maximum distance and a single offset</w:t>
      </w:r>
      <w:r w:rsidR="00AA55DB">
        <w:t xml:space="preserve"> which </w:t>
      </w:r>
      <w:r w:rsidR="00AA55DB" w:rsidRPr="0027156A">
        <w:t>segments th</w:t>
      </w:r>
      <w:r w:rsidR="00AA55DB">
        <w:t xml:space="preserve">e </w:t>
      </w:r>
      <w:r w:rsidR="00AA55DB" w:rsidRPr="0027156A">
        <w:t xml:space="preserve">distance into </w:t>
      </w:r>
      <w:r w:rsidR="00AA55DB">
        <w:t xml:space="preserve">several </w:t>
      </w:r>
      <w:r w:rsidR="00AA55DB" w:rsidRPr="0027156A">
        <w:t>intervals</w:t>
      </w:r>
      <w:r w:rsidR="00325860">
        <w:t xml:space="preserve"> are</w:t>
      </w:r>
      <w:r w:rsidR="00F5617D">
        <w:t xml:space="preserve"> here</w:t>
      </w:r>
    </w:p>
    <w:p w:rsidR="00FE41E4" w:rsidRDefault="00F5617D" w:rsidP="000F0F83">
      <w:pPr>
        <w:pStyle w:val="NoSpacing"/>
        <w:jc w:val="both"/>
        <w:rPr>
          <w:color w:val="000000"/>
          <w:shd w:val="clear" w:color="auto" w:fill="FFFFFF"/>
        </w:rPr>
      </w:pPr>
      <w:r>
        <w:t>Accepted, whereas</w:t>
      </w:r>
      <w:r w:rsidR="0027156A" w:rsidRPr="0027156A">
        <w:t xml:space="preserve"> </w:t>
      </w:r>
      <w:proofErr w:type="spellStart"/>
      <w:r w:rsidR="0027156A" w:rsidRPr="0027156A">
        <w:t>Kechris</w:t>
      </w:r>
      <w:proofErr w:type="spellEnd"/>
      <w:r w:rsidR="0027156A" w:rsidRPr="0027156A">
        <w:t xml:space="preserve">’ </w:t>
      </w:r>
      <w:r w:rsidR="004E2E17">
        <w:fldChar w:fldCharType="begin"/>
      </w:r>
      <w:r w:rsidR="00A8434B">
        <w:instrText xml:space="preserve"> ADDIN EN.CITE &lt;EndNote&gt;&lt;Cite&gt;&lt;Author&gt;Kechris&lt;/Author&gt;&lt;Year&gt;2010&lt;/Year&gt;&lt;RecNum&gt;22&lt;/RecNum&gt;&lt;DisplayText&gt;(Kechris, et al., 2010)&lt;/DisplayText&gt;&lt;record&gt;&lt;rec-number&gt;22&lt;/rec-number&gt;&lt;foreign-keys&gt;&lt;key app="EN" db-id="wdt5af9r82tws7efato550zydf59sxaepd00" timestamp="1516054872"&gt;22&lt;/key&gt;&lt;/foreign-keys&gt;&lt;ref-type name="Journal Article"&gt;17&lt;/ref-type&gt;&lt;contributors&gt;&lt;authors&gt;&lt;author&gt;Kechris, K. J.&lt;/author&gt;&lt;author&gt;Biehs, B.&lt;/author&gt;&lt;author&gt;Kornberg, T. B.&lt;/author&gt;&lt;/authors&gt;&lt;/contributors&gt;&lt;auth-address&gt;Univ Colorado, Denver, CO 80202 USA&amp;#xD;Univ Calif San Francisco, San Francisco, CA 94143 USA&lt;/auth-address&gt;&lt;titles&gt;&lt;title&gt;Generalizing Moving Averages for Tiling Arrays Using Combined P-Value Statistics&lt;/title&gt;&lt;secondary-title&gt;Statistical Applications in Genetics and Molecular Biology&lt;/secondary-title&gt;&lt;alt-title&gt;Stat Appl Genet Mol&lt;/alt-title&gt;&lt;/titles&gt;&lt;periodical&gt;&lt;full-title&gt;Statistical Applications in Genetics and Molecular Biology&lt;/full-title&gt;&lt;abbr-1&gt;Stat Appl Genet Mol&lt;/abbr-1&gt;&lt;/periodical&gt;&lt;alt-periodical&gt;&lt;full-title&gt;Statistical Applications in Genetics and Molecular Biology&lt;/full-title&gt;&lt;abbr-1&gt;Stat Appl Genet Mol&lt;/abbr-1&gt;&lt;/alt-periodical&gt;&lt;volume&gt;9&lt;/volume&gt;&lt;number&gt;1&lt;/number&gt;&lt;keywords&gt;&lt;keyword&gt;transcription factor&lt;/keyword&gt;&lt;keyword&gt;binding sequence&lt;/keyword&gt;&lt;keyword&gt;tiling array&lt;/keyword&gt;&lt;keyword&gt;combined p-value&lt;/keyword&gt;&lt;keyword&gt;gene-expression&lt;/keyword&gt;&lt;keyword&gt;chip-chip&lt;/keyword&gt;&lt;keyword&gt;binding&lt;/keyword&gt;&lt;keyword&gt;microarrays&lt;/keyword&gt;&lt;keyword&gt;protein&lt;/keyword&gt;&lt;keyword&gt;tests&lt;/keyword&gt;&lt;/keywords&gt;&lt;dates&gt;&lt;year&gt;2010&lt;/year&gt;&lt;/dates&gt;&lt;isbn&gt;2194-6302&lt;/isbn&gt;&lt;accession-num&gt;WOS:000281779200001&lt;/accession-num&gt;&lt;urls&gt;&lt;related-urls&gt;&lt;url&gt;&amp;lt;Go to ISI&amp;gt;://WOS:000281779200001&lt;/url&gt;&lt;/related-urls&gt;&lt;/urls&gt;&lt;electronic-resource-num&gt;Artn 29&amp;#xD;10.2202/1544-6115.1434&lt;/electronic-resource-num&gt;&lt;language&gt;English&lt;/language&gt;&lt;/record&gt;&lt;/Cite&gt;&lt;/EndNote&gt;</w:instrText>
      </w:r>
      <w:r w:rsidR="004E2E17">
        <w:fldChar w:fldCharType="separate"/>
      </w:r>
      <w:r w:rsidR="00A8434B">
        <w:rPr>
          <w:noProof/>
        </w:rPr>
        <w:t>(</w:t>
      </w:r>
      <w:hyperlink w:anchor="_ENREF_3" w:tooltip="Kechris, 2010 #22" w:history="1">
        <w:r w:rsidR="00A8434B">
          <w:rPr>
            <w:noProof/>
          </w:rPr>
          <w:t>Kechris, et al., 2010</w:t>
        </w:r>
      </w:hyperlink>
      <w:r w:rsidR="00A8434B">
        <w:rPr>
          <w:noProof/>
        </w:rPr>
        <w:t>)</w:t>
      </w:r>
      <w:r w:rsidR="004E2E17">
        <w:fldChar w:fldCharType="end"/>
      </w:r>
      <w:r w:rsidR="0027156A" w:rsidRPr="0027156A">
        <w:t xml:space="preserve"> and </w:t>
      </w:r>
      <w:r>
        <w:t>various</w:t>
      </w:r>
      <w:r w:rsidR="0027156A" w:rsidRPr="0027156A">
        <w:t xml:space="preserve"> ACF implementations </w:t>
      </w:r>
      <w:r>
        <w:t xml:space="preserve">depend on the </w:t>
      </w:r>
      <w:r w:rsidR="0027156A" w:rsidRPr="0027156A">
        <w:t>f</w:t>
      </w:r>
      <w:r w:rsidR="00F5535A">
        <w:t xml:space="preserve">ixed offsets of </w:t>
      </w:r>
      <w:r w:rsidR="00D667AF">
        <w:t xml:space="preserve">the </w:t>
      </w:r>
      <w:r w:rsidR="00F5535A">
        <w:t>adjacent probes</w:t>
      </w:r>
      <w:r w:rsidR="0027156A" w:rsidRPr="0027156A">
        <w:t xml:space="preserve">. </w:t>
      </w:r>
      <w:r w:rsidR="002E6998">
        <w:rPr>
          <w:color w:val="000000"/>
          <w:shd w:val="clear" w:color="auto" w:fill="FFFFFF"/>
        </w:rPr>
        <w:t>After computing t</w:t>
      </w:r>
      <w:r w:rsidR="00FE41E4">
        <w:rPr>
          <w:color w:val="000000"/>
          <w:shd w:val="clear" w:color="auto" w:fill="FFFFFF"/>
        </w:rPr>
        <w:t xml:space="preserve">he ACF, it </w:t>
      </w:r>
      <w:r w:rsidR="00216FAF">
        <w:rPr>
          <w:color w:val="000000"/>
          <w:shd w:val="clear" w:color="auto" w:fill="FFFFFF"/>
        </w:rPr>
        <w:t>is utilized</w:t>
      </w:r>
      <w:r w:rsidR="00FE41E4">
        <w:rPr>
          <w:color w:val="000000"/>
          <w:shd w:val="clear" w:color="auto" w:fill="FFFFFF"/>
        </w:rPr>
        <w:t xml:space="preserve"> to </w:t>
      </w:r>
      <w:r w:rsidR="00B64272">
        <w:rPr>
          <w:color w:val="000000"/>
          <w:shd w:val="clear" w:color="auto" w:fill="FFFFFF"/>
        </w:rPr>
        <w:t xml:space="preserve">apply </w:t>
      </w:r>
      <w:r w:rsidR="00FE41E4">
        <w:rPr>
          <w:color w:val="000000"/>
          <w:shd w:val="clear" w:color="auto" w:fill="FFFFFF"/>
        </w:rPr>
        <w:t>the Stouffer–</w:t>
      </w:r>
      <w:proofErr w:type="spellStart"/>
      <w:r w:rsidR="00FE41E4">
        <w:rPr>
          <w:color w:val="000000"/>
          <w:shd w:val="clear" w:color="auto" w:fill="FFFFFF"/>
        </w:rPr>
        <w:t>Liptak</w:t>
      </w:r>
      <w:proofErr w:type="spellEnd"/>
      <w:r w:rsidR="00FE41E4">
        <w:rPr>
          <w:color w:val="000000"/>
          <w:shd w:val="clear" w:color="auto" w:fill="FFFFFF"/>
        </w:rPr>
        <w:t>–</w:t>
      </w:r>
      <w:proofErr w:type="spellStart"/>
      <w:r w:rsidR="00FE41E4">
        <w:rPr>
          <w:color w:val="000000"/>
          <w:shd w:val="clear" w:color="auto" w:fill="FFFFFF"/>
        </w:rPr>
        <w:t>Kechris</w:t>
      </w:r>
      <w:proofErr w:type="spellEnd"/>
      <w:r w:rsidR="00FE41E4">
        <w:rPr>
          <w:color w:val="000000"/>
          <w:shd w:val="clear" w:color="auto" w:fill="FFFFFF"/>
        </w:rPr>
        <w:t xml:space="preserve"> correction (</w:t>
      </w:r>
      <w:r w:rsidR="0028610D">
        <w:rPr>
          <w:color w:val="000000"/>
          <w:shd w:val="clear" w:color="auto" w:fill="FFFFFF"/>
        </w:rPr>
        <w:t xml:space="preserve">symbolized as </w:t>
      </w:r>
      <w:proofErr w:type="spellStart"/>
      <w:r w:rsidR="00A8434B" w:rsidRPr="00A8434B">
        <w:rPr>
          <w:i/>
          <w:color w:val="000000"/>
          <w:shd w:val="clear" w:color="auto" w:fill="FFFFFF"/>
        </w:rPr>
        <w:t>slk</w:t>
      </w:r>
      <w:proofErr w:type="spellEnd"/>
      <w:r w:rsidR="00A8434B">
        <w:rPr>
          <w:color w:val="000000"/>
          <w:shd w:val="clear" w:color="auto" w:fill="FFFFFF"/>
        </w:rPr>
        <w:t xml:space="preserve">) </w:t>
      </w:r>
      <w:r w:rsidR="00E97846">
        <w:rPr>
          <w:color w:val="000000"/>
          <w:shd w:val="clear" w:color="auto" w:fill="FFFFFF"/>
        </w:rPr>
        <w:t>in which</w:t>
      </w:r>
      <w:r w:rsidR="00FE41E4">
        <w:rPr>
          <w:color w:val="000000"/>
          <w:shd w:val="clear" w:color="auto" w:fill="FFFFFF"/>
        </w:rPr>
        <w:t xml:space="preserve"> each </w:t>
      </w:r>
      <w:r w:rsidR="008A5A19">
        <w:rPr>
          <w:rStyle w:val="Emphasis"/>
          <w:color w:val="000000"/>
          <w:shd w:val="clear" w:color="auto" w:fill="FFFFFF"/>
        </w:rPr>
        <w:t>p</w:t>
      </w:r>
      <w:r w:rsidR="00FE41E4">
        <w:rPr>
          <w:color w:val="000000"/>
          <w:shd w:val="clear" w:color="auto" w:fill="FFFFFF"/>
        </w:rPr>
        <w:t xml:space="preserve">-value is </w:t>
      </w:r>
      <w:r w:rsidR="00CF3CFD">
        <w:rPr>
          <w:color w:val="000000"/>
          <w:shd w:val="clear" w:color="auto" w:fill="FFFFFF"/>
        </w:rPr>
        <w:t>corrected</w:t>
      </w:r>
      <w:r w:rsidR="00FE41E4">
        <w:rPr>
          <w:color w:val="000000"/>
          <w:shd w:val="clear" w:color="auto" w:fill="FFFFFF"/>
        </w:rPr>
        <w:t xml:space="preserve"> </w:t>
      </w:r>
      <w:r w:rsidR="00CF3CFD">
        <w:rPr>
          <w:color w:val="000000"/>
          <w:shd w:val="clear" w:color="auto" w:fill="FFFFFF"/>
        </w:rPr>
        <w:t>with respect to the</w:t>
      </w:r>
      <w:r w:rsidR="00FE41E4">
        <w:rPr>
          <w:color w:val="000000"/>
          <w:shd w:val="clear" w:color="auto" w:fill="FFFFFF"/>
        </w:rPr>
        <w:t xml:space="preserve"> adjacent </w:t>
      </w:r>
      <w:r w:rsidR="00CF3CFD">
        <w:rPr>
          <w:color w:val="000000"/>
          <w:shd w:val="clear" w:color="auto" w:fill="FFFFFF"/>
        </w:rPr>
        <w:t>p</w:t>
      </w:r>
      <w:r w:rsidR="001B3DDA">
        <w:rPr>
          <w:color w:val="000000"/>
          <w:shd w:val="clear" w:color="auto" w:fill="FFFFFF"/>
        </w:rPr>
        <w:t xml:space="preserve">-values that is </w:t>
      </w:r>
      <w:r w:rsidR="00FE41E4">
        <w:rPr>
          <w:color w:val="000000"/>
          <w:shd w:val="clear" w:color="auto" w:fill="FFFFFF"/>
        </w:rPr>
        <w:t>weighted acc</w:t>
      </w:r>
      <w:r w:rsidR="00CA45CC">
        <w:rPr>
          <w:color w:val="000000"/>
          <w:shd w:val="clear" w:color="auto" w:fill="FFFFFF"/>
        </w:rPr>
        <w:t>ording to the ACF. The resultant</w:t>
      </w:r>
      <w:r w:rsidR="00FE41E4">
        <w:rPr>
          <w:color w:val="000000"/>
          <w:shd w:val="clear" w:color="auto" w:fill="FFFFFF"/>
        </w:rPr>
        <w:t xml:space="preserve"> BED file </w:t>
      </w:r>
      <w:r w:rsidR="00CA45CC">
        <w:rPr>
          <w:color w:val="000000"/>
          <w:shd w:val="clear" w:color="auto" w:fill="FFFFFF"/>
        </w:rPr>
        <w:t>contains</w:t>
      </w:r>
      <w:r w:rsidR="00FE41E4">
        <w:rPr>
          <w:color w:val="000000"/>
          <w:shd w:val="clear" w:color="auto" w:fill="FFFFFF"/>
        </w:rPr>
        <w:t xml:space="preserve"> a </w:t>
      </w:r>
      <w:r w:rsidR="00CA45CC">
        <w:rPr>
          <w:color w:val="000000"/>
          <w:shd w:val="clear" w:color="auto" w:fill="FFFFFF"/>
        </w:rPr>
        <w:t>new</w:t>
      </w:r>
      <w:r w:rsidR="00FE41E4">
        <w:rPr>
          <w:color w:val="000000"/>
          <w:shd w:val="clear" w:color="auto" w:fill="FFFFFF"/>
        </w:rPr>
        <w:t xml:space="preserve"> column </w:t>
      </w:r>
      <w:r w:rsidR="00CA45CC">
        <w:rPr>
          <w:color w:val="000000"/>
          <w:shd w:val="clear" w:color="auto" w:fill="FFFFFF"/>
        </w:rPr>
        <w:t xml:space="preserve">consisting of </w:t>
      </w:r>
      <w:r w:rsidR="00FE41E4">
        <w:rPr>
          <w:color w:val="000000"/>
          <w:shd w:val="clear" w:color="auto" w:fill="FFFFFF"/>
        </w:rPr>
        <w:t xml:space="preserve">the </w:t>
      </w:r>
      <w:r w:rsidR="00CA45CC">
        <w:rPr>
          <w:color w:val="000000"/>
          <w:shd w:val="clear" w:color="auto" w:fill="FFFFFF"/>
        </w:rPr>
        <w:t>adjusted</w:t>
      </w:r>
      <w:r w:rsidR="00FE41E4">
        <w:rPr>
          <w:color w:val="000000"/>
          <w:shd w:val="clear" w:color="auto" w:fill="FFFFFF"/>
        </w:rPr>
        <w:t> </w:t>
      </w:r>
      <w:r w:rsidR="00CA45CC">
        <w:rPr>
          <w:color w:val="000000"/>
          <w:shd w:val="clear" w:color="auto" w:fill="FFFFFF"/>
        </w:rPr>
        <w:t>p</w:t>
      </w:r>
      <w:r w:rsidR="00FE41E4">
        <w:rPr>
          <w:color w:val="000000"/>
          <w:shd w:val="clear" w:color="auto" w:fill="FFFFFF"/>
        </w:rPr>
        <w:t>-value.</w:t>
      </w:r>
    </w:p>
    <w:p w:rsidR="00FE41E4" w:rsidRDefault="00FE41E4" w:rsidP="000F0F83">
      <w:pPr>
        <w:pStyle w:val="NoSpacing"/>
        <w:jc w:val="both"/>
      </w:pPr>
    </w:p>
    <w:p w:rsidR="0026149B" w:rsidRDefault="00240F4B" w:rsidP="000F0F83">
      <w:pPr>
        <w:pStyle w:val="NoSpacing"/>
        <w:jc w:val="both"/>
      </w:pPr>
      <w:r>
        <w:t>A</w:t>
      </w:r>
      <w:r w:rsidR="00E75F48">
        <w:t xml:space="preserve"> p</w:t>
      </w:r>
      <w:r w:rsidR="00436DAA" w:rsidRPr="00436DAA">
        <w:t xml:space="preserve">-value </w:t>
      </w:r>
      <w:r w:rsidR="008854A1">
        <w:t xml:space="preserve">is </w:t>
      </w:r>
      <w:r w:rsidR="00436DAA" w:rsidRPr="00436DAA">
        <w:t xml:space="preserve">pulled lower </w:t>
      </w:r>
      <w:r w:rsidR="00E75F48">
        <w:t>whenever</w:t>
      </w:r>
      <w:r w:rsidR="00436DAA" w:rsidRPr="00436DAA">
        <w:t xml:space="preserve"> its neighbors also </w:t>
      </w:r>
      <w:r w:rsidR="00E75F48">
        <w:t>contain</w:t>
      </w:r>
      <w:r w:rsidR="00436DAA" w:rsidRPr="00436DAA">
        <w:t xml:space="preserve"> low </w:t>
      </w:r>
      <w:r w:rsidR="00E75F48">
        <w:t>p</w:t>
      </w:r>
      <w:r w:rsidR="00436DAA" w:rsidRPr="00436DAA">
        <w:t>-values (</w:t>
      </w:r>
      <w:r w:rsidR="00E75F48">
        <w:t xml:space="preserve">as well as </w:t>
      </w:r>
      <w:r w:rsidR="00436DAA" w:rsidRPr="00436DAA">
        <w:t>little auto-correlation)</w:t>
      </w:r>
      <w:r w:rsidR="000A66A4">
        <w:t xml:space="preserve">. On the other hand, </w:t>
      </w:r>
      <w:r w:rsidR="00FD286B">
        <w:t>a p-value is</w:t>
      </w:r>
      <w:r w:rsidR="00436DAA" w:rsidRPr="00436DAA">
        <w:t xml:space="preserve"> insignificant </w:t>
      </w:r>
      <w:r w:rsidR="00FD286B">
        <w:t>whenever its neighboring p</w:t>
      </w:r>
      <w:r w:rsidR="00436DAA" w:rsidRPr="00436DAA">
        <w:t xml:space="preserve">-values are also </w:t>
      </w:r>
      <w:r w:rsidR="00C97B85">
        <w:t xml:space="preserve">relatively </w:t>
      </w:r>
      <w:r w:rsidR="00436DAA" w:rsidRPr="00436DAA">
        <w:t>high.</w:t>
      </w:r>
      <w:r w:rsidR="009A5C50">
        <w:t xml:space="preserve"> </w:t>
      </w:r>
      <w:r w:rsidR="00A21CA1">
        <w:rPr>
          <w:color w:val="000000"/>
          <w:shd w:val="clear" w:color="auto" w:fill="FFFFFF"/>
        </w:rPr>
        <w:t>A </w:t>
      </w:r>
      <w:r w:rsidR="00A21CA1">
        <w:rPr>
          <w:rStyle w:val="Emphasis"/>
          <w:color w:val="000000"/>
          <w:shd w:val="clear" w:color="auto" w:fill="FFFFFF"/>
        </w:rPr>
        <w:t>q</w:t>
      </w:r>
      <w:r w:rsidR="00A21CA1">
        <w:rPr>
          <w:color w:val="000000"/>
          <w:shd w:val="clear" w:color="auto" w:fill="FFFFFF"/>
        </w:rPr>
        <w:t xml:space="preserve">-value </w:t>
      </w:r>
      <w:r w:rsidR="00B04B92">
        <w:rPr>
          <w:color w:val="000000"/>
          <w:shd w:val="clear" w:color="auto" w:fill="FFFFFF"/>
        </w:rPr>
        <w:t xml:space="preserve">is computed depending </w:t>
      </w:r>
      <w:r w:rsidR="00A21CA1">
        <w:rPr>
          <w:color w:val="000000"/>
          <w:shd w:val="clear" w:color="auto" w:fill="FFFFFF"/>
        </w:rPr>
        <w:t xml:space="preserve">on the </w:t>
      </w:r>
      <w:proofErr w:type="spellStart"/>
      <w:r w:rsidR="00A21CA1">
        <w:rPr>
          <w:color w:val="000000"/>
          <w:shd w:val="clear" w:color="auto" w:fill="FFFFFF"/>
        </w:rPr>
        <w:t>Benjamini</w:t>
      </w:r>
      <w:proofErr w:type="spellEnd"/>
      <w:r w:rsidR="00A21CA1">
        <w:rPr>
          <w:color w:val="000000"/>
          <w:shd w:val="clear" w:color="auto" w:fill="FFFFFF"/>
        </w:rPr>
        <w:t xml:space="preserve">–Hochberg false discovery (FDR). The peak-finding algorithm </w:t>
      </w:r>
      <w:r w:rsidR="00D517B4">
        <w:rPr>
          <w:color w:val="000000"/>
          <w:shd w:val="clear" w:color="auto" w:fill="FFFFFF"/>
        </w:rPr>
        <w:t>is then applied to determine</w:t>
      </w:r>
      <w:r w:rsidR="00A21CA1">
        <w:rPr>
          <w:color w:val="000000"/>
          <w:shd w:val="clear" w:color="auto" w:fill="FFFFFF"/>
        </w:rPr>
        <w:t xml:space="preserve"> enrich</w:t>
      </w:r>
      <w:r w:rsidR="00D517B4">
        <w:rPr>
          <w:color w:val="000000"/>
          <w:shd w:val="clear" w:color="auto" w:fill="FFFFFF"/>
        </w:rPr>
        <w:t>ed</w:t>
      </w:r>
      <w:r w:rsidR="00A21CA1">
        <w:rPr>
          <w:color w:val="000000"/>
          <w:shd w:val="clear" w:color="auto" w:fill="FFFFFF"/>
        </w:rPr>
        <w:t xml:space="preserve"> regions </w:t>
      </w:r>
      <w:r w:rsidR="00D517B4">
        <w:rPr>
          <w:color w:val="000000"/>
          <w:shd w:val="clear" w:color="auto" w:fill="FFFFFF"/>
        </w:rPr>
        <w:t>(</w:t>
      </w:r>
      <w:r w:rsidR="00A21CA1">
        <w:rPr>
          <w:color w:val="000000"/>
          <w:shd w:val="clear" w:color="auto" w:fill="FFFFFF"/>
        </w:rPr>
        <w:t>or</w:t>
      </w:r>
      <w:r w:rsidR="00D517B4">
        <w:rPr>
          <w:color w:val="000000"/>
          <w:shd w:val="clear" w:color="auto" w:fill="FFFFFF"/>
        </w:rPr>
        <w:t>,</w:t>
      </w:r>
      <w:r w:rsidR="00A21CA1">
        <w:rPr>
          <w:color w:val="000000"/>
          <w:shd w:val="clear" w:color="auto" w:fill="FFFFFF"/>
        </w:rPr>
        <w:t> </w:t>
      </w:r>
      <w:r w:rsidR="00A21CA1">
        <w:rPr>
          <w:rStyle w:val="Emphasis"/>
          <w:color w:val="000000"/>
          <w:shd w:val="clear" w:color="auto" w:fill="FFFFFF"/>
        </w:rPr>
        <w:t>peaks</w:t>
      </w:r>
      <w:r w:rsidR="00D517B4">
        <w:rPr>
          <w:rStyle w:val="Emphasis"/>
          <w:color w:val="000000"/>
          <w:shd w:val="clear" w:color="auto" w:fill="FFFFFF"/>
        </w:rPr>
        <w:t>)</w:t>
      </w:r>
      <w:r w:rsidR="00A21CA1">
        <w:rPr>
          <w:color w:val="000000"/>
          <w:shd w:val="clear" w:color="auto" w:fill="FFFFFF"/>
        </w:rPr>
        <w:t xml:space="preserve"> on the </w:t>
      </w:r>
      <w:proofErr w:type="spellStart"/>
      <w:r w:rsidR="00423B49" w:rsidRPr="00423B49">
        <w:rPr>
          <w:i/>
          <w:color w:val="000000"/>
          <w:shd w:val="clear" w:color="auto" w:fill="FFFFFF"/>
        </w:rPr>
        <w:t>z_p</w:t>
      </w:r>
      <w:proofErr w:type="spellEnd"/>
      <w:r w:rsidR="00423B49">
        <w:rPr>
          <w:color w:val="000000"/>
          <w:shd w:val="clear" w:color="auto" w:fill="FFFFFF"/>
        </w:rPr>
        <w:t xml:space="preserve"> </w:t>
      </w:r>
      <w:r w:rsidR="009474ED">
        <w:rPr>
          <w:color w:val="000000"/>
          <w:shd w:val="clear" w:color="auto" w:fill="FFFFFF"/>
        </w:rPr>
        <w:t>value.</w:t>
      </w:r>
      <w:r w:rsidR="009A5C50">
        <w:rPr>
          <w:color w:val="000000"/>
          <w:shd w:val="clear" w:color="auto" w:fill="FFFFFF"/>
        </w:rPr>
        <w:t xml:space="preserve"> </w:t>
      </w:r>
    </w:p>
    <w:p w:rsidR="001439D0" w:rsidRDefault="001439D0" w:rsidP="000F0F83">
      <w:pPr>
        <w:pStyle w:val="NoSpacing"/>
        <w:jc w:val="both"/>
      </w:pPr>
      <w:r>
        <w:t>Moreover, c</w:t>
      </w:r>
      <w:r w:rsidR="001914FB" w:rsidRPr="001914FB">
        <w:t xml:space="preserve">omb-p is </w:t>
      </w:r>
      <w:r w:rsidR="00A42A64">
        <w:t>developed</w:t>
      </w:r>
      <w:r w:rsidR="001914FB" w:rsidRPr="001914FB">
        <w:t xml:space="preserve"> as a single command-line application </w:t>
      </w:r>
      <w:r w:rsidR="00A42A64">
        <w:t>which</w:t>
      </w:r>
      <w:r w:rsidR="001914FB" w:rsidRPr="001914FB">
        <w:t xml:space="preserve"> </w:t>
      </w:r>
      <w:r>
        <w:t>identifies</w:t>
      </w:r>
      <w:r w:rsidR="001914FB" w:rsidRPr="001914FB">
        <w:t xml:space="preserve"> multiple independent sub-modules</w:t>
      </w:r>
      <w:r>
        <w:t>.</w:t>
      </w:r>
      <w:r w:rsidR="001914FB" w:rsidRPr="001914FB">
        <w:t xml:space="preserve"> </w:t>
      </w:r>
      <w:r w:rsidR="0005256A">
        <w:t xml:space="preserve">The comb-p tool </w:t>
      </w:r>
      <w:r>
        <w:rPr>
          <w:color w:val="000000"/>
          <w:shd w:val="clear" w:color="auto" w:fill="FFFFFF"/>
        </w:rPr>
        <w:t xml:space="preserve">allows </w:t>
      </w:r>
      <w:r w:rsidR="0005256A">
        <w:rPr>
          <w:color w:val="000000"/>
          <w:shd w:val="clear" w:color="auto" w:fill="FFFFFF"/>
        </w:rPr>
        <w:t>the</w:t>
      </w:r>
      <w:r>
        <w:rPr>
          <w:color w:val="000000"/>
          <w:shd w:val="clear" w:color="auto" w:fill="FFFFFF"/>
        </w:rPr>
        <w:t xml:space="preserve"> uneven data structure </w:t>
      </w:r>
      <w:r w:rsidR="0005256A">
        <w:rPr>
          <w:color w:val="000000"/>
          <w:shd w:val="clear" w:color="auto" w:fill="FFFFFF"/>
        </w:rPr>
        <w:t>towards</w:t>
      </w:r>
      <w:r>
        <w:rPr>
          <w:color w:val="000000"/>
          <w:shd w:val="clear" w:color="auto" w:fill="FFFFFF"/>
        </w:rPr>
        <w:t xml:space="preserve"> the genome, </w:t>
      </w:r>
      <w:r w:rsidR="00AD34B1">
        <w:rPr>
          <w:color w:val="000000"/>
          <w:shd w:val="clear" w:color="auto" w:fill="FFFFFF"/>
        </w:rPr>
        <w:t>fundamental</w:t>
      </w:r>
      <w:r>
        <w:rPr>
          <w:color w:val="000000"/>
          <w:shd w:val="clear" w:color="auto" w:fill="FFFFFF"/>
        </w:rPr>
        <w:t xml:space="preserve"> auto-correlation</w:t>
      </w:r>
      <w:r w:rsidR="00AD34B1">
        <w:rPr>
          <w:color w:val="000000"/>
          <w:shd w:val="clear" w:color="auto" w:fill="FFFFFF"/>
        </w:rPr>
        <w:t xml:space="preserve"> techniques</w:t>
      </w:r>
      <w:r>
        <w:rPr>
          <w:color w:val="000000"/>
          <w:shd w:val="clear" w:color="auto" w:fill="FFFFFF"/>
        </w:rPr>
        <w:t xml:space="preserve"> and multiple-testing corrections for </w:t>
      </w:r>
      <w:r w:rsidR="00AD34B1">
        <w:rPr>
          <w:color w:val="000000"/>
          <w:shd w:val="clear" w:color="auto" w:fill="FFFFFF"/>
        </w:rPr>
        <w:t>enriched regions having many</w:t>
      </w:r>
      <w:r w:rsidR="003E00A6">
        <w:rPr>
          <w:color w:val="000000"/>
          <w:shd w:val="clear" w:color="auto" w:fill="FFFFFF"/>
        </w:rPr>
        <w:t xml:space="preserve"> applications to a </w:t>
      </w:r>
      <w:r>
        <w:rPr>
          <w:color w:val="000000"/>
          <w:shd w:val="clear" w:color="auto" w:fill="FFFFFF"/>
        </w:rPr>
        <w:t xml:space="preserve">variety of </w:t>
      </w:r>
      <w:r w:rsidR="003E00A6">
        <w:rPr>
          <w:color w:val="000000"/>
          <w:shd w:val="clear" w:color="auto" w:fill="FFFFFF"/>
        </w:rPr>
        <w:t>various techniques</w:t>
      </w:r>
      <w:r>
        <w:rPr>
          <w:color w:val="000000"/>
          <w:shd w:val="clear" w:color="auto" w:fill="FFFFFF"/>
        </w:rPr>
        <w:t>.</w:t>
      </w:r>
    </w:p>
    <w:p w:rsidR="001439D0" w:rsidRDefault="001439D0" w:rsidP="000F0F83">
      <w:pPr>
        <w:pStyle w:val="NoSpacing"/>
        <w:jc w:val="both"/>
      </w:pPr>
    </w:p>
    <w:p w:rsidR="000724D5" w:rsidRDefault="000724D5" w:rsidP="000F0F83">
      <w:pPr>
        <w:pStyle w:val="NoSpacing"/>
        <w:jc w:val="both"/>
      </w:pPr>
      <w:r>
        <w:t xml:space="preserve">Of note, the list of parameters </w:t>
      </w:r>
      <w:r w:rsidR="001F59E4">
        <w:t>utilized here for the four DMR finding methods are provided in Table 1.</w:t>
      </w:r>
    </w:p>
    <w:p w:rsidR="001439D0" w:rsidRDefault="001439D0" w:rsidP="008D344A">
      <w:pPr>
        <w:pStyle w:val="NoSpacing"/>
      </w:pPr>
    </w:p>
    <w:p w:rsidR="003F2883" w:rsidRDefault="003F2883" w:rsidP="003F2883">
      <w:pPr>
        <w:pStyle w:val="Caption"/>
        <w:keepNext/>
      </w:pPr>
      <w:r>
        <w:t xml:space="preserve">Table </w:t>
      </w:r>
      <w:fldSimple w:instr=" SEQ Table \* ARABIC ">
        <w:r w:rsidR="004F7A8C">
          <w:rPr>
            <w:noProof/>
          </w:rPr>
          <w:t>1</w:t>
        </w:r>
      </w:fldSimple>
      <w:r>
        <w:t>: Input parameters for the candidate methods along with A-clustering method (i.e., the method for original cluster identification).</w:t>
      </w:r>
    </w:p>
    <w:p w:rsidR="003F2883" w:rsidRDefault="003F2883" w:rsidP="008D344A">
      <w:pPr>
        <w:pStyle w:val="NoSpacing"/>
      </w:pPr>
    </w:p>
    <w:p w:rsidR="00D34EDC" w:rsidRDefault="00D34EDC" w:rsidP="008D344A">
      <w:pPr>
        <w:pStyle w:val="NoSpacing"/>
      </w:pPr>
      <w:r>
        <w:t>Table – different parameters used for these methods</w:t>
      </w:r>
    </w:p>
    <w:p w:rsidR="00D34EDC" w:rsidRDefault="00D34EDC" w:rsidP="008D344A">
      <w:pPr>
        <w:pStyle w:val="NoSpacing"/>
      </w:pPr>
    </w:p>
    <w:p w:rsidR="0015415A" w:rsidRDefault="0015415A" w:rsidP="008D344A">
      <w:pPr>
        <w:pStyle w:val="NoSpacing"/>
      </w:pPr>
      <w:r>
        <w:t xml:space="preserve">Summary of </w:t>
      </w:r>
      <w:r w:rsidR="00200572">
        <w:t xml:space="preserve">the </w:t>
      </w:r>
      <w:r>
        <w:t>method</w:t>
      </w:r>
      <w:r w:rsidR="00200572">
        <w:t>s</w:t>
      </w:r>
    </w:p>
    <w:p w:rsidR="0015415A" w:rsidRDefault="0015415A" w:rsidP="008D344A">
      <w:pPr>
        <w:pStyle w:val="NoSpacing"/>
      </w:pPr>
    </w:p>
    <w:tbl>
      <w:tblPr>
        <w:tblStyle w:val="TableGrid"/>
        <w:tblW w:w="0" w:type="auto"/>
        <w:tblLook w:val="04A0" w:firstRow="1" w:lastRow="0" w:firstColumn="1" w:lastColumn="0" w:noHBand="0" w:noVBand="1"/>
      </w:tblPr>
      <w:tblGrid>
        <w:gridCol w:w="1435"/>
        <w:gridCol w:w="1440"/>
        <w:gridCol w:w="1530"/>
        <w:gridCol w:w="1080"/>
        <w:gridCol w:w="3060"/>
        <w:gridCol w:w="2245"/>
      </w:tblGrid>
      <w:tr w:rsidR="007C03EB" w:rsidTr="007C03EB">
        <w:tc>
          <w:tcPr>
            <w:tcW w:w="1435" w:type="dxa"/>
          </w:tcPr>
          <w:p w:rsidR="007C03EB" w:rsidRDefault="007C03EB" w:rsidP="008D344A">
            <w:pPr>
              <w:pStyle w:val="NoSpacing"/>
            </w:pPr>
          </w:p>
        </w:tc>
        <w:tc>
          <w:tcPr>
            <w:tcW w:w="1440" w:type="dxa"/>
          </w:tcPr>
          <w:p w:rsidR="007C03EB" w:rsidRDefault="007C03EB" w:rsidP="00174E28">
            <w:pPr>
              <w:pStyle w:val="NoSpacing"/>
            </w:pPr>
            <w:r>
              <w:t xml:space="preserve">Single </w:t>
            </w:r>
            <w:proofErr w:type="spellStart"/>
            <w:r>
              <w:t>CpG</w:t>
            </w:r>
            <w:proofErr w:type="spellEnd"/>
            <w:r>
              <w:t xml:space="preserve"> </w:t>
            </w:r>
          </w:p>
        </w:tc>
        <w:tc>
          <w:tcPr>
            <w:tcW w:w="1530" w:type="dxa"/>
          </w:tcPr>
          <w:p w:rsidR="007C03EB" w:rsidRDefault="007C03EB" w:rsidP="008D344A">
            <w:pPr>
              <w:pStyle w:val="NoSpacing"/>
            </w:pPr>
            <w:r>
              <w:t>smoothing</w:t>
            </w:r>
          </w:p>
        </w:tc>
        <w:tc>
          <w:tcPr>
            <w:tcW w:w="1080" w:type="dxa"/>
          </w:tcPr>
          <w:p w:rsidR="007C03EB" w:rsidRDefault="007C03EB" w:rsidP="008D344A">
            <w:pPr>
              <w:pStyle w:val="NoSpacing"/>
            </w:pPr>
            <w:r>
              <w:t xml:space="preserve">Covariate allowed? </w:t>
            </w:r>
          </w:p>
        </w:tc>
        <w:tc>
          <w:tcPr>
            <w:tcW w:w="3060" w:type="dxa"/>
          </w:tcPr>
          <w:p w:rsidR="007C03EB" w:rsidRDefault="007C03EB" w:rsidP="008D344A">
            <w:pPr>
              <w:pStyle w:val="NoSpacing"/>
            </w:pPr>
            <w:r>
              <w:t>P-value for DMR</w:t>
            </w:r>
          </w:p>
        </w:tc>
        <w:tc>
          <w:tcPr>
            <w:tcW w:w="2245" w:type="dxa"/>
          </w:tcPr>
          <w:p w:rsidR="007C03EB" w:rsidRDefault="007C03EB" w:rsidP="008D344A">
            <w:pPr>
              <w:pStyle w:val="NoSpacing"/>
            </w:pPr>
            <w:r>
              <w:t>Software implementation</w:t>
            </w:r>
          </w:p>
        </w:tc>
      </w:tr>
      <w:tr w:rsidR="007C03EB" w:rsidTr="007C03EB">
        <w:tc>
          <w:tcPr>
            <w:tcW w:w="1435" w:type="dxa"/>
          </w:tcPr>
          <w:p w:rsidR="007C03EB" w:rsidRDefault="007C03EB" w:rsidP="008D344A">
            <w:pPr>
              <w:pStyle w:val="NoSpacing"/>
            </w:pPr>
            <w:proofErr w:type="spellStart"/>
            <w:r>
              <w:t>bumphunter</w:t>
            </w:r>
            <w:proofErr w:type="spellEnd"/>
          </w:p>
        </w:tc>
        <w:tc>
          <w:tcPr>
            <w:tcW w:w="1440" w:type="dxa"/>
          </w:tcPr>
          <w:p w:rsidR="007C03EB" w:rsidRDefault="007C03EB" w:rsidP="008D344A">
            <w:pPr>
              <w:pStyle w:val="NoSpacing"/>
            </w:pPr>
            <w:r>
              <w:t>Linear model</w:t>
            </w:r>
          </w:p>
        </w:tc>
        <w:tc>
          <w:tcPr>
            <w:tcW w:w="1530" w:type="dxa"/>
          </w:tcPr>
          <w:p w:rsidR="007C03EB" w:rsidRDefault="007C03EB" w:rsidP="008D344A">
            <w:pPr>
              <w:pStyle w:val="NoSpacing"/>
            </w:pPr>
            <w:r>
              <w:t>Optional loess</w:t>
            </w:r>
          </w:p>
        </w:tc>
        <w:tc>
          <w:tcPr>
            <w:tcW w:w="1080" w:type="dxa"/>
          </w:tcPr>
          <w:p w:rsidR="007C03EB" w:rsidRDefault="007C03EB" w:rsidP="008D344A">
            <w:pPr>
              <w:pStyle w:val="NoSpacing"/>
            </w:pPr>
            <w:r>
              <w:t>Yes</w:t>
            </w:r>
          </w:p>
        </w:tc>
        <w:tc>
          <w:tcPr>
            <w:tcW w:w="3060" w:type="dxa"/>
          </w:tcPr>
          <w:p w:rsidR="007C03EB" w:rsidRDefault="007C03EB" w:rsidP="008D344A">
            <w:pPr>
              <w:pStyle w:val="NoSpacing"/>
            </w:pPr>
            <w:r>
              <w:t>Permutation of sample labels or bootstrap</w:t>
            </w:r>
          </w:p>
        </w:tc>
        <w:tc>
          <w:tcPr>
            <w:tcW w:w="2245" w:type="dxa"/>
          </w:tcPr>
          <w:p w:rsidR="007C03EB" w:rsidRDefault="007C03EB" w:rsidP="008D344A">
            <w:pPr>
              <w:pStyle w:val="NoSpacing"/>
            </w:pPr>
            <w:proofErr w:type="spellStart"/>
            <w:r>
              <w:t>bumphunter</w:t>
            </w:r>
            <w:proofErr w:type="spellEnd"/>
          </w:p>
          <w:p w:rsidR="007C03EB" w:rsidRDefault="007C03EB" w:rsidP="008D344A">
            <w:pPr>
              <w:pStyle w:val="NoSpacing"/>
            </w:pPr>
            <w:proofErr w:type="spellStart"/>
            <w:r>
              <w:t>minfi</w:t>
            </w:r>
            <w:proofErr w:type="spellEnd"/>
          </w:p>
        </w:tc>
      </w:tr>
      <w:tr w:rsidR="007C03EB" w:rsidTr="007C03EB">
        <w:tc>
          <w:tcPr>
            <w:tcW w:w="1435" w:type="dxa"/>
          </w:tcPr>
          <w:p w:rsidR="007C03EB" w:rsidRDefault="007C03EB" w:rsidP="008D344A">
            <w:pPr>
              <w:pStyle w:val="NoSpacing"/>
            </w:pPr>
            <w:proofErr w:type="spellStart"/>
            <w:r>
              <w:lastRenderedPageBreak/>
              <w:t>DMRcate</w:t>
            </w:r>
            <w:proofErr w:type="spellEnd"/>
          </w:p>
        </w:tc>
        <w:tc>
          <w:tcPr>
            <w:tcW w:w="1440" w:type="dxa"/>
          </w:tcPr>
          <w:p w:rsidR="007C03EB" w:rsidRDefault="007C03EB" w:rsidP="008D344A">
            <w:pPr>
              <w:pStyle w:val="NoSpacing"/>
            </w:pPr>
            <w:proofErr w:type="spellStart"/>
            <w:r>
              <w:t>limma</w:t>
            </w:r>
            <w:proofErr w:type="spellEnd"/>
          </w:p>
        </w:tc>
        <w:tc>
          <w:tcPr>
            <w:tcW w:w="1530" w:type="dxa"/>
          </w:tcPr>
          <w:p w:rsidR="007C03EB" w:rsidRDefault="007C03EB" w:rsidP="008D344A">
            <w:pPr>
              <w:pStyle w:val="NoSpacing"/>
            </w:pPr>
            <w:r>
              <w:t>Gaussian smoothing</w:t>
            </w:r>
          </w:p>
        </w:tc>
        <w:tc>
          <w:tcPr>
            <w:tcW w:w="1080" w:type="dxa"/>
          </w:tcPr>
          <w:p w:rsidR="007C03EB" w:rsidRDefault="007C03EB" w:rsidP="008D344A">
            <w:pPr>
              <w:pStyle w:val="NoSpacing"/>
            </w:pPr>
            <w:r>
              <w:t>Yes</w:t>
            </w:r>
          </w:p>
        </w:tc>
        <w:tc>
          <w:tcPr>
            <w:tcW w:w="3060" w:type="dxa"/>
          </w:tcPr>
          <w:p w:rsidR="007C03EB" w:rsidRDefault="007C03EB" w:rsidP="008D344A">
            <w:pPr>
              <w:pStyle w:val="NoSpacing"/>
            </w:pPr>
            <w:r>
              <w:t>Stouffer’s method</w:t>
            </w:r>
          </w:p>
        </w:tc>
        <w:tc>
          <w:tcPr>
            <w:tcW w:w="2245" w:type="dxa"/>
          </w:tcPr>
          <w:p w:rsidR="007C03EB" w:rsidRDefault="007C03EB" w:rsidP="008D344A">
            <w:pPr>
              <w:pStyle w:val="NoSpacing"/>
            </w:pPr>
            <w:proofErr w:type="spellStart"/>
            <w:r>
              <w:t>DMRcate</w:t>
            </w:r>
            <w:proofErr w:type="spellEnd"/>
          </w:p>
        </w:tc>
      </w:tr>
      <w:tr w:rsidR="007C03EB" w:rsidTr="007C03EB">
        <w:tc>
          <w:tcPr>
            <w:tcW w:w="1435" w:type="dxa"/>
          </w:tcPr>
          <w:p w:rsidR="007C03EB" w:rsidRDefault="007C03EB" w:rsidP="008D344A">
            <w:pPr>
              <w:pStyle w:val="NoSpacing"/>
            </w:pPr>
            <w:proofErr w:type="spellStart"/>
            <w:r>
              <w:t>ProbeLasso</w:t>
            </w:r>
            <w:proofErr w:type="spellEnd"/>
          </w:p>
        </w:tc>
        <w:tc>
          <w:tcPr>
            <w:tcW w:w="1440" w:type="dxa"/>
          </w:tcPr>
          <w:p w:rsidR="007C03EB" w:rsidRDefault="007C03EB" w:rsidP="008D344A">
            <w:pPr>
              <w:pStyle w:val="NoSpacing"/>
            </w:pPr>
          </w:p>
        </w:tc>
        <w:tc>
          <w:tcPr>
            <w:tcW w:w="1530" w:type="dxa"/>
          </w:tcPr>
          <w:p w:rsidR="007C03EB" w:rsidRDefault="007C03EB" w:rsidP="008D344A">
            <w:pPr>
              <w:pStyle w:val="NoSpacing"/>
            </w:pPr>
          </w:p>
        </w:tc>
        <w:tc>
          <w:tcPr>
            <w:tcW w:w="1080" w:type="dxa"/>
          </w:tcPr>
          <w:p w:rsidR="007C03EB" w:rsidRDefault="007C03EB" w:rsidP="008D344A">
            <w:pPr>
              <w:pStyle w:val="NoSpacing"/>
            </w:pPr>
          </w:p>
        </w:tc>
        <w:tc>
          <w:tcPr>
            <w:tcW w:w="3060" w:type="dxa"/>
          </w:tcPr>
          <w:p w:rsidR="007C03EB" w:rsidRDefault="007C03EB" w:rsidP="008D344A">
            <w:pPr>
              <w:pStyle w:val="NoSpacing"/>
            </w:pPr>
          </w:p>
        </w:tc>
        <w:tc>
          <w:tcPr>
            <w:tcW w:w="2245" w:type="dxa"/>
          </w:tcPr>
          <w:p w:rsidR="007C03EB" w:rsidRDefault="007C03EB" w:rsidP="008D344A">
            <w:pPr>
              <w:pStyle w:val="NoSpacing"/>
            </w:pPr>
          </w:p>
        </w:tc>
      </w:tr>
    </w:tbl>
    <w:p w:rsidR="0015415A" w:rsidRDefault="0015415A" w:rsidP="008D344A">
      <w:pPr>
        <w:pStyle w:val="NoSpacing"/>
      </w:pPr>
    </w:p>
    <w:p w:rsidR="00D34EDC" w:rsidRDefault="00D34EDC" w:rsidP="008D344A">
      <w:pPr>
        <w:pStyle w:val="NoSpacing"/>
      </w:pPr>
    </w:p>
    <w:p w:rsidR="00173181" w:rsidRPr="007F1806" w:rsidRDefault="00173181" w:rsidP="008D344A">
      <w:pPr>
        <w:pStyle w:val="NoSpacing"/>
        <w:rPr>
          <w:rStyle w:val="SubtleEmphasis"/>
          <w:rFonts w:ascii="Book Antiqua" w:hAnsi="Book Antiqua"/>
          <w:b/>
        </w:rPr>
      </w:pPr>
      <w:r w:rsidRPr="007F1806">
        <w:rPr>
          <w:rStyle w:val="SubtleEmphasis"/>
          <w:rFonts w:ascii="Book Antiqua" w:hAnsi="Book Antiqua"/>
          <w:b/>
        </w:rPr>
        <w:t>Evaluation criteria</w:t>
      </w:r>
    </w:p>
    <w:p w:rsidR="00173181" w:rsidRDefault="00173181" w:rsidP="001C54D5">
      <w:pPr>
        <w:pStyle w:val="NoSpacing"/>
        <w:jc w:val="both"/>
      </w:pPr>
      <w:r>
        <w:t xml:space="preserve">- </w:t>
      </w:r>
      <w:r w:rsidR="00422E74">
        <w:t>Power</w:t>
      </w:r>
      <w:r w:rsidR="00850F50">
        <w:t xml:space="preserve">: </w:t>
      </w:r>
      <w:r w:rsidR="00C041D7">
        <w:t>P</w:t>
      </w:r>
      <w:r w:rsidR="00EE1D93">
        <w:t>ower is defined as the number of true positive DMRs divided by the total of the number of true positive and false negative DMRs (i.e., power=TP/(TP+FN)).</w:t>
      </w:r>
    </w:p>
    <w:p w:rsidR="00422E74" w:rsidRDefault="00422E74" w:rsidP="001C54D5">
      <w:pPr>
        <w:pStyle w:val="NoSpacing"/>
        <w:jc w:val="both"/>
      </w:pPr>
      <w:r>
        <w:t>- Precision</w:t>
      </w:r>
      <w:r w:rsidR="00AF22C8">
        <w:t xml:space="preserve">: </w:t>
      </w:r>
      <w:r w:rsidR="00C041D7">
        <w:t>P</w:t>
      </w:r>
      <w:r w:rsidR="00AF22C8">
        <w:t xml:space="preserve">recision is defined as </w:t>
      </w:r>
      <w:proofErr w:type="spellStart"/>
      <w:r w:rsidR="00AF22C8">
        <w:t>as</w:t>
      </w:r>
      <w:proofErr w:type="spellEnd"/>
      <w:r w:rsidR="00AF22C8">
        <w:t xml:space="preserve"> the number of true positive DMRs divided by the total of the number of true positive and false positive DMRs (i.e., </w:t>
      </w:r>
      <w:r w:rsidR="00BA7E3F">
        <w:t>precision</w:t>
      </w:r>
      <w:r w:rsidR="00AF22C8">
        <w:t>=TP/(TP+F</w:t>
      </w:r>
      <w:r w:rsidR="00BA7E3F">
        <w:t>P</w:t>
      </w:r>
      <w:r w:rsidR="00AF22C8">
        <w:t>)).</w:t>
      </w:r>
    </w:p>
    <w:p w:rsidR="00422E74" w:rsidRDefault="00422E74" w:rsidP="001C54D5">
      <w:pPr>
        <w:pStyle w:val="NoSpacing"/>
        <w:jc w:val="both"/>
      </w:pPr>
      <w:r>
        <w:t xml:space="preserve">- </w:t>
      </w:r>
      <w:proofErr w:type="spellStart"/>
      <w:r>
        <w:t>DMRsize</w:t>
      </w:r>
      <w:proofErr w:type="spellEnd"/>
      <w:r w:rsidR="00DF021E">
        <w:t>:</w:t>
      </w:r>
      <w:r w:rsidR="00617DC0">
        <w:t xml:space="preserve"> </w:t>
      </w:r>
      <w:proofErr w:type="spellStart"/>
      <w:r w:rsidR="00332882">
        <w:t>DMRsize</w:t>
      </w:r>
      <w:proofErr w:type="spellEnd"/>
      <w:r w:rsidR="00332882">
        <w:t xml:space="preserve"> is stated as </w:t>
      </w:r>
      <w:r w:rsidR="004A3454">
        <w:t xml:space="preserve">the </w:t>
      </w:r>
      <w:r w:rsidR="00617DC0">
        <w:t xml:space="preserve">number of </w:t>
      </w:r>
      <w:proofErr w:type="spellStart"/>
      <w:r w:rsidR="005648C5">
        <w:t>C</w:t>
      </w:r>
      <w:r w:rsidR="00617DC0">
        <w:t>p</w:t>
      </w:r>
      <w:r w:rsidR="005648C5">
        <w:t>G</w:t>
      </w:r>
      <w:r w:rsidR="00617DC0">
        <w:t>s</w:t>
      </w:r>
      <w:proofErr w:type="spellEnd"/>
      <w:r w:rsidR="00617DC0">
        <w:t xml:space="preserve"> </w:t>
      </w:r>
      <w:r w:rsidR="00B5535D">
        <w:t>in any</w:t>
      </w:r>
      <w:r w:rsidR="00C041D7">
        <w:t xml:space="preserve"> resultant DMR</w:t>
      </w:r>
      <w:r w:rsidR="00423D4C">
        <w:t xml:space="preserve"> obtained by any DMR finding method.</w:t>
      </w:r>
    </w:p>
    <w:p w:rsidR="00422E74" w:rsidRDefault="00422E74" w:rsidP="001C54D5">
      <w:pPr>
        <w:pStyle w:val="NoSpacing"/>
        <w:jc w:val="both"/>
      </w:pPr>
      <w:r>
        <w:t>- DMR co-methylation</w:t>
      </w:r>
      <w:r w:rsidR="0051698F">
        <w:t>:</w:t>
      </w:r>
      <w:r w:rsidR="00617DC0">
        <w:t xml:space="preserve"> </w:t>
      </w:r>
      <w:r w:rsidR="00322AE4">
        <w:t xml:space="preserve">DMR co-methylation is here defined as </w:t>
      </w:r>
      <w:r w:rsidR="001C2AD6">
        <w:t xml:space="preserve">the </w:t>
      </w:r>
      <w:r w:rsidR="0062332F">
        <w:t xml:space="preserve">average of </w:t>
      </w:r>
      <w:r w:rsidR="0051698F">
        <w:t>S</w:t>
      </w:r>
      <w:r w:rsidR="00617DC0">
        <w:t>pearman correlation</w:t>
      </w:r>
      <w:r w:rsidR="0051698F">
        <w:t xml:space="preserve"> coefficient</w:t>
      </w:r>
      <w:r w:rsidR="00AC1118">
        <w:t xml:space="preserve"> </w:t>
      </w:r>
      <w:r w:rsidR="00BE0B72">
        <w:t xml:space="preserve">between </w:t>
      </w:r>
      <w:r w:rsidR="00257422">
        <w:t xml:space="preserve">the </w:t>
      </w:r>
      <w:r w:rsidR="00BE0B72">
        <w:t xml:space="preserve">participating </w:t>
      </w:r>
      <w:proofErr w:type="spellStart"/>
      <w:r w:rsidR="00BE0B72">
        <w:t>CpGs</w:t>
      </w:r>
      <w:proofErr w:type="spellEnd"/>
      <w:r w:rsidR="00BE0B72">
        <w:t xml:space="preserve"> </w:t>
      </w:r>
      <w:r w:rsidR="00A27982">
        <w:t>in pair-wise manner.</w:t>
      </w:r>
      <w:r w:rsidR="00617DC0">
        <w:t xml:space="preserve"> </w:t>
      </w:r>
    </w:p>
    <w:p w:rsidR="00173181" w:rsidRDefault="00422E74" w:rsidP="001C54D5">
      <w:pPr>
        <w:pStyle w:val="NoSpacing"/>
        <w:jc w:val="both"/>
      </w:pPr>
      <w:r>
        <w:t>- Time used</w:t>
      </w:r>
      <w:r w:rsidR="00733E2F">
        <w:t xml:space="preserve">: </w:t>
      </w:r>
      <w:r w:rsidR="00827D04">
        <w:t>The elapsed time is also measured in Second.</w:t>
      </w:r>
      <w:r w:rsidR="00E40CA3">
        <w:t xml:space="preserve"> </w:t>
      </w:r>
      <w:r w:rsidR="00E40CA3" w:rsidRPr="00E40CA3">
        <w:rPr>
          <w:highlight w:val="yellow"/>
        </w:rPr>
        <w:t>The configuration of the used computer is: ###</w:t>
      </w:r>
      <w:r w:rsidR="00D559AF">
        <w:t>.</w:t>
      </w:r>
    </w:p>
    <w:p w:rsidR="00D34EDC" w:rsidRDefault="00C16362" w:rsidP="008D344A">
      <w:pPr>
        <w:pStyle w:val="NoSpacing"/>
      </w:pPr>
      <w:r>
        <w:t>- DMR-overlap:</w:t>
      </w:r>
      <w:r w:rsidR="00977C81">
        <w:t xml:space="preserve"> </w:t>
      </w:r>
      <w:r w:rsidR="00733FBF">
        <w:t xml:space="preserve">DMR-overlap is here stated as the </w:t>
      </w:r>
      <w:r w:rsidR="001377FA">
        <w:t xml:space="preserve">number of common significant </w:t>
      </w:r>
      <w:r w:rsidR="00806F99">
        <w:t xml:space="preserve">resultant </w:t>
      </w:r>
      <w:r w:rsidR="001377FA">
        <w:t xml:space="preserve">DMRs (i.e., the DMRs having </w:t>
      </w:r>
      <w:r w:rsidR="00246E86">
        <w:t xml:space="preserve">p-value less than 0.05 and </w:t>
      </w:r>
      <w:proofErr w:type="spellStart"/>
      <w:r w:rsidR="00485042">
        <w:t>DMRsize</w:t>
      </w:r>
      <w:proofErr w:type="spellEnd"/>
      <w:r w:rsidR="00485042">
        <w:t xml:space="preserve"> is greater than or equal to 5)</w:t>
      </w:r>
      <w:r w:rsidR="00806F99">
        <w:t xml:space="preserve"> obtained by the DMR findin</w:t>
      </w:r>
      <w:r w:rsidR="002D441F">
        <w:t>g methods pairwise.</w:t>
      </w:r>
      <w:r w:rsidR="00F43579">
        <w:t xml:space="preserve"> </w:t>
      </w:r>
      <w:r w:rsidR="006C61E6">
        <w:t xml:space="preserve"> Of note, it may happen that one DMR </w:t>
      </w:r>
      <w:r w:rsidR="001C1353">
        <w:t xml:space="preserve">determined </w:t>
      </w:r>
      <w:r w:rsidR="006C61E6">
        <w:t>from any method can overlap with multiple</w:t>
      </w:r>
      <w:r w:rsidR="007A2B16">
        <w:t xml:space="preserve"> DMRs identified from other method, or vice versa</w:t>
      </w:r>
      <w:r w:rsidR="006C61E6">
        <w:t>.</w:t>
      </w:r>
    </w:p>
    <w:p w:rsidR="00077780" w:rsidRDefault="00077780" w:rsidP="008D344A">
      <w:pPr>
        <w:pStyle w:val="NoSpacing"/>
      </w:pPr>
      <w:r>
        <w:t xml:space="preserve">- </w:t>
      </w:r>
      <w:r w:rsidR="005E2AB6">
        <w:t>Evaluation met</w:t>
      </w:r>
      <w:r w:rsidR="00853A8F">
        <w:t>r</w:t>
      </w:r>
      <w:r w:rsidR="005E2AB6">
        <w:t xml:space="preserve">ics: </w:t>
      </w:r>
      <w:r>
        <w:t xml:space="preserve"> </w:t>
      </w:r>
      <w:r w:rsidR="00F703D7">
        <w:t>Three evaluation metrics (viz., true positives or TPs, false positives of FPs, and false negatives or FNs) have been utilized for our analysis</w:t>
      </w:r>
      <w:r w:rsidR="002D12F8">
        <w:t xml:space="preserve">. The definition of these metrics </w:t>
      </w:r>
      <w:r w:rsidR="006E7C9F">
        <w:t xml:space="preserve">for our study </w:t>
      </w:r>
      <w:r w:rsidR="00B65AAB">
        <w:t>and</w:t>
      </w:r>
      <w:r w:rsidR="006E7C9F">
        <w:t xml:space="preserve"> the other related information regarding these metrics</w:t>
      </w:r>
      <w:r w:rsidR="002D12F8">
        <w:t xml:space="preserve"> </w:t>
      </w:r>
      <w:r w:rsidR="006E7C9F">
        <w:t xml:space="preserve">are </w:t>
      </w:r>
      <w:r w:rsidR="002D12F8">
        <w:t>demonstrated in Table 2.</w:t>
      </w:r>
    </w:p>
    <w:p w:rsidR="002418DC" w:rsidRDefault="004A1F48" w:rsidP="002418DC">
      <w:pPr>
        <w:pStyle w:val="NoSpacing"/>
      </w:pPr>
      <w:r>
        <w:t xml:space="preserve">        </w:t>
      </w:r>
      <w:r w:rsidR="002418DC">
        <w:t xml:space="preserve">                                              </w:t>
      </w:r>
      <w:r w:rsidR="00483A80">
        <w:t xml:space="preserve">                         </w:t>
      </w:r>
      <w:r w:rsidR="002418DC">
        <w:t xml:space="preserve">                                          </w:t>
      </w:r>
      <w:r>
        <w:t xml:space="preserve">                 </w:t>
      </w:r>
    </w:p>
    <w:p w:rsidR="003E242F" w:rsidRDefault="003E242F" w:rsidP="003E242F">
      <w:pPr>
        <w:pStyle w:val="Caption"/>
        <w:keepNext/>
      </w:pPr>
      <w:r>
        <w:t xml:space="preserve">Table </w:t>
      </w:r>
      <w:fldSimple w:instr=" SEQ Table \* ARABIC ">
        <w:r w:rsidR="004F7A8C">
          <w:rPr>
            <w:noProof/>
          </w:rPr>
          <w:t>2</w:t>
        </w:r>
      </w:fldSimple>
      <w:r>
        <w:t>: The definition of the initial three factors (i.e., true positive (TP), false positive (FP), and false negative (FN)) of the confusion matrix in our simulation study.</w:t>
      </w:r>
    </w:p>
    <w:p w:rsidR="00D34EDC" w:rsidRDefault="00D34EDC" w:rsidP="008D344A">
      <w:pPr>
        <w:pStyle w:val="NoSpacing"/>
      </w:pPr>
    </w:p>
    <w:p w:rsidR="00D34EDC" w:rsidRPr="00011334" w:rsidRDefault="00D34EDC" w:rsidP="00011334">
      <w:pPr>
        <w:pStyle w:val="Subtitle"/>
        <w:rPr>
          <w:rFonts w:ascii="Book Antiqua" w:hAnsi="Book Antiqua"/>
          <w:sz w:val="28"/>
          <w:szCs w:val="28"/>
        </w:rPr>
      </w:pPr>
      <w:r w:rsidRPr="00011334">
        <w:rPr>
          <w:rFonts w:ascii="Book Antiqua" w:hAnsi="Book Antiqua"/>
          <w:sz w:val="28"/>
          <w:szCs w:val="28"/>
        </w:rPr>
        <w:t>Results</w:t>
      </w:r>
    </w:p>
    <w:p w:rsidR="00591F7B" w:rsidRPr="00011334" w:rsidRDefault="00591F7B" w:rsidP="00591F7B">
      <w:pPr>
        <w:pStyle w:val="NoSpacing"/>
        <w:rPr>
          <w:rStyle w:val="SubtleEmphasis"/>
          <w:rFonts w:ascii="Book Antiqua" w:hAnsi="Book Antiqua"/>
          <w:b/>
          <w:sz w:val="24"/>
          <w:szCs w:val="24"/>
        </w:rPr>
      </w:pPr>
      <w:r w:rsidRPr="00011334">
        <w:rPr>
          <w:rStyle w:val="SubtleEmphasis"/>
          <w:rFonts w:ascii="Book Antiqua" w:hAnsi="Book Antiqua"/>
          <w:b/>
          <w:sz w:val="24"/>
          <w:szCs w:val="24"/>
        </w:rPr>
        <w:t>Results of Simulation Study</w:t>
      </w:r>
    </w:p>
    <w:p w:rsidR="00202D64" w:rsidRDefault="00202D64" w:rsidP="00202D64">
      <w:pPr>
        <w:pStyle w:val="NoSpacing"/>
      </w:pPr>
      <w:r>
        <w:t xml:space="preserve">In the experiment, we observe the comparative performance of the four DMR finding methods through the alternation of </w:t>
      </w:r>
      <w:r w:rsidRPr="007F1806">
        <w:rPr>
          <w:rFonts w:cstheme="minorHAnsi"/>
          <w:i/>
        </w:rPr>
        <w:t>µ</w:t>
      </w:r>
      <w:r>
        <w:t xml:space="preserve">. </w:t>
      </w:r>
    </w:p>
    <w:p w:rsidR="009F4CD3" w:rsidRDefault="009F4CD3" w:rsidP="00BB3C9E">
      <w:pPr>
        <w:pStyle w:val="NoSpacing"/>
      </w:pPr>
    </w:p>
    <w:p w:rsidR="009F4CD3" w:rsidRDefault="00E97863" w:rsidP="00BB3C9E">
      <w:pPr>
        <w:pStyle w:val="NoSpacing"/>
      </w:pPr>
      <w:r>
        <w:t>Power</w:t>
      </w:r>
    </w:p>
    <w:p w:rsidR="00202D64" w:rsidRPr="00011334" w:rsidRDefault="00202D64" w:rsidP="00202D64">
      <w:pPr>
        <w:pStyle w:val="NoSpacing"/>
        <w:rPr>
          <w:rStyle w:val="SubtleEmphasis"/>
        </w:rPr>
      </w:pPr>
      <w:r w:rsidRPr="00011334">
        <w:rPr>
          <w:rStyle w:val="SubtleEmphasis"/>
        </w:rPr>
        <w:t>For Smaller µ value</w:t>
      </w:r>
      <w:r>
        <w:rPr>
          <w:rStyle w:val="SubtleEmphasis"/>
        </w:rPr>
        <w:t xml:space="preserve"> (0-0.05)</w:t>
      </w:r>
    </w:p>
    <w:p w:rsidR="00202D64" w:rsidRDefault="00202D64" w:rsidP="00202D64">
      <w:pPr>
        <w:spacing w:line="240" w:lineRule="auto"/>
        <w:rPr>
          <w:rFonts w:ascii="Calibri" w:eastAsia="Times New Roman" w:hAnsi="Calibri" w:cs="Times New Roman"/>
          <w:color w:val="000000"/>
        </w:rPr>
      </w:pPr>
      <w:r>
        <w:t xml:space="preserve">In the case of smaller </w:t>
      </w:r>
      <w:r w:rsidRPr="00011334">
        <w:rPr>
          <w:rStyle w:val="SubtleEmphasis"/>
        </w:rPr>
        <w:t>µ</w:t>
      </w:r>
      <w:r>
        <w:rPr>
          <w:rStyle w:val="SubtleEmphasis"/>
        </w:rPr>
        <w:t xml:space="preserve">, </w:t>
      </w:r>
      <w:r w:rsidRPr="00921208">
        <w:rPr>
          <w:rStyle w:val="SubtleEmphasis"/>
          <w:i w:val="0"/>
        </w:rPr>
        <w:t>only</w:t>
      </w:r>
      <w:r>
        <w:rPr>
          <w:rStyle w:val="SubtleEmphasis"/>
        </w:rPr>
        <w:t xml:space="preserve"> </w:t>
      </w:r>
      <w:r>
        <w:rPr>
          <w:rStyle w:val="SubtleEmphasis"/>
          <w:i w:val="0"/>
        </w:rPr>
        <w:t>a few TPs had been generated</w:t>
      </w:r>
      <w:r w:rsidRPr="000B46F6">
        <w:rPr>
          <w:rStyle w:val="SubtleEmphasis"/>
          <w:i w:val="0"/>
        </w:rPr>
        <w:t xml:space="preserve"> </w:t>
      </w:r>
      <w:r>
        <w:rPr>
          <w:rStyle w:val="SubtleEmphasis"/>
          <w:i w:val="0"/>
        </w:rPr>
        <w:t xml:space="preserve">in </w:t>
      </w:r>
      <w:r w:rsidRPr="000B46F6">
        <w:rPr>
          <w:rStyle w:val="SubtleEmphasis"/>
          <w:i w:val="0"/>
        </w:rPr>
        <w:t>any resultant DMR</w:t>
      </w:r>
      <w:r>
        <w:rPr>
          <w:rStyle w:val="SubtleEmphasis"/>
          <w:i w:val="0"/>
        </w:rPr>
        <w:t xml:space="preserve"> finding method</w:t>
      </w:r>
      <w:r w:rsidRPr="000B46F6">
        <w:rPr>
          <w:rStyle w:val="SubtleEmphasis"/>
          <w:i w:val="0"/>
        </w:rPr>
        <w:t xml:space="preserve"> for any repetition (run</w:t>
      </w:r>
      <w:r>
        <w:rPr>
          <w:rStyle w:val="SubtleEmphasis"/>
          <w:i w:val="0"/>
        </w:rPr>
        <w:t xml:space="preserve">). </w:t>
      </w:r>
      <w:proofErr w:type="spellStart"/>
      <w:r>
        <w:rPr>
          <w:rStyle w:val="SubtleEmphasis"/>
          <w:i w:val="0"/>
        </w:rPr>
        <w:t>Bumphunter</w:t>
      </w:r>
      <w:proofErr w:type="spellEnd"/>
      <w:r>
        <w:rPr>
          <w:rStyle w:val="SubtleEmphasis"/>
          <w:i w:val="0"/>
        </w:rPr>
        <w:t xml:space="preserve"> produced highest number of TPs rather than the other three methods, whereas Probe-lasso generated lowest number of TPs among all. Overall, </w:t>
      </w:r>
      <w:proofErr w:type="spellStart"/>
      <w:r>
        <w:rPr>
          <w:rStyle w:val="SubtleEmphasis"/>
          <w:i w:val="0"/>
        </w:rPr>
        <w:t>Bumphunter</w:t>
      </w:r>
      <w:proofErr w:type="spellEnd"/>
      <w:r>
        <w:rPr>
          <w:rStyle w:val="SubtleEmphasis"/>
          <w:i w:val="0"/>
        </w:rPr>
        <w:t xml:space="preserve"> provided highest average power in this scenario (viz., </w:t>
      </w:r>
      <w:r w:rsidRPr="00795972">
        <w:rPr>
          <w:rFonts w:ascii="Calibri" w:eastAsia="Times New Roman" w:hAnsi="Calibri" w:cs="Times New Roman"/>
          <w:color w:val="000000"/>
        </w:rPr>
        <w:t>0.2023(</w:t>
      </w:r>
      <w:r>
        <w:rPr>
          <w:rFonts w:ascii="Calibri" w:eastAsia="Times New Roman" w:hAnsi="Calibri" w:cs="Times New Roman"/>
          <w:color w:val="000000"/>
        </w:rPr>
        <w:t>±</w:t>
      </w:r>
      <w:r w:rsidRPr="00795972">
        <w:rPr>
          <w:rFonts w:ascii="Calibri" w:eastAsia="Times New Roman" w:hAnsi="Calibri" w:cs="Times New Roman"/>
          <w:color w:val="000000"/>
        </w:rPr>
        <w:t>0.02)</w:t>
      </w:r>
      <w:r>
        <w:rPr>
          <w:rFonts w:ascii="Calibri" w:eastAsia="Times New Roman" w:hAnsi="Calibri" w:cs="Times New Roman"/>
          <w:color w:val="000000"/>
        </w:rPr>
        <w:t xml:space="preserve"> for </w:t>
      </w:r>
      <w:proofErr w:type="spellStart"/>
      <w:r>
        <w:rPr>
          <w:rFonts w:ascii="Calibri" w:eastAsia="Times New Roman" w:hAnsi="Calibri" w:cs="Times New Roman"/>
          <w:color w:val="000000"/>
        </w:rPr>
        <w:t>miu</w:t>
      </w:r>
      <w:proofErr w:type="spellEnd"/>
      <w:r>
        <w:rPr>
          <w:rFonts w:ascii="Calibri" w:eastAsia="Times New Roman" w:hAnsi="Calibri" w:cs="Times New Roman"/>
          <w:color w:val="000000"/>
        </w:rPr>
        <w:t xml:space="preserve">=0.025, and </w:t>
      </w:r>
      <w:r w:rsidRPr="00795972">
        <w:rPr>
          <w:rFonts w:ascii="Calibri" w:eastAsia="Times New Roman" w:hAnsi="Calibri" w:cs="Times New Roman"/>
          <w:color w:val="000000"/>
        </w:rPr>
        <w:t>0.5002(</w:t>
      </w:r>
      <w:r>
        <w:rPr>
          <w:rFonts w:ascii="Calibri" w:eastAsia="Times New Roman" w:hAnsi="Calibri" w:cs="Times New Roman"/>
          <w:color w:val="000000"/>
        </w:rPr>
        <w:t>±</w:t>
      </w:r>
      <w:r w:rsidRPr="00795972">
        <w:rPr>
          <w:rFonts w:ascii="Calibri" w:eastAsia="Times New Roman" w:hAnsi="Calibri" w:cs="Times New Roman"/>
          <w:color w:val="000000"/>
        </w:rPr>
        <w:t>0.02)</w:t>
      </w:r>
      <w:r>
        <w:rPr>
          <w:rFonts w:ascii="Calibri" w:eastAsia="Times New Roman" w:hAnsi="Calibri" w:cs="Times New Roman"/>
          <w:color w:val="000000"/>
        </w:rPr>
        <w:t xml:space="preserve"> for mu=0.05), whereas comp-b yielded second highest power </w:t>
      </w:r>
      <w:r>
        <w:rPr>
          <w:rStyle w:val="SubtleEmphasis"/>
          <w:i w:val="0"/>
        </w:rPr>
        <w:t xml:space="preserve">(viz., </w:t>
      </w:r>
      <w:r w:rsidRPr="00795972">
        <w:t>0.0852(</w:t>
      </w:r>
      <w:r>
        <w:rPr>
          <w:rFonts w:ascii="Calibri" w:eastAsia="Times New Roman" w:hAnsi="Calibri" w:cs="Times New Roman"/>
          <w:color w:val="000000"/>
        </w:rPr>
        <w:t>±</w:t>
      </w:r>
      <w:r w:rsidRPr="00795972">
        <w:t>0.01)</w:t>
      </w:r>
      <w:r>
        <w:t xml:space="preserve"> </w:t>
      </w:r>
      <w:r>
        <w:rPr>
          <w:rFonts w:ascii="Calibri" w:eastAsia="Times New Roman" w:hAnsi="Calibri" w:cs="Times New Roman"/>
          <w:color w:val="000000"/>
        </w:rPr>
        <w:t xml:space="preserve">for </w:t>
      </w:r>
      <w:proofErr w:type="spellStart"/>
      <w:r>
        <w:rPr>
          <w:rFonts w:ascii="Calibri" w:eastAsia="Times New Roman" w:hAnsi="Calibri" w:cs="Times New Roman"/>
          <w:color w:val="000000"/>
        </w:rPr>
        <w:t>miu</w:t>
      </w:r>
      <w:proofErr w:type="spellEnd"/>
      <w:r>
        <w:rPr>
          <w:rFonts w:ascii="Calibri" w:eastAsia="Times New Roman" w:hAnsi="Calibri" w:cs="Times New Roman"/>
          <w:color w:val="000000"/>
        </w:rPr>
        <w:t xml:space="preserve">=0.025, and </w:t>
      </w:r>
      <w:r w:rsidRPr="00795972">
        <w:t>0.3104(</w:t>
      </w:r>
      <w:r>
        <w:rPr>
          <w:rFonts w:ascii="Calibri" w:eastAsia="Times New Roman" w:hAnsi="Calibri" w:cs="Times New Roman"/>
          <w:color w:val="000000"/>
        </w:rPr>
        <w:t>±</w:t>
      </w:r>
      <w:r w:rsidRPr="00795972">
        <w:t>0.02)</w:t>
      </w:r>
      <w:r>
        <w:t xml:space="preserve"> </w:t>
      </w:r>
      <w:r>
        <w:rPr>
          <w:rFonts w:ascii="Calibri" w:eastAsia="Times New Roman" w:hAnsi="Calibri" w:cs="Times New Roman"/>
          <w:color w:val="000000"/>
        </w:rPr>
        <w:t>for mu=0.05).  But, the performance of the remaining two methods (</w:t>
      </w:r>
      <w:proofErr w:type="spellStart"/>
      <w:r>
        <w:rPr>
          <w:rFonts w:ascii="Calibri" w:eastAsia="Times New Roman" w:hAnsi="Calibri" w:cs="Times New Roman"/>
          <w:color w:val="000000"/>
        </w:rPr>
        <w:t>DMRcate</w:t>
      </w:r>
      <w:proofErr w:type="spellEnd"/>
      <w:r>
        <w:rPr>
          <w:rFonts w:ascii="Calibri" w:eastAsia="Times New Roman" w:hAnsi="Calibri" w:cs="Times New Roman"/>
          <w:color w:val="000000"/>
        </w:rPr>
        <w:t xml:space="preserve"> and Probe-lasso) were poor. </w:t>
      </w:r>
    </w:p>
    <w:p w:rsidR="001C1C31" w:rsidRPr="00930CEF" w:rsidRDefault="001C1C31" w:rsidP="00202D64">
      <w:pPr>
        <w:spacing w:line="240" w:lineRule="auto"/>
        <w:rPr>
          <w:rFonts w:ascii="Calibri" w:eastAsia="Times New Roman" w:hAnsi="Calibri" w:cs="Times New Roman"/>
          <w:color w:val="000000"/>
        </w:rPr>
      </w:pPr>
      <w:r>
        <w:rPr>
          <w:rFonts w:ascii="Calibri" w:eastAsia="Times New Roman" w:hAnsi="Calibri" w:cs="Times New Roman"/>
          <w:color w:val="000000"/>
        </w:rPr>
        <w:t xml:space="preserve">Overall, no method works well when </w:t>
      </w:r>
      <w:r w:rsidRPr="00011334">
        <w:rPr>
          <w:rStyle w:val="SubtleEmphasis"/>
        </w:rPr>
        <w:t>µ</w:t>
      </w:r>
      <w:r>
        <w:rPr>
          <w:rStyle w:val="SubtleEmphasis"/>
        </w:rPr>
        <w:t xml:space="preserve"> </w:t>
      </w:r>
      <w:r>
        <w:rPr>
          <w:rStyle w:val="SubtleEmphasis"/>
          <w:i w:val="0"/>
        </w:rPr>
        <w:t>value is low.</w:t>
      </w:r>
      <w:r w:rsidR="00930CEF">
        <w:rPr>
          <w:rStyle w:val="SubtleEmphasis"/>
          <w:i w:val="0"/>
        </w:rPr>
        <w:t xml:space="preserve"> In addition, it can be said that </w:t>
      </w:r>
      <w:proofErr w:type="spellStart"/>
      <w:r w:rsidR="00930CEF">
        <w:rPr>
          <w:rStyle w:val="SubtleEmphasis"/>
          <w:i w:val="0"/>
        </w:rPr>
        <w:t>Bumphunter</w:t>
      </w:r>
      <w:proofErr w:type="spellEnd"/>
      <w:r w:rsidR="00930CEF">
        <w:rPr>
          <w:rStyle w:val="SubtleEmphasis"/>
          <w:i w:val="0"/>
        </w:rPr>
        <w:t xml:space="preserve"> performs better than the others for smaller value of </w:t>
      </w:r>
      <w:r w:rsidR="00930CEF" w:rsidRPr="00011334">
        <w:rPr>
          <w:rStyle w:val="SubtleEmphasis"/>
        </w:rPr>
        <w:t>µ</w:t>
      </w:r>
      <w:r w:rsidR="00930CEF">
        <w:rPr>
          <w:rStyle w:val="SubtleEmphasis"/>
          <w:i w:val="0"/>
        </w:rPr>
        <w:t>.</w:t>
      </w:r>
    </w:p>
    <w:p w:rsidR="00E9297A" w:rsidRPr="00011334" w:rsidRDefault="00E9297A" w:rsidP="00E9297A">
      <w:pPr>
        <w:pStyle w:val="NoSpacing"/>
        <w:rPr>
          <w:rStyle w:val="SubtleEmphasis"/>
        </w:rPr>
      </w:pPr>
      <w:r w:rsidRPr="00011334">
        <w:rPr>
          <w:rStyle w:val="SubtleEmphasis"/>
        </w:rPr>
        <w:t xml:space="preserve">For </w:t>
      </w:r>
      <w:r>
        <w:rPr>
          <w:rStyle w:val="SubtleEmphasis"/>
        </w:rPr>
        <w:t>Medium</w:t>
      </w:r>
      <w:r w:rsidRPr="00011334">
        <w:rPr>
          <w:rStyle w:val="SubtleEmphasis"/>
        </w:rPr>
        <w:t xml:space="preserve"> µ value</w:t>
      </w:r>
      <w:r>
        <w:rPr>
          <w:rStyle w:val="SubtleEmphasis"/>
        </w:rPr>
        <w:t xml:space="preserve"> (0.1-0.15)</w:t>
      </w:r>
    </w:p>
    <w:p w:rsidR="00E9297A" w:rsidRDefault="00E9297A" w:rsidP="00E9297A">
      <w:pPr>
        <w:spacing w:line="240" w:lineRule="auto"/>
        <w:rPr>
          <w:rStyle w:val="SubtleEmphasis"/>
          <w:i w:val="0"/>
        </w:rPr>
      </w:pPr>
      <w:r>
        <w:t xml:space="preserve">In the case of medium </w:t>
      </w:r>
      <w:r w:rsidRPr="00011334">
        <w:rPr>
          <w:rStyle w:val="SubtleEmphasis"/>
        </w:rPr>
        <w:t>µ</w:t>
      </w:r>
      <w:r>
        <w:rPr>
          <w:rStyle w:val="SubtleEmphasis"/>
        </w:rPr>
        <w:t xml:space="preserve">, </w:t>
      </w:r>
      <w:r>
        <w:rPr>
          <w:rStyle w:val="SubtleEmphasis"/>
          <w:i w:val="0"/>
        </w:rPr>
        <w:t xml:space="preserve">the number of TPs were increased than these in the smaller </w:t>
      </w:r>
      <w:r w:rsidRPr="00011334">
        <w:rPr>
          <w:rStyle w:val="SubtleEmphasis"/>
        </w:rPr>
        <w:t>µ</w:t>
      </w:r>
      <w:r>
        <w:rPr>
          <w:rStyle w:val="SubtleEmphasis"/>
        </w:rPr>
        <w:t xml:space="preserve"> </w:t>
      </w:r>
      <w:r w:rsidRPr="00D86E48">
        <w:rPr>
          <w:rStyle w:val="SubtleEmphasis"/>
          <w:i w:val="0"/>
        </w:rPr>
        <w:t>for the four DMR identification methods.</w:t>
      </w:r>
      <w:r>
        <w:rPr>
          <w:rStyle w:val="SubtleEmphasis"/>
          <w:i w:val="0"/>
        </w:rPr>
        <w:t xml:space="preserve"> In this case also, </w:t>
      </w:r>
      <w:proofErr w:type="spellStart"/>
      <w:r>
        <w:rPr>
          <w:rStyle w:val="SubtleEmphasis"/>
          <w:i w:val="0"/>
        </w:rPr>
        <w:t>Bumphunter</w:t>
      </w:r>
      <w:proofErr w:type="spellEnd"/>
      <w:r>
        <w:rPr>
          <w:rStyle w:val="SubtleEmphasis"/>
          <w:i w:val="0"/>
        </w:rPr>
        <w:t xml:space="preserve"> was the best performer in producing highest power (viz., </w:t>
      </w:r>
      <w:r w:rsidRPr="00795972">
        <w:rPr>
          <w:rFonts w:ascii="Calibri" w:eastAsia="Times New Roman" w:hAnsi="Calibri" w:cs="Times New Roman"/>
          <w:color w:val="000000"/>
        </w:rPr>
        <w:t>0.7451(</w:t>
      </w:r>
      <w:r>
        <w:rPr>
          <w:rFonts w:ascii="Calibri" w:eastAsia="Times New Roman" w:hAnsi="Calibri" w:cs="Times New Roman"/>
          <w:color w:val="000000"/>
        </w:rPr>
        <w:t>±</w:t>
      </w:r>
      <w:r w:rsidRPr="00795972">
        <w:rPr>
          <w:rFonts w:ascii="Calibri" w:eastAsia="Times New Roman" w:hAnsi="Calibri" w:cs="Times New Roman"/>
          <w:color w:val="000000"/>
        </w:rPr>
        <w:t>0.03)</w:t>
      </w:r>
      <w:r>
        <w:rPr>
          <w:rFonts w:ascii="Calibri" w:eastAsia="Times New Roman" w:hAnsi="Calibri" w:cs="Times New Roman"/>
          <w:color w:val="000000"/>
        </w:rPr>
        <w:t xml:space="preserve"> for </w:t>
      </w:r>
      <w:proofErr w:type="spellStart"/>
      <w:r>
        <w:rPr>
          <w:rFonts w:ascii="Calibri" w:eastAsia="Times New Roman" w:hAnsi="Calibri" w:cs="Times New Roman"/>
          <w:color w:val="000000"/>
        </w:rPr>
        <w:t>miu</w:t>
      </w:r>
      <w:proofErr w:type="spellEnd"/>
      <w:r>
        <w:rPr>
          <w:rFonts w:ascii="Calibri" w:eastAsia="Times New Roman" w:hAnsi="Calibri" w:cs="Times New Roman"/>
          <w:color w:val="000000"/>
        </w:rPr>
        <w:t xml:space="preserve">=0.1, and </w:t>
      </w:r>
      <w:r w:rsidRPr="00795972">
        <w:rPr>
          <w:rFonts w:ascii="Calibri" w:eastAsia="Times New Roman" w:hAnsi="Calibri" w:cs="Times New Roman"/>
          <w:color w:val="000000"/>
        </w:rPr>
        <w:t>0.7805(</w:t>
      </w:r>
      <w:r>
        <w:rPr>
          <w:rFonts w:ascii="Calibri" w:eastAsia="Times New Roman" w:hAnsi="Calibri" w:cs="Times New Roman"/>
          <w:color w:val="000000"/>
        </w:rPr>
        <w:t>±</w:t>
      </w:r>
      <w:r w:rsidRPr="00795972">
        <w:rPr>
          <w:rFonts w:ascii="Calibri" w:eastAsia="Times New Roman" w:hAnsi="Calibri" w:cs="Times New Roman"/>
          <w:color w:val="000000"/>
        </w:rPr>
        <w:t>0.02)</w:t>
      </w:r>
      <w:r>
        <w:rPr>
          <w:rFonts w:eastAsia="Times New Roman" w:cs="Times New Roman"/>
          <w:color w:val="000000"/>
        </w:rPr>
        <w:t xml:space="preserve"> </w:t>
      </w:r>
      <w:r>
        <w:rPr>
          <w:rFonts w:ascii="Calibri" w:eastAsia="Times New Roman" w:hAnsi="Calibri" w:cs="Times New Roman"/>
          <w:color w:val="000000"/>
        </w:rPr>
        <w:t>for mu=0.15)</w:t>
      </w:r>
      <w:r>
        <w:rPr>
          <w:rStyle w:val="SubtleEmphasis"/>
          <w:i w:val="0"/>
        </w:rPr>
        <w:t xml:space="preserve"> among the all methods, whereas </w:t>
      </w:r>
      <w:proofErr w:type="spellStart"/>
      <w:r>
        <w:rPr>
          <w:rStyle w:val="SubtleEmphasis"/>
          <w:i w:val="0"/>
        </w:rPr>
        <w:t>DMRcate</w:t>
      </w:r>
      <w:proofErr w:type="spellEnd"/>
      <w:r>
        <w:rPr>
          <w:rStyle w:val="SubtleEmphasis"/>
          <w:i w:val="0"/>
        </w:rPr>
        <w:t xml:space="preserve"> and Probe-lasso generated lower power</w:t>
      </w:r>
      <w:r>
        <w:rPr>
          <w:rStyle w:val="SubtleEmphasis"/>
          <w:rFonts w:eastAsia="Times New Roman" w:cs="Times New Roman"/>
          <w:i w:val="0"/>
          <w:iCs w:val="0"/>
          <w:color w:val="000000"/>
        </w:rPr>
        <w:t xml:space="preserve"> (viz., </w:t>
      </w:r>
      <w:r w:rsidRPr="00C01C67">
        <w:rPr>
          <w:rFonts w:ascii="Calibri" w:eastAsia="Times New Roman" w:hAnsi="Calibri" w:cs="Times New Roman"/>
          <w:color w:val="000000"/>
        </w:rPr>
        <w:t>0.3832(</w:t>
      </w:r>
      <w:r>
        <w:rPr>
          <w:rFonts w:ascii="Calibri" w:eastAsia="Times New Roman" w:hAnsi="Calibri" w:cs="Times New Roman"/>
          <w:color w:val="000000"/>
        </w:rPr>
        <w:t>±</w:t>
      </w:r>
      <w:r w:rsidRPr="00C01C67">
        <w:rPr>
          <w:rFonts w:ascii="Calibri" w:eastAsia="Times New Roman" w:hAnsi="Calibri" w:cs="Times New Roman"/>
          <w:color w:val="000000"/>
        </w:rPr>
        <w:t>0.01)</w:t>
      </w:r>
      <w:r>
        <w:rPr>
          <w:rFonts w:eastAsia="Times New Roman" w:cs="Times New Roman"/>
          <w:color w:val="000000"/>
        </w:rPr>
        <w:t xml:space="preserve"> </w:t>
      </w:r>
      <w:r>
        <w:t xml:space="preserve">and </w:t>
      </w:r>
      <w:r w:rsidRPr="00795972">
        <w:t>0.3892(</w:t>
      </w:r>
      <w:r>
        <w:rPr>
          <w:rFonts w:ascii="Calibri" w:eastAsia="Times New Roman" w:hAnsi="Calibri" w:cs="Times New Roman"/>
          <w:color w:val="000000"/>
        </w:rPr>
        <w:t>±</w:t>
      </w:r>
      <w:r w:rsidRPr="00795972">
        <w:t>0.02)</w:t>
      </w:r>
      <w:r>
        <w:t xml:space="preserve"> respectively for mu=0.1, </w:t>
      </w:r>
      <w:r>
        <w:rPr>
          <w:rFonts w:ascii="Calibri" w:eastAsia="Times New Roman" w:hAnsi="Calibri" w:cs="Times New Roman"/>
          <w:color w:val="000000"/>
        </w:rPr>
        <w:t xml:space="preserve">and </w:t>
      </w:r>
      <w:r w:rsidRPr="00C01C67">
        <w:rPr>
          <w:rFonts w:ascii="Calibri" w:eastAsia="Times New Roman" w:hAnsi="Calibri" w:cs="Times New Roman"/>
          <w:color w:val="000000"/>
        </w:rPr>
        <w:t>0.4744(</w:t>
      </w:r>
      <w:r>
        <w:rPr>
          <w:rFonts w:ascii="Calibri" w:eastAsia="Times New Roman" w:hAnsi="Calibri" w:cs="Times New Roman"/>
          <w:color w:val="000000"/>
        </w:rPr>
        <w:t>±</w:t>
      </w:r>
      <w:r w:rsidRPr="00C01C67">
        <w:rPr>
          <w:rFonts w:ascii="Calibri" w:eastAsia="Times New Roman" w:hAnsi="Calibri" w:cs="Times New Roman"/>
          <w:color w:val="000000"/>
        </w:rPr>
        <w:t>0.02)</w:t>
      </w:r>
      <w:r>
        <w:rPr>
          <w:rFonts w:ascii="Calibri" w:eastAsia="Times New Roman" w:hAnsi="Calibri" w:cs="Times New Roman"/>
          <w:color w:val="000000"/>
        </w:rPr>
        <w:t xml:space="preserve"> </w:t>
      </w:r>
      <w:r>
        <w:t xml:space="preserve">and </w:t>
      </w:r>
      <w:r w:rsidRPr="00795972">
        <w:t>0.4628(</w:t>
      </w:r>
      <w:r>
        <w:rPr>
          <w:rFonts w:ascii="Calibri" w:eastAsia="Times New Roman" w:hAnsi="Calibri" w:cs="Times New Roman"/>
          <w:color w:val="000000"/>
        </w:rPr>
        <w:t>±</w:t>
      </w:r>
      <w:r w:rsidRPr="00795972">
        <w:t>0.02)</w:t>
      </w:r>
      <w:r>
        <w:t>, respectively for mu=0.15</w:t>
      </w:r>
      <w:r>
        <w:rPr>
          <w:rStyle w:val="SubtleEmphasis"/>
          <w:rFonts w:eastAsia="Times New Roman" w:cs="Times New Roman"/>
          <w:i w:val="0"/>
          <w:iCs w:val="0"/>
          <w:color w:val="000000"/>
        </w:rPr>
        <w:t xml:space="preserve">) </w:t>
      </w:r>
      <w:r>
        <w:rPr>
          <w:rStyle w:val="SubtleEmphasis"/>
          <w:i w:val="0"/>
        </w:rPr>
        <w:t xml:space="preserve">among the all. The remaining method Comb-p second higher average power generator. </w:t>
      </w:r>
    </w:p>
    <w:p w:rsidR="007362C3" w:rsidRPr="0093789F" w:rsidRDefault="007362C3" w:rsidP="00062A46">
      <w:pPr>
        <w:spacing w:line="240" w:lineRule="auto"/>
        <w:rPr>
          <w:rFonts w:eastAsia="Times New Roman" w:cs="Times New Roman"/>
          <w:color w:val="000000"/>
        </w:rPr>
      </w:pPr>
      <w:r>
        <w:rPr>
          <w:rStyle w:val="SubtleEmphasis"/>
          <w:i w:val="0"/>
        </w:rPr>
        <w:t xml:space="preserve">Overall, </w:t>
      </w:r>
      <w:r w:rsidR="00930012">
        <w:rPr>
          <w:rStyle w:val="SubtleEmphasis"/>
          <w:i w:val="0"/>
        </w:rPr>
        <w:t xml:space="preserve">the performance of all the methods improve significantly for medium </w:t>
      </w:r>
      <w:r w:rsidR="00930012" w:rsidRPr="00011334">
        <w:rPr>
          <w:rStyle w:val="SubtleEmphasis"/>
        </w:rPr>
        <w:t>µ</w:t>
      </w:r>
      <w:r w:rsidR="00930012" w:rsidRPr="00930012">
        <w:rPr>
          <w:rStyle w:val="SubtleEmphasis"/>
          <w:i w:val="0"/>
        </w:rPr>
        <w:t xml:space="preserve"> value</w:t>
      </w:r>
      <w:r w:rsidR="00062A46">
        <w:rPr>
          <w:rStyle w:val="SubtleEmphasis"/>
          <w:i w:val="0"/>
        </w:rPr>
        <w:t xml:space="preserve"> rather than these for low </w:t>
      </w:r>
      <w:r w:rsidR="00062A46" w:rsidRPr="00011334">
        <w:rPr>
          <w:rStyle w:val="SubtleEmphasis"/>
        </w:rPr>
        <w:t>µ</w:t>
      </w:r>
      <w:r w:rsidR="00062A46" w:rsidRPr="00930012">
        <w:rPr>
          <w:rStyle w:val="SubtleEmphasis"/>
          <w:i w:val="0"/>
        </w:rPr>
        <w:t xml:space="preserve"> value</w:t>
      </w:r>
      <w:r w:rsidR="00062A46">
        <w:rPr>
          <w:rStyle w:val="SubtleEmphasis"/>
          <w:i w:val="0"/>
        </w:rPr>
        <w:t xml:space="preserve">. In this case also, </w:t>
      </w:r>
      <w:proofErr w:type="spellStart"/>
      <w:r w:rsidR="00062A46">
        <w:rPr>
          <w:rStyle w:val="SubtleEmphasis"/>
          <w:i w:val="0"/>
        </w:rPr>
        <w:t>Bumphunter</w:t>
      </w:r>
      <w:proofErr w:type="spellEnd"/>
      <w:r w:rsidR="00062A46">
        <w:rPr>
          <w:rStyle w:val="SubtleEmphasis"/>
          <w:i w:val="0"/>
        </w:rPr>
        <w:t xml:space="preserve"> is the best performer.</w:t>
      </w:r>
    </w:p>
    <w:p w:rsidR="00E0747F" w:rsidRPr="00011334" w:rsidRDefault="00E0747F" w:rsidP="00E0747F">
      <w:pPr>
        <w:pStyle w:val="NoSpacing"/>
        <w:rPr>
          <w:rStyle w:val="SubtleEmphasis"/>
        </w:rPr>
      </w:pPr>
      <w:r w:rsidRPr="00011334">
        <w:rPr>
          <w:rStyle w:val="SubtleEmphasis"/>
        </w:rPr>
        <w:t xml:space="preserve">For </w:t>
      </w:r>
      <w:r>
        <w:rPr>
          <w:rStyle w:val="SubtleEmphasis"/>
        </w:rPr>
        <w:t>Higher</w:t>
      </w:r>
      <w:r w:rsidRPr="00011334">
        <w:rPr>
          <w:rStyle w:val="SubtleEmphasis"/>
        </w:rPr>
        <w:t xml:space="preserve"> µ value</w:t>
      </w:r>
      <w:r>
        <w:rPr>
          <w:rStyle w:val="SubtleEmphasis"/>
        </w:rPr>
        <w:t xml:space="preserve"> (0.2-0.4)</w:t>
      </w:r>
    </w:p>
    <w:p w:rsidR="00E0747F" w:rsidRDefault="00E0747F" w:rsidP="00E0747F">
      <w:pPr>
        <w:spacing w:line="240" w:lineRule="auto"/>
        <w:rPr>
          <w:rStyle w:val="SubtleEmphasis"/>
          <w:i w:val="0"/>
        </w:rPr>
      </w:pPr>
      <w:r>
        <w:lastRenderedPageBreak/>
        <w:t xml:space="preserve">For higher </w:t>
      </w:r>
      <w:r w:rsidRPr="00011334">
        <w:rPr>
          <w:rStyle w:val="SubtleEmphasis"/>
        </w:rPr>
        <w:t>µ</w:t>
      </w:r>
      <w:r>
        <w:rPr>
          <w:rStyle w:val="SubtleEmphasis"/>
        </w:rPr>
        <w:t xml:space="preserve">, </w:t>
      </w:r>
      <w:r>
        <w:rPr>
          <w:rStyle w:val="SubtleEmphasis"/>
          <w:i w:val="0"/>
        </w:rPr>
        <w:t xml:space="preserve">the number of TPs were increased than these in the medium </w:t>
      </w:r>
      <w:r w:rsidRPr="00011334">
        <w:rPr>
          <w:rStyle w:val="SubtleEmphasis"/>
        </w:rPr>
        <w:t>µ</w:t>
      </w:r>
      <w:r>
        <w:rPr>
          <w:rStyle w:val="SubtleEmphasis"/>
        </w:rPr>
        <w:t xml:space="preserve"> </w:t>
      </w:r>
      <w:r w:rsidRPr="00D86E48">
        <w:rPr>
          <w:rStyle w:val="SubtleEmphasis"/>
          <w:i w:val="0"/>
        </w:rPr>
        <w:t>for the four methods.</w:t>
      </w:r>
      <w:r>
        <w:rPr>
          <w:rStyle w:val="SubtleEmphasis"/>
          <w:i w:val="0"/>
        </w:rPr>
        <w:t xml:space="preserve"> Alike the previous cases, </w:t>
      </w:r>
      <w:proofErr w:type="spellStart"/>
      <w:r>
        <w:rPr>
          <w:rStyle w:val="SubtleEmphasis"/>
          <w:i w:val="0"/>
        </w:rPr>
        <w:t>Bumphunter</w:t>
      </w:r>
      <w:proofErr w:type="spellEnd"/>
      <w:r>
        <w:rPr>
          <w:rStyle w:val="SubtleEmphasis"/>
          <w:i w:val="0"/>
        </w:rPr>
        <w:t xml:space="preserve"> produced highest power (viz., </w:t>
      </w:r>
      <w:r w:rsidRPr="00BE2F74">
        <w:rPr>
          <w:rFonts w:ascii="Calibri" w:eastAsia="Times New Roman" w:hAnsi="Calibri" w:cs="Times New Roman"/>
          <w:color w:val="000000"/>
        </w:rPr>
        <w:t>0.9918(±0)</w:t>
      </w:r>
      <w:r>
        <w:rPr>
          <w:rFonts w:ascii="Calibri" w:eastAsia="Times New Roman" w:hAnsi="Calibri" w:cs="Times New Roman"/>
          <w:color w:val="000000"/>
        </w:rPr>
        <w:t xml:space="preserve"> for </w:t>
      </w:r>
      <w:proofErr w:type="spellStart"/>
      <w:r>
        <w:rPr>
          <w:rFonts w:ascii="Calibri" w:eastAsia="Times New Roman" w:hAnsi="Calibri" w:cs="Times New Roman"/>
          <w:color w:val="000000"/>
        </w:rPr>
        <w:t>miu</w:t>
      </w:r>
      <w:proofErr w:type="spellEnd"/>
      <w:r>
        <w:rPr>
          <w:rFonts w:ascii="Calibri" w:eastAsia="Times New Roman" w:hAnsi="Calibri" w:cs="Times New Roman"/>
          <w:color w:val="000000"/>
        </w:rPr>
        <w:t xml:space="preserve">=0.2, </w:t>
      </w:r>
      <w:r w:rsidRPr="00BE2F74">
        <w:rPr>
          <w:rFonts w:ascii="Calibri" w:eastAsia="Times New Roman" w:hAnsi="Calibri" w:cs="Times New Roman"/>
          <w:color w:val="000000"/>
        </w:rPr>
        <w:t>0.9923(±0)</w:t>
      </w:r>
      <w:r>
        <w:rPr>
          <w:rFonts w:ascii="Calibri" w:eastAsia="Times New Roman" w:hAnsi="Calibri" w:cs="Times New Roman"/>
          <w:color w:val="000000"/>
        </w:rPr>
        <w:t xml:space="preserve"> for </w:t>
      </w:r>
      <w:proofErr w:type="spellStart"/>
      <w:r>
        <w:rPr>
          <w:rFonts w:ascii="Calibri" w:eastAsia="Times New Roman" w:hAnsi="Calibri" w:cs="Times New Roman"/>
          <w:color w:val="000000"/>
        </w:rPr>
        <w:t>miu</w:t>
      </w:r>
      <w:proofErr w:type="spellEnd"/>
      <w:r>
        <w:rPr>
          <w:rFonts w:ascii="Calibri" w:eastAsia="Times New Roman" w:hAnsi="Calibri" w:cs="Times New Roman"/>
          <w:color w:val="000000"/>
        </w:rPr>
        <w:t xml:space="preserve">=0.3, and </w:t>
      </w:r>
      <w:r w:rsidRPr="00BE2F74">
        <w:rPr>
          <w:rFonts w:ascii="Calibri" w:eastAsia="Times New Roman" w:hAnsi="Calibri" w:cs="Times New Roman"/>
          <w:color w:val="000000"/>
        </w:rPr>
        <w:t>0.9926(±0)</w:t>
      </w:r>
      <w:r>
        <w:rPr>
          <w:rFonts w:ascii="Calibri" w:eastAsia="Times New Roman" w:hAnsi="Calibri" w:cs="Times New Roman"/>
          <w:color w:val="000000"/>
        </w:rPr>
        <w:t xml:space="preserve"> for mu=0.4)</w:t>
      </w:r>
      <w:r>
        <w:rPr>
          <w:rStyle w:val="SubtleEmphasis"/>
          <w:i w:val="0"/>
        </w:rPr>
        <w:t xml:space="preserve"> among the all methods, whereas Probe-lasso generated lower power among the all. Comb-p was the second highest average power generator. </w:t>
      </w:r>
    </w:p>
    <w:p w:rsidR="00A87CA6" w:rsidRPr="0093789F" w:rsidRDefault="0076070E" w:rsidP="00E0747F">
      <w:pPr>
        <w:spacing w:line="240" w:lineRule="auto"/>
        <w:rPr>
          <w:rFonts w:eastAsia="Times New Roman" w:cs="Times New Roman"/>
          <w:color w:val="000000"/>
        </w:rPr>
      </w:pPr>
      <w:r>
        <w:rPr>
          <w:rStyle w:val="SubtleEmphasis"/>
          <w:i w:val="0"/>
        </w:rPr>
        <w:t xml:space="preserve">Overall, for higher </w:t>
      </w:r>
      <w:r w:rsidRPr="00011334">
        <w:rPr>
          <w:rStyle w:val="SubtleEmphasis"/>
        </w:rPr>
        <w:t>µ</w:t>
      </w:r>
      <w:r>
        <w:rPr>
          <w:rStyle w:val="SubtleEmphasis"/>
          <w:i w:val="0"/>
        </w:rPr>
        <w:t xml:space="preserve"> value,</w:t>
      </w:r>
      <w:r w:rsidR="00255D07">
        <w:rPr>
          <w:rStyle w:val="SubtleEmphasis"/>
          <w:i w:val="0"/>
        </w:rPr>
        <w:t xml:space="preserve"> all methods perform well. Moreover, </w:t>
      </w:r>
      <w:r w:rsidR="00C34F56">
        <w:rPr>
          <w:rStyle w:val="SubtleEmphasis"/>
          <w:i w:val="0"/>
        </w:rPr>
        <w:t xml:space="preserve">alike in the previous cases, </w:t>
      </w:r>
      <w:proofErr w:type="spellStart"/>
      <w:r w:rsidR="00255D07">
        <w:rPr>
          <w:rStyle w:val="SubtleEmphasis"/>
          <w:i w:val="0"/>
        </w:rPr>
        <w:t>Bumphunter</w:t>
      </w:r>
      <w:proofErr w:type="spellEnd"/>
      <w:r w:rsidR="00255D07">
        <w:rPr>
          <w:rStyle w:val="SubtleEmphasis"/>
          <w:i w:val="0"/>
        </w:rPr>
        <w:t xml:space="preserve"> is the best performer here.</w:t>
      </w:r>
    </w:p>
    <w:p w:rsidR="00C92E81" w:rsidRPr="006D1FB5" w:rsidRDefault="00C92E81" w:rsidP="00C92E81">
      <w:pPr>
        <w:pStyle w:val="NoSpacing"/>
        <w:rPr>
          <w:rStyle w:val="SubtleEmphasis"/>
          <w:rFonts w:eastAsia="Times New Roman" w:cs="Times New Roman"/>
          <w:i w:val="0"/>
          <w:iCs w:val="0"/>
          <w:color w:val="000000" w:themeColor="text1"/>
        </w:rPr>
      </w:pPr>
      <w:r>
        <w:rPr>
          <w:rFonts w:ascii="Calibri" w:eastAsia="Times New Roman" w:hAnsi="Calibri" w:cs="Times New Roman"/>
          <w:color w:val="000000"/>
        </w:rPr>
        <w:t xml:space="preserve">See Figure 2 and Figure 3 for details. </w:t>
      </w:r>
      <w:r w:rsidRPr="006D1FB5">
        <w:rPr>
          <w:rStyle w:val="SubtleEmphasis"/>
          <w:rFonts w:eastAsia="Times New Roman" w:cs="Times New Roman"/>
          <w:i w:val="0"/>
          <w:iCs w:val="0"/>
          <w:color w:val="000000" w:themeColor="text1"/>
        </w:rPr>
        <w:t xml:space="preserve">For details about the overall </w:t>
      </w:r>
      <w:r>
        <w:rPr>
          <w:rStyle w:val="SubtleEmphasis"/>
          <w:rFonts w:eastAsia="Times New Roman" w:cs="Times New Roman"/>
          <w:i w:val="0"/>
          <w:iCs w:val="0"/>
          <w:color w:val="000000" w:themeColor="text1"/>
        </w:rPr>
        <w:t xml:space="preserve">comparative </w:t>
      </w:r>
      <w:r w:rsidRPr="006D1FB5">
        <w:rPr>
          <w:rStyle w:val="SubtleEmphasis"/>
          <w:rFonts w:eastAsia="Times New Roman" w:cs="Times New Roman"/>
          <w:i w:val="0"/>
          <w:iCs w:val="0"/>
          <w:color w:val="000000" w:themeColor="text1"/>
        </w:rPr>
        <w:t>perform</w:t>
      </w:r>
      <w:r>
        <w:rPr>
          <w:rStyle w:val="SubtleEmphasis"/>
          <w:rFonts w:eastAsia="Times New Roman" w:cs="Times New Roman"/>
          <w:i w:val="0"/>
          <w:iCs w:val="0"/>
          <w:color w:val="000000" w:themeColor="text1"/>
        </w:rPr>
        <w:t>an</w:t>
      </w:r>
      <w:r w:rsidRPr="006D1FB5">
        <w:rPr>
          <w:rStyle w:val="SubtleEmphasis"/>
          <w:rFonts w:eastAsia="Times New Roman" w:cs="Times New Roman"/>
          <w:i w:val="0"/>
          <w:iCs w:val="0"/>
          <w:color w:val="000000" w:themeColor="text1"/>
        </w:rPr>
        <w:t>ce</w:t>
      </w:r>
      <w:r>
        <w:rPr>
          <w:rStyle w:val="SubtleEmphasis"/>
          <w:rFonts w:eastAsia="Times New Roman" w:cs="Times New Roman"/>
          <w:i w:val="0"/>
          <w:iCs w:val="0"/>
          <w:color w:val="000000" w:themeColor="text1"/>
        </w:rPr>
        <w:t xml:space="preserve"> of the four DMR finding methods</w:t>
      </w:r>
      <w:r w:rsidRPr="006D1FB5">
        <w:rPr>
          <w:rStyle w:val="SubtleEmphasis"/>
          <w:rFonts w:eastAsia="Times New Roman" w:cs="Times New Roman"/>
          <w:i w:val="0"/>
          <w:iCs w:val="0"/>
          <w:color w:val="000000" w:themeColor="text1"/>
        </w:rPr>
        <w:t xml:space="preserve">, </w:t>
      </w:r>
      <w:r>
        <w:rPr>
          <w:rStyle w:val="SubtleEmphasis"/>
          <w:rFonts w:eastAsia="Times New Roman" w:cs="Times New Roman"/>
          <w:i w:val="0"/>
          <w:iCs w:val="0"/>
          <w:color w:val="000000" w:themeColor="text1"/>
        </w:rPr>
        <w:t>see Table 3.</w:t>
      </w:r>
    </w:p>
    <w:p w:rsidR="009D74E6" w:rsidRDefault="009D74E6" w:rsidP="00BB3C9E">
      <w:pPr>
        <w:pStyle w:val="NoSpacing"/>
      </w:pPr>
    </w:p>
    <w:p w:rsidR="009F4CD3" w:rsidRDefault="00E97863" w:rsidP="00BB3C9E">
      <w:pPr>
        <w:pStyle w:val="NoSpacing"/>
      </w:pPr>
      <w:r>
        <w:t>Precision</w:t>
      </w:r>
    </w:p>
    <w:p w:rsidR="00BF4549" w:rsidRPr="00011334" w:rsidRDefault="00BF4549" w:rsidP="00BF4549">
      <w:pPr>
        <w:pStyle w:val="NoSpacing"/>
        <w:rPr>
          <w:rStyle w:val="SubtleEmphasis"/>
        </w:rPr>
      </w:pPr>
      <w:r w:rsidRPr="00011334">
        <w:rPr>
          <w:rStyle w:val="SubtleEmphasis"/>
        </w:rPr>
        <w:t>For Smaller µ value</w:t>
      </w:r>
      <w:r>
        <w:rPr>
          <w:rStyle w:val="SubtleEmphasis"/>
        </w:rPr>
        <w:t xml:space="preserve"> (0-0.05)</w:t>
      </w:r>
    </w:p>
    <w:p w:rsidR="000A65AB" w:rsidRDefault="00202D64" w:rsidP="00202D64">
      <w:pPr>
        <w:spacing w:line="240" w:lineRule="auto"/>
        <w:rPr>
          <w:rStyle w:val="SubtleEmphasis"/>
          <w:i w:val="0"/>
        </w:rPr>
      </w:pPr>
      <w:r>
        <w:rPr>
          <w:rStyle w:val="SubtleEmphasis"/>
          <w:rFonts w:eastAsia="Times New Roman" w:cs="Times New Roman"/>
          <w:i w:val="0"/>
          <w:iCs w:val="0"/>
          <w:color w:val="000000"/>
        </w:rPr>
        <w:t xml:space="preserve">On the other hand, Comb-p and </w:t>
      </w:r>
      <w:proofErr w:type="spellStart"/>
      <w:r>
        <w:rPr>
          <w:rStyle w:val="SubtleEmphasis"/>
          <w:rFonts w:eastAsia="Times New Roman" w:cs="Times New Roman"/>
          <w:i w:val="0"/>
          <w:iCs w:val="0"/>
          <w:color w:val="000000"/>
        </w:rPr>
        <w:t>DMRcate</w:t>
      </w:r>
      <w:proofErr w:type="spellEnd"/>
      <w:r>
        <w:rPr>
          <w:rStyle w:val="SubtleEmphasis"/>
          <w:rFonts w:eastAsia="Times New Roman" w:cs="Times New Roman"/>
          <w:i w:val="0"/>
          <w:iCs w:val="0"/>
          <w:color w:val="000000"/>
        </w:rPr>
        <w:t xml:space="preserve"> were the best performers in terms of the identified precision (viz., </w:t>
      </w:r>
      <w:r w:rsidRPr="00795972">
        <w:t>0.9963(</w:t>
      </w:r>
      <w:r>
        <w:rPr>
          <w:rFonts w:ascii="Calibri" w:eastAsia="Times New Roman" w:hAnsi="Calibri" w:cs="Times New Roman"/>
          <w:color w:val="000000"/>
        </w:rPr>
        <w:t>±</w:t>
      </w:r>
      <w:r w:rsidRPr="00795972">
        <w:t>0.01)</w:t>
      </w:r>
      <w:r>
        <w:t xml:space="preserve"> and </w:t>
      </w:r>
      <w:r w:rsidRPr="00C01C67">
        <w:rPr>
          <w:rFonts w:ascii="Calibri" w:eastAsia="Times New Roman" w:hAnsi="Calibri" w:cs="Times New Roman"/>
          <w:color w:val="000000"/>
        </w:rPr>
        <w:t>1(</w:t>
      </w:r>
      <w:r>
        <w:rPr>
          <w:rFonts w:ascii="Calibri" w:eastAsia="Times New Roman" w:hAnsi="Calibri" w:cs="Times New Roman"/>
          <w:color w:val="000000"/>
        </w:rPr>
        <w:t>±</w:t>
      </w:r>
      <w:r w:rsidRPr="00C01C67">
        <w:rPr>
          <w:rFonts w:ascii="Calibri" w:eastAsia="Times New Roman" w:hAnsi="Calibri" w:cs="Times New Roman"/>
          <w:color w:val="000000"/>
        </w:rPr>
        <w:t>0)</w:t>
      </w:r>
      <w:r>
        <w:t xml:space="preserve"> respectively for mu=0.025, </w:t>
      </w:r>
      <w:r>
        <w:rPr>
          <w:rFonts w:ascii="Calibri" w:eastAsia="Times New Roman" w:hAnsi="Calibri" w:cs="Times New Roman"/>
          <w:color w:val="000000"/>
        </w:rPr>
        <w:t xml:space="preserve">and </w:t>
      </w:r>
      <w:r w:rsidRPr="00795972">
        <w:t>0.9963(</w:t>
      </w:r>
      <w:r>
        <w:rPr>
          <w:rFonts w:ascii="Calibri" w:eastAsia="Times New Roman" w:hAnsi="Calibri" w:cs="Times New Roman"/>
          <w:color w:val="000000"/>
        </w:rPr>
        <w:t>±</w:t>
      </w:r>
      <w:r w:rsidRPr="00795972">
        <w:t>0)</w:t>
      </w:r>
      <w:r>
        <w:t xml:space="preserve"> and </w:t>
      </w:r>
      <w:r w:rsidRPr="00C01C67">
        <w:rPr>
          <w:rFonts w:ascii="Calibri" w:eastAsia="Times New Roman" w:hAnsi="Calibri" w:cs="Times New Roman"/>
          <w:color w:val="000000"/>
        </w:rPr>
        <w:t>0.9831(</w:t>
      </w:r>
      <w:r>
        <w:rPr>
          <w:rFonts w:ascii="Calibri" w:eastAsia="Times New Roman" w:hAnsi="Calibri" w:cs="Times New Roman"/>
          <w:color w:val="000000"/>
        </w:rPr>
        <w:t>±</w:t>
      </w:r>
      <w:r w:rsidRPr="00C01C67">
        <w:rPr>
          <w:rFonts w:ascii="Calibri" w:eastAsia="Times New Roman" w:hAnsi="Calibri" w:cs="Times New Roman"/>
          <w:color w:val="000000"/>
        </w:rPr>
        <w:t>0.01)</w:t>
      </w:r>
      <w:r>
        <w:t>, respectively for mu=0.05</w:t>
      </w:r>
      <w:r>
        <w:rPr>
          <w:rStyle w:val="SubtleEmphasis"/>
          <w:rFonts w:eastAsia="Times New Roman" w:cs="Times New Roman"/>
          <w:i w:val="0"/>
          <w:iCs w:val="0"/>
          <w:color w:val="000000"/>
        </w:rPr>
        <w:t xml:space="preserve">). Of note, the performance of Comb-p was consistent for smaller </w:t>
      </w:r>
      <w:r w:rsidRPr="00011334">
        <w:rPr>
          <w:rStyle w:val="SubtleEmphasis"/>
        </w:rPr>
        <w:t>µ</w:t>
      </w:r>
      <w:r>
        <w:rPr>
          <w:rStyle w:val="SubtleEmphasis"/>
        </w:rPr>
        <w:t xml:space="preserve">, </w:t>
      </w:r>
      <w:proofErr w:type="spellStart"/>
      <w:r w:rsidRPr="00AD13F0">
        <w:rPr>
          <w:rStyle w:val="SubtleEmphasis"/>
          <w:i w:val="0"/>
        </w:rPr>
        <w:t>wheres</w:t>
      </w:r>
      <w:proofErr w:type="spellEnd"/>
      <w:r w:rsidRPr="00AD13F0">
        <w:rPr>
          <w:rStyle w:val="SubtleEmphasis"/>
          <w:i w:val="0"/>
        </w:rPr>
        <w:t xml:space="preserve"> </w:t>
      </w:r>
      <w:proofErr w:type="spellStart"/>
      <w:r w:rsidRPr="00AD13F0">
        <w:rPr>
          <w:rStyle w:val="SubtleEmphasis"/>
          <w:i w:val="0"/>
        </w:rPr>
        <w:t>Bumphunter</w:t>
      </w:r>
      <w:proofErr w:type="spellEnd"/>
      <w:r w:rsidRPr="00AD13F0">
        <w:rPr>
          <w:rStyle w:val="SubtleEmphasis"/>
          <w:i w:val="0"/>
        </w:rPr>
        <w:t xml:space="preserve"> produced lowe</w:t>
      </w:r>
      <w:r>
        <w:rPr>
          <w:rStyle w:val="SubtleEmphasis"/>
          <w:i w:val="0"/>
        </w:rPr>
        <w:t>st</w:t>
      </w:r>
      <w:r w:rsidRPr="00AD13F0">
        <w:rPr>
          <w:rStyle w:val="SubtleEmphasis"/>
          <w:i w:val="0"/>
        </w:rPr>
        <w:t xml:space="preserve"> precision</w:t>
      </w:r>
      <w:r>
        <w:rPr>
          <w:rStyle w:val="SubtleEmphasis"/>
          <w:i w:val="0"/>
        </w:rPr>
        <w:t xml:space="preserve"> in this case (</w:t>
      </w:r>
      <w:r w:rsidRPr="00795972">
        <w:rPr>
          <w:rFonts w:ascii="Calibri" w:eastAsia="Times New Roman" w:hAnsi="Calibri" w:cs="Times New Roman"/>
          <w:color w:val="000000"/>
        </w:rPr>
        <w:t>0.7058(</w:t>
      </w:r>
      <w:r>
        <w:rPr>
          <w:rFonts w:ascii="Calibri" w:eastAsia="Times New Roman" w:hAnsi="Calibri" w:cs="Times New Roman"/>
          <w:color w:val="000000"/>
        </w:rPr>
        <w:t>±</w:t>
      </w:r>
      <w:r w:rsidRPr="00795972">
        <w:rPr>
          <w:rFonts w:ascii="Calibri" w:eastAsia="Times New Roman" w:hAnsi="Calibri" w:cs="Times New Roman"/>
          <w:color w:val="000000"/>
        </w:rPr>
        <w:t>0.02)</w:t>
      </w:r>
      <w:r>
        <w:rPr>
          <w:rFonts w:eastAsia="Times New Roman" w:cs="Times New Roman"/>
          <w:color w:val="000000"/>
        </w:rPr>
        <w:t xml:space="preserve"> </w:t>
      </w:r>
      <w:r>
        <w:rPr>
          <w:rFonts w:ascii="Calibri" w:eastAsia="Times New Roman" w:hAnsi="Calibri" w:cs="Times New Roman"/>
          <w:color w:val="000000"/>
        </w:rPr>
        <w:t xml:space="preserve">for </w:t>
      </w:r>
      <w:proofErr w:type="spellStart"/>
      <w:r>
        <w:rPr>
          <w:rFonts w:ascii="Calibri" w:eastAsia="Times New Roman" w:hAnsi="Calibri" w:cs="Times New Roman"/>
          <w:color w:val="000000"/>
        </w:rPr>
        <w:t>miu</w:t>
      </w:r>
      <w:proofErr w:type="spellEnd"/>
      <w:r>
        <w:rPr>
          <w:rFonts w:ascii="Calibri" w:eastAsia="Times New Roman" w:hAnsi="Calibri" w:cs="Times New Roman"/>
          <w:color w:val="000000"/>
        </w:rPr>
        <w:t xml:space="preserve">=0.025, and </w:t>
      </w:r>
      <w:r w:rsidRPr="00795972">
        <w:rPr>
          <w:rFonts w:ascii="Calibri" w:eastAsia="Times New Roman" w:hAnsi="Calibri" w:cs="Times New Roman"/>
          <w:color w:val="000000"/>
        </w:rPr>
        <w:t>0.8722(</w:t>
      </w:r>
      <w:r>
        <w:rPr>
          <w:rFonts w:ascii="Calibri" w:eastAsia="Times New Roman" w:hAnsi="Calibri" w:cs="Times New Roman"/>
          <w:color w:val="000000"/>
        </w:rPr>
        <w:t>±</w:t>
      </w:r>
      <w:r w:rsidRPr="00795972">
        <w:rPr>
          <w:rFonts w:ascii="Calibri" w:eastAsia="Times New Roman" w:hAnsi="Calibri" w:cs="Times New Roman"/>
          <w:color w:val="000000"/>
        </w:rPr>
        <w:t>0.01)</w:t>
      </w:r>
      <w:r>
        <w:rPr>
          <w:rFonts w:eastAsia="Times New Roman" w:cs="Times New Roman"/>
          <w:color w:val="000000"/>
        </w:rPr>
        <w:t xml:space="preserve"> </w:t>
      </w:r>
      <w:r>
        <w:rPr>
          <w:rFonts w:ascii="Calibri" w:eastAsia="Times New Roman" w:hAnsi="Calibri" w:cs="Times New Roman"/>
          <w:color w:val="000000"/>
        </w:rPr>
        <w:t>for mu=0.05</w:t>
      </w:r>
      <w:r>
        <w:rPr>
          <w:rStyle w:val="SubtleEmphasis"/>
          <w:i w:val="0"/>
        </w:rPr>
        <w:t xml:space="preserve">) since it generated a lot of FPs rather than these of the other methods. </w:t>
      </w:r>
    </w:p>
    <w:p w:rsidR="00B73566" w:rsidRPr="000A65AB" w:rsidRDefault="00B73566" w:rsidP="00202D64">
      <w:pPr>
        <w:spacing w:line="240" w:lineRule="auto"/>
        <w:rPr>
          <w:rStyle w:val="SubtleEmphasis"/>
          <w:i w:val="0"/>
        </w:rPr>
      </w:pPr>
      <w:r>
        <w:rPr>
          <w:rStyle w:val="SubtleEmphasis"/>
          <w:i w:val="0"/>
        </w:rPr>
        <w:t xml:space="preserve">However, </w:t>
      </w:r>
      <w:r w:rsidR="00842042">
        <w:rPr>
          <w:rStyle w:val="SubtleEmphasis"/>
          <w:i w:val="0"/>
        </w:rPr>
        <w:t>overall, only two methods (</w:t>
      </w:r>
      <w:r w:rsidR="00842042">
        <w:rPr>
          <w:rStyle w:val="SubtleEmphasis"/>
          <w:rFonts w:eastAsia="Times New Roman" w:cs="Times New Roman"/>
          <w:i w:val="0"/>
          <w:iCs w:val="0"/>
          <w:color w:val="000000"/>
        </w:rPr>
        <w:t xml:space="preserve">Comb-p and </w:t>
      </w:r>
      <w:proofErr w:type="spellStart"/>
      <w:r w:rsidR="00842042">
        <w:rPr>
          <w:rStyle w:val="SubtleEmphasis"/>
          <w:rFonts w:eastAsia="Times New Roman" w:cs="Times New Roman"/>
          <w:i w:val="0"/>
          <w:iCs w:val="0"/>
          <w:color w:val="000000"/>
        </w:rPr>
        <w:t>DMRcate</w:t>
      </w:r>
      <w:proofErr w:type="spellEnd"/>
      <w:r w:rsidR="00842042">
        <w:rPr>
          <w:rStyle w:val="SubtleEmphasis"/>
          <w:i w:val="0"/>
        </w:rPr>
        <w:t xml:space="preserve">) work well for </w:t>
      </w:r>
      <w:r w:rsidR="00842042" w:rsidRPr="00011334">
        <w:rPr>
          <w:rStyle w:val="SubtleEmphasis"/>
        </w:rPr>
        <w:t>µ</w:t>
      </w:r>
      <w:r w:rsidR="00842042">
        <w:rPr>
          <w:rStyle w:val="SubtleEmphasis"/>
        </w:rPr>
        <w:t>&lt;0.05</w:t>
      </w:r>
      <w:r w:rsidR="00842042">
        <w:rPr>
          <w:rStyle w:val="SubtleEmphasis"/>
          <w:i w:val="0"/>
        </w:rPr>
        <w:t>.</w:t>
      </w:r>
    </w:p>
    <w:p w:rsidR="00C67A9B" w:rsidRPr="00011334" w:rsidRDefault="00C67A9B" w:rsidP="00C67A9B">
      <w:pPr>
        <w:pStyle w:val="NoSpacing"/>
        <w:rPr>
          <w:rStyle w:val="SubtleEmphasis"/>
        </w:rPr>
      </w:pPr>
      <w:r w:rsidRPr="00011334">
        <w:rPr>
          <w:rStyle w:val="SubtleEmphasis"/>
        </w:rPr>
        <w:t xml:space="preserve">For </w:t>
      </w:r>
      <w:r>
        <w:rPr>
          <w:rStyle w:val="SubtleEmphasis"/>
        </w:rPr>
        <w:t>Medium</w:t>
      </w:r>
      <w:r w:rsidRPr="00011334">
        <w:rPr>
          <w:rStyle w:val="SubtleEmphasis"/>
        </w:rPr>
        <w:t xml:space="preserve"> µ value</w:t>
      </w:r>
      <w:r>
        <w:rPr>
          <w:rStyle w:val="SubtleEmphasis"/>
        </w:rPr>
        <w:t xml:space="preserve"> (0.1-0.15)</w:t>
      </w:r>
    </w:p>
    <w:p w:rsidR="00E11291" w:rsidRDefault="00E11291" w:rsidP="00E11291">
      <w:pPr>
        <w:pStyle w:val="NoSpacing"/>
        <w:rPr>
          <w:rStyle w:val="SubtleEmphasis"/>
          <w:i w:val="0"/>
        </w:rPr>
      </w:pPr>
      <w:r>
        <w:rPr>
          <w:rStyle w:val="SubtleEmphasis"/>
          <w:rFonts w:eastAsia="Times New Roman" w:cs="Times New Roman"/>
          <w:i w:val="0"/>
          <w:iCs w:val="0"/>
          <w:color w:val="000000"/>
        </w:rPr>
        <w:t xml:space="preserve">On the other hand, Comb-p was the best performer in terms of the identified precision (viz., </w:t>
      </w:r>
      <w:r>
        <w:t>0.9917(</w:t>
      </w:r>
      <w:r>
        <w:rPr>
          <w:rFonts w:ascii="Calibri" w:eastAsia="Times New Roman" w:hAnsi="Calibri" w:cs="Times New Roman"/>
          <w:color w:val="000000"/>
        </w:rPr>
        <w:t>±</w:t>
      </w:r>
      <w:r>
        <w:t>0</w:t>
      </w:r>
      <w:r w:rsidRPr="00795972">
        <w:t>)</w:t>
      </w:r>
      <w:r>
        <w:t xml:space="preserve"> for mu=0.1, </w:t>
      </w:r>
      <w:r>
        <w:rPr>
          <w:rFonts w:ascii="Calibri" w:eastAsia="Times New Roman" w:hAnsi="Calibri" w:cs="Times New Roman"/>
          <w:color w:val="000000"/>
        </w:rPr>
        <w:t xml:space="preserve">and </w:t>
      </w:r>
      <w:r w:rsidRPr="00795972">
        <w:t>0.99</w:t>
      </w:r>
      <w:r>
        <w:t>24</w:t>
      </w:r>
      <w:r w:rsidRPr="00795972">
        <w:t>(</w:t>
      </w:r>
      <w:r>
        <w:rPr>
          <w:rFonts w:ascii="Calibri" w:eastAsia="Times New Roman" w:hAnsi="Calibri" w:cs="Times New Roman"/>
          <w:color w:val="000000"/>
        </w:rPr>
        <w:t>±</w:t>
      </w:r>
      <w:r w:rsidRPr="00795972">
        <w:t>0)</w:t>
      </w:r>
      <w:r>
        <w:t xml:space="preserve"> for mu=0.15</w:t>
      </w:r>
      <w:r>
        <w:rPr>
          <w:rStyle w:val="SubtleEmphasis"/>
          <w:rFonts w:eastAsia="Times New Roman" w:cs="Times New Roman"/>
          <w:i w:val="0"/>
          <w:iCs w:val="0"/>
          <w:color w:val="000000"/>
        </w:rPr>
        <w:t xml:space="preserve">). Specially, Comb-p performed consistently for the medium </w:t>
      </w:r>
      <w:r w:rsidRPr="00011334">
        <w:rPr>
          <w:rStyle w:val="SubtleEmphasis"/>
        </w:rPr>
        <w:t>µ</w:t>
      </w:r>
      <w:r>
        <w:rPr>
          <w:rStyle w:val="SubtleEmphasis"/>
        </w:rPr>
        <w:t xml:space="preserve">. </w:t>
      </w:r>
      <w:proofErr w:type="spellStart"/>
      <w:r w:rsidRPr="00BF4A02">
        <w:rPr>
          <w:rStyle w:val="SubtleEmphasis"/>
          <w:i w:val="0"/>
        </w:rPr>
        <w:t>DMRcate</w:t>
      </w:r>
      <w:proofErr w:type="spellEnd"/>
      <w:r w:rsidRPr="00BF4A02">
        <w:rPr>
          <w:rStyle w:val="SubtleEmphasis"/>
          <w:i w:val="0"/>
        </w:rPr>
        <w:t xml:space="preserve"> and</w:t>
      </w:r>
      <w:r>
        <w:rPr>
          <w:rStyle w:val="SubtleEmphasis"/>
        </w:rPr>
        <w:t xml:space="preserve"> </w:t>
      </w:r>
      <w:proofErr w:type="spellStart"/>
      <w:r>
        <w:rPr>
          <w:rStyle w:val="SubtleEmphasis"/>
          <w:i w:val="0"/>
        </w:rPr>
        <w:t>Bumphunter</w:t>
      </w:r>
      <w:proofErr w:type="spellEnd"/>
      <w:r>
        <w:rPr>
          <w:rStyle w:val="SubtleEmphasis"/>
          <w:i w:val="0"/>
        </w:rPr>
        <w:t xml:space="preserve"> yielded</w:t>
      </w:r>
      <w:r w:rsidRPr="00AD13F0">
        <w:rPr>
          <w:rStyle w:val="SubtleEmphasis"/>
          <w:i w:val="0"/>
        </w:rPr>
        <w:t xml:space="preserve"> lowe</w:t>
      </w:r>
      <w:r>
        <w:rPr>
          <w:rStyle w:val="SubtleEmphasis"/>
          <w:i w:val="0"/>
        </w:rPr>
        <w:t>st</w:t>
      </w:r>
      <w:r w:rsidRPr="00AD13F0">
        <w:rPr>
          <w:rStyle w:val="SubtleEmphasis"/>
          <w:i w:val="0"/>
        </w:rPr>
        <w:t xml:space="preserve"> precision</w:t>
      </w:r>
      <w:r>
        <w:rPr>
          <w:rStyle w:val="SubtleEmphasis"/>
          <w:i w:val="0"/>
        </w:rPr>
        <w:t xml:space="preserve"> (as well as inconsistent) in this case.</w:t>
      </w:r>
    </w:p>
    <w:p w:rsidR="00CB3043" w:rsidRDefault="00842042" w:rsidP="00023978">
      <w:pPr>
        <w:pStyle w:val="NoSpacing"/>
        <w:rPr>
          <w:rStyle w:val="SubtleEmphasis"/>
          <w:i w:val="0"/>
        </w:rPr>
      </w:pPr>
      <w:r>
        <w:rPr>
          <w:rStyle w:val="SubtleEmphasis"/>
          <w:i w:val="0"/>
        </w:rPr>
        <w:t xml:space="preserve">Overall, </w:t>
      </w:r>
      <w:r w:rsidR="00023978">
        <w:rPr>
          <w:rStyle w:val="SubtleEmphasis"/>
          <w:i w:val="0"/>
        </w:rPr>
        <w:t xml:space="preserve">all the methods more or less perform </w:t>
      </w:r>
      <w:r w:rsidR="00B80183">
        <w:rPr>
          <w:rStyle w:val="SubtleEmphasis"/>
          <w:i w:val="0"/>
        </w:rPr>
        <w:t>well</w:t>
      </w:r>
      <w:r w:rsidR="00023978">
        <w:rPr>
          <w:rStyle w:val="SubtleEmphasis"/>
          <w:i w:val="0"/>
        </w:rPr>
        <w:t xml:space="preserve"> for the medium </w:t>
      </w:r>
      <w:r w:rsidR="00023978" w:rsidRPr="00011334">
        <w:rPr>
          <w:rStyle w:val="SubtleEmphasis"/>
        </w:rPr>
        <w:t>µ value</w:t>
      </w:r>
      <w:r w:rsidR="00023978">
        <w:rPr>
          <w:rStyle w:val="SubtleEmphasis"/>
        </w:rPr>
        <w:t>.</w:t>
      </w:r>
    </w:p>
    <w:p w:rsidR="00842042" w:rsidRDefault="00842042" w:rsidP="00E11291">
      <w:pPr>
        <w:pStyle w:val="NoSpacing"/>
        <w:rPr>
          <w:rStyle w:val="SubtleEmphasis"/>
          <w:i w:val="0"/>
        </w:rPr>
      </w:pPr>
    </w:p>
    <w:p w:rsidR="00CB3043" w:rsidRPr="00011334" w:rsidRDefault="00CB3043" w:rsidP="00CB3043">
      <w:pPr>
        <w:pStyle w:val="NoSpacing"/>
        <w:rPr>
          <w:rStyle w:val="SubtleEmphasis"/>
        </w:rPr>
      </w:pPr>
      <w:r w:rsidRPr="00011334">
        <w:rPr>
          <w:rStyle w:val="SubtleEmphasis"/>
        </w:rPr>
        <w:t xml:space="preserve">For </w:t>
      </w:r>
      <w:r>
        <w:rPr>
          <w:rStyle w:val="SubtleEmphasis"/>
        </w:rPr>
        <w:t>Higher</w:t>
      </w:r>
      <w:r w:rsidRPr="00011334">
        <w:rPr>
          <w:rStyle w:val="SubtleEmphasis"/>
        </w:rPr>
        <w:t xml:space="preserve"> µ value</w:t>
      </w:r>
      <w:r>
        <w:rPr>
          <w:rStyle w:val="SubtleEmphasis"/>
        </w:rPr>
        <w:t xml:space="preserve"> (0.2-0.4)</w:t>
      </w:r>
    </w:p>
    <w:p w:rsidR="001F0397" w:rsidRDefault="001F0397" w:rsidP="001F0397">
      <w:pPr>
        <w:pStyle w:val="NoSpacing"/>
        <w:rPr>
          <w:rStyle w:val="SubtleEmphasis"/>
          <w:i w:val="0"/>
        </w:rPr>
      </w:pPr>
      <w:r>
        <w:rPr>
          <w:rStyle w:val="SubtleEmphasis"/>
          <w:rFonts w:eastAsia="Times New Roman" w:cs="Times New Roman"/>
          <w:i w:val="0"/>
          <w:iCs w:val="0"/>
          <w:color w:val="000000"/>
        </w:rPr>
        <w:t xml:space="preserve">On the other hand, Comb-p was the best performer in terms of the precision (viz., </w:t>
      </w:r>
      <w:r w:rsidRPr="00BE2F74">
        <w:t xml:space="preserve">0.8199(±0.02) for </w:t>
      </w:r>
      <w:proofErr w:type="spellStart"/>
      <w:r w:rsidRPr="00BE2F74">
        <w:t>miu</w:t>
      </w:r>
      <w:proofErr w:type="spellEnd"/>
      <w:r w:rsidRPr="00BE2F74">
        <w:t xml:space="preserve">=0.2, 0.8687(±0.03) for </w:t>
      </w:r>
      <w:proofErr w:type="spellStart"/>
      <w:r w:rsidRPr="00BE2F74">
        <w:t>miu</w:t>
      </w:r>
      <w:proofErr w:type="spellEnd"/>
      <w:r w:rsidRPr="00BE2F74">
        <w:t>=0.3, and 0.9099(±0.03) for mu=0.4</w:t>
      </w:r>
      <w:r>
        <w:rPr>
          <w:rStyle w:val="SubtleEmphasis"/>
          <w:rFonts w:eastAsia="Times New Roman" w:cs="Times New Roman"/>
          <w:i w:val="0"/>
          <w:iCs w:val="0"/>
          <w:color w:val="000000"/>
        </w:rPr>
        <w:t xml:space="preserve">). Specially, Comb-p and probe-lasso performed consistently for the higher </w:t>
      </w:r>
      <w:r w:rsidRPr="00011334">
        <w:rPr>
          <w:rStyle w:val="SubtleEmphasis"/>
        </w:rPr>
        <w:t>µ</w:t>
      </w:r>
      <w:r>
        <w:rPr>
          <w:rStyle w:val="SubtleEmphasis"/>
        </w:rPr>
        <w:t xml:space="preserve">. </w:t>
      </w:r>
      <w:proofErr w:type="spellStart"/>
      <w:r w:rsidRPr="00BF4A02">
        <w:rPr>
          <w:rStyle w:val="SubtleEmphasis"/>
          <w:i w:val="0"/>
        </w:rPr>
        <w:t>DMRcate</w:t>
      </w:r>
      <w:proofErr w:type="spellEnd"/>
      <w:r w:rsidRPr="00BF4A02">
        <w:rPr>
          <w:rStyle w:val="SubtleEmphasis"/>
          <w:i w:val="0"/>
        </w:rPr>
        <w:t xml:space="preserve"> </w:t>
      </w:r>
      <w:r>
        <w:rPr>
          <w:rStyle w:val="SubtleEmphasis"/>
          <w:i w:val="0"/>
        </w:rPr>
        <w:t xml:space="preserve">generated </w:t>
      </w:r>
      <w:r w:rsidRPr="00AD13F0">
        <w:rPr>
          <w:rStyle w:val="SubtleEmphasis"/>
          <w:i w:val="0"/>
        </w:rPr>
        <w:t>lowe</w:t>
      </w:r>
      <w:r>
        <w:rPr>
          <w:rStyle w:val="SubtleEmphasis"/>
          <w:i w:val="0"/>
        </w:rPr>
        <w:t>st</w:t>
      </w:r>
      <w:r w:rsidRPr="00AD13F0">
        <w:rPr>
          <w:rStyle w:val="SubtleEmphasis"/>
          <w:i w:val="0"/>
        </w:rPr>
        <w:t xml:space="preserve"> precision</w:t>
      </w:r>
      <w:r>
        <w:rPr>
          <w:rStyle w:val="SubtleEmphasis"/>
          <w:i w:val="0"/>
        </w:rPr>
        <w:t xml:space="preserve"> in this case.</w:t>
      </w:r>
    </w:p>
    <w:p w:rsidR="00326B7B" w:rsidRDefault="00D7148F" w:rsidP="00326B7B">
      <w:pPr>
        <w:pStyle w:val="NoSpacing"/>
        <w:rPr>
          <w:rStyle w:val="SubtleEmphasis"/>
          <w:i w:val="0"/>
        </w:rPr>
      </w:pPr>
      <w:r>
        <w:t xml:space="preserve">Overall, </w:t>
      </w:r>
      <w:r w:rsidR="00326B7B">
        <w:rPr>
          <w:rStyle w:val="SubtleEmphasis"/>
          <w:i w:val="0"/>
        </w:rPr>
        <w:t xml:space="preserve">all the methods work well for the higher </w:t>
      </w:r>
      <w:r w:rsidR="00326B7B" w:rsidRPr="00011334">
        <w:rPr>
          <w:rStyle w:val="SubtleEmphasis"/>
        </w:rPr>
        <w:t>µ value</w:t>
      </w:r>
      <w:r w:rsidR="00326B7B">
        <w:rPr>
          <w:rStyle w:val="SubtleEmphasis"/>
        </w:rPr>
        <w:t>.</w:t>
      </w:r>
    </w:p>
    <w:p w:rsidR="00D7148F" w:rsidRDefault="00D7148F" w:rsidP="00BB3C9E">
      <w:pPr>
        <w:pStyle w:val="NoSpacing"/>
      </w:pPr>
    </w:p>
    <w:p w:rsidR="00E97863" w:rsidRDefault="00FB6C61" w:rsidP="00BB3C9E">
      <w:pPr>
        <w:pStyle w:val="NoSpacing"/>
      </w:pPr>
      <w:r>
        <w:t>Time</w:t>
      </w:r>
    </w:p>
    <w:p w:rsidR="004D42B8" w:rsidRDefault="004D42B8" w:rsidP="004D42B8">
      <w:pPr>
        <w:spacing w:line="240" w:lineRule="auto"/>
        <w:rPr>
          <w:rStyle w:val="SubtleEmphasis"/>
          <w:rFonts w:eastAsia="Times New Roman" w:cs="Times New Roman"/>
          <w:b/>
          <w:i w:val="0"/>
          <w:iCs w:val="0"/>
          <w:color w:val="FF0000"/>
        </w:rPr>
      </w:pPr>
      <w:r>
        <w:rPr>
          <w:rStyle w:val="SubtleEmphasis"/>
          <w:rFonts w:eastAsia="Times New Roman" w:cs="Times New Roman"/>
          <w:i w:val="0"/>
          <w:iCs w:val="0"/>
          <w:color w:val="000000"/>
        </w:rPr>
        <w:t>In addition, ……</w:t>
      </w:r>
      <w:proofErr w:type="gramStart"/>
      <w:r>
        <w:rPr>
          <w:rStyle w:val="SubtleEmphasis"/>
          <w:rFonts w:eastAsia="Times New Roman" w:cs="Times New Roman"/>
          <w:i w:val="0"/>
          <w:iCs w:val="0"/>
          <w:color w:val="000000"/>
        </w:rPr>
        <w:t xml:space="preserve">. </w:t>
      </w:r>
      <w:r w:rsidRPr="00CC2F57">
        <w:rPr>
          <w:rStyle w:val="SubtleEmphasis"/>
          <w:rFonts w:eastAsia="Times New Roman" w:cs="Times New Roman"/>
          <w:b/>
          <w:i w:val="0"/>
          <w:iCs w:val="0"/>
          <w:color w:val="FF0000"/>
        </w:rPr>
        <w:t xml:space="preserve"> #</w:t>
      </w:r>
      <w:proofErr w:type="gramEnd"/>
      <w:r w:rsidRPr="00CC2F57">
        <w:rPr>
          <w:rStyle w:val="SubtleEmphasis"/>
          <w:rFonts w:eastAsia="Times New Roman" w:cs="Times New Roman"/>
          <w:b/>
          <w:i w:val="0"/>
          <w:iCs w:val="0"/>
          <w:color w:val="FF0000"/>
        </w:rPr>
        <w:t xml:space="preserve">##time (need </w:t>
      </w:r>
      <w:proofErr w:type="spellStart"/>
      <w:r w:rsidRPr="00CC2F57">
        <w:rPr>
          <w:rStyle w:val="SubtleEmphasis"/>
          <w:rFonts w:eastAsia="Times New Roman" w:cs="Times New Roman"/>
          <w:b/>
          <w:i w:val="0"/>
          <w:iCs w:val="0"/>
          <w:color w:val="FF0000"/>
        </w:rPr>
        <w:t>zen’s</w:t>
      </w:r>
      <w:proofErr w:type="spellEnd"/>
      <w:r w:rsidRPr="00CC2F57">
        <w:rPr>
          <w:rStyle w:val="SubtleEmphasis"/>
          <w:rFonts w:eastAsia="Times New Roman" w:cs="Times New Roman"/>
          <w:b/>
          <w:i w:val="0"/>
          <w:iCs w:val="0"/>
          <w:color w:val="FF0000"/>
        </w:rPr>
        <w:t xml:space="preserve"> time calculation</w:t>
      </w:r>
      <w:r>
        <w:rPr>
          <w:rStyle w:val="SubtleEmphasis"/>
          <w:rFonts w:eastAsia="Times New Roman" w:cs="Times New Roman"/>
          <w:b/>
          <w:i w:val="0"/>
          <w:iCs w:val="0"/>
          <w:color w:val="FF0000"/>
        </w:rPr>
        <w:t xml:space="preserve"> on comb-p</w:t>
      </w:r>
      <w:r w:rsidRPr="00CC2F57">
        <w:rPr>
          <w:rStyle w:val="SubtleEmphasis"/>
          <w:rFonts w:eastAsia="Times New Roman" w:cs="Times New Roman"/>
          <w:b/>
          <w:i w:val="0"/>
          <w:iCs w:val="0"/>
          <w:color w:val="FF0000"/>
        </w:rPr>
        <w:t>)</w:t>
      </w:r>
    </w:p>
    <w:p w:rsidR="00F75ABD" w:rsidRDefault="00F75ABD" w:rsidP="004D42B8">
      <w:pPr>
        <w:spacing w:line="240" w:lineRule="auto"/>
        <w:rPr>
          <w:rStyle w:val="SubtleEmphasis"/>
          <w:rFonts w:eastAsia="Times New Roman" w:cs="Times New Roman"/>
          <w:b/>
          <w:i w:val="0"/>
          <w:iCs w:val="0"/>
          <w:color w:val="FF0000"/>
        </w:rPr>
      </w:pPr>
    </w:p>
    <w:p w:rsidR="00FB6C61" w:rsidRDefault="00634E4B" w:rsidP="00BB3C9E">
      <w:pPr>
        <w:pStyle w:val="NoSpacing"/>
      </w:pPr>
      <w:r>
        <w:t>DMR Overlap</w:t>
      </w:r>
    </w:p>
    <w:p w:rsidR="00BF4549" w:rsidRPr="00011334" w:rsidRDefault="00BF4549" w:rsidP="00BF4549">
      <w:pPr>
        <w:pStyle w:val="NoSpacing"/>
        <w:rPr>
          <w:rStyle w:val="SubtleEmphasis"/>
        </w:rPr>
      </w:pPr>
      <w:r w:rsidRPr="00011334">
        <w:rPr>
          <w:rStyle w:val="SubtleEmphasis"/>
        </w:rPr>
        <w:t>For Smaller µ value</w:t>
      </w:r>
      <w:r>
        <w:rPr>
          <w:rStyle w:val="SubtleEmphasis"/>
        </w:rPr>
        <w:t xml:space="preserve"> (0-0.05)</w:t>
      </w:r>
    </w:p>
    <w:p w:rsidR="00055EA7" w:rsidRDefault="00055EA7" w:rsidP="00055EA7">
      <w:pPr>
        <w:pStyle w:val="NoSpacing"/>
        <w:jc w:val="both"/>
        <w:rPr>
          <w:rStyle w:val="SubtleEmphasis"/>
          <w:i w:val="0"/>
        </w:rPr>
      </w:pPr>
      <w:r>
        <w:t>We also identified the overlap between the</w:t>
      </w:r>
      <w:r w:rsidRPr="00C97FA4">
        <w:t xml:space="preserve"> </w:t>
      </w:r>
      <w:r>
        <w:t xml:space="preserve">four DMR finding methods for smaller </w:t>
      </w:r>
      <w:r w:rsidRPr="00011334">
        <w:rPr>
          <w:rStyle w:val="SubtleEmphasis"/>
        </w:rPr>
        <w:t>µ</w:t>
      </w:r>
      <w:r>
        <w:rPr>
          <w:rStyle w:val="SubtleEmphasis"/>
          <w:i w:val="0"/>
        </w:rPr>
        <w:t xml:space="preserve">. Of note, since a DMR of any method can overlap with one or multiple DMRs of the other method in partially or completely, there exists some one-to-many (or, many to one) mapping in the results obtained from the methods. For </w:t>
      </w:r>
      <w:r w:rsidRPr="00011334">
        <w:rPr>
          <w:rStyle w:val="SubtleEmphasis"/>
        </w:rPr>
        <w:t>µ</w:t>
      </w:r>
      <w:r>
        <w:rPr>
          <w:rStyle w:val="SubtleEmphasis"/>
        </w:rPr>
        <w:t xml:space="preserve">=0.025 and repetition=1, </w:t>
      </w:r>
      <w:r>
        <w:rPr>
          <w:rStyle w:val="SubtleEmphasis"/>
          <w:i w:val="0"/>
        </w:rPr>
        <w:t xml:space="preserve">we obtained 8 common DMRs from </w:t>
      </w:r>
      <w:proofErr w:type="spellStart"/>
      <w:r>
        <w:rPr>
          <w:rStyle w:val="SubtleEmphasis"/>
          <w:i w:val="0"/>
        </w:rPr>
        <w:t>DMRcate</w:t>
      </w:r>
      <w:proofErr w:type="spellEnd"/>
      <w:r>
        <w:rPr>
          <w:rStyle w:val="SubtleEmphasis"/>
          <w:i w:val="0"/>
        </w:rPr>
        <w:t xml:space="preserve"> method and 9 common DMRs from </w:t>
      </w:r>
      <w:proofErr w:type="spellStart"/>
      <w:r>
        <w:rPr>
          <w:rStyle w:val="SubtleEmphasis"/>
          <w:i w:val="0"/>
        </w:rPr>
        <w:t>Bumphunter</w:t>
      </w:r>
      <w:proofErr w:type="spellEnd"/>
      <w:r>
        <w:rPr>
          <w:rStyle w:val="SubtleEmphasis"/>
          <w:i w:val="0"/>
        </w:rPr>
        <w:t xml:space="preserve"> method during the overlap operation between </w:t>
      </w:r>
      <w:proofErr w:type="spellStart"/>
      <w:r>
        <w:rPr>
          <w:rStyle w:val="SubtleEmphasis"/>
          <w:i w:val="0"/>
        </w:rPr>
        <w:t>DMRcate</w:t>
      </w:r>
      <w:proofErr w:type="spellEnd"/>
      <w:r>
        <w:rPr>
          <w:rStyle w:val="SubtleEmphasis"/>
          <w:i w:val="0"/>
        </w:rPr>
        <w:t xml:space="preserve"> and </w:t>
      </w:r>
      <w:proofErr w:type="spellStart"/>
      <w:r>
        <w:rPr>
          <w:rStyle w:val="SubtleEmphasis"/>
          <w:i w:val="0"/>
        </w:rPr>
        <w:t>Bumphunter</w:t>
      </w:r>
      <w:proofErr w:type="spellEnd"/>
      <w:r>
        <w:rPr>
          <w:rStyle w:val="SubtleEmphasis"/>
          <w:i w:val="0"/>
        </w:rPr>
        <w:t xml:space="preserve"> method. Similarly, we determined 22 common DMRs from </w:t>
      </w:r>
      <w:proofErr w:type="spellStart"/>
      <w:r>
        <w:rPr>
          <w:rStyle w:val="SubtleEmphasis"/>
          <w:i w:val="0"/>
        </w:rPr>
        <w:t>Bumphunter</w:t>
      </w:r>
      <w:proofErr w:type="spellEnd"/>
      <w:r>
        <w:rPr>
          <w:rStyle w:val="SubtleEmphasis"/>
          <w:i w:val="0"/>
        </w:rPr>
        <w:t xml:space="preserve"> method and 19 common DMRs from Comb-p method during the overlap operation between </w:t>
      </w:r>
      <w:proofErr w:type="spellStart"/>
      <w:r>
        <w:rPr>
          <w:rStyle w:val="SubtleEmphasis"/>
          <w:i w:val="0"/>
        </w:rPr>
        <w:t>Bumphunter</w:t>
      </w:r>
      <w:proofErr w:type="spellEnd"/>
      <w:r>
        <w:rPr>
          <w:rStyle w:val="SubtleEmphasis"/>
          <w:i w:val="0"/>
        </w:rPr>
        <w:t xml:space="preserve"> and Comb-p methods.  See Table 4 for details. For other </w:t>
      </w:r>
      <w:r w:rsidRPr="00011334">
        <w:rPr>
          <w:rStyle w:val="SubtleEmphasis"/>
        </w:rPr>
        <w:t>µ</w:t>
      </w:r>
      <w:r>
        <w:rPr>
          <w:rStyle w:val="SubtleEmphasis"/>
          <w:i w:val="0"/>
        </w:rPr>
        <w:t xml:space="preserve"> values, see supplementary file ST1.</w:t>
      </w:r>
    </w:p>
    <w:p w:rsidR="00665413" w:rsidRDefault="00665413" w:rsidP="00F0334D">
      <w:pPr>
        <w:pStyle w:val="NoSpacing"/>
        <w:rPr>
          <w:rStyle w:val="SubtleEmphasis"/>
        </w:rPr>
      </w:pPr>
    </w:p>
    <w:p w:rsidR="00F0334D" w:rsidRPr="00011334" w:rsidRDefault="00F0334D" w:rsidP="00F0334D">
      <w:pPr>
        <w:pStyle w:val="NoSpacing"/>
        <w:rPr>
          <w:rStyle w:val="SubtleEmphasis"/>
        </w:rPr>
      </w:pPr>
      <w:r w:rsidRPr="00011334">
        <w:rPr>
          <w:rStyle w:val="SubtleEmphasis"/>
        </w:rPr>
        <w:t xml:space="preserve">For </w:t>
      </w:r>
      <w:r>
        <w:rPr>
          <w:rStyle w:val="SubtleEmphasis"/>
        </w:rPr>
        <w:t>Medium</w:t>
      </w:r>
      <w:r w:rsidRPr="00011334">
        <w:rPr>
          <w:rStyle w:val="SubtleEmphasis"/>
        </w:rPr>
        <w:t xml:space="preserve"> µ value</w:t>
      </w:r>
      <w:r>
        <w:rPr>
          <w:rStyle w:val="SubtleEmphasis"/>
        </w:rPr>
        <w:t xml:space="preserve"> (0.1-0.15)</w:t>
      </w:r>
    </w:p>
    <w:p w:rsidR="00774A48" w:rsidRDefault="00774A48" w:rsidP="00774A48">
      <w:pPr>
        <w:pStyle w:val="NoSpacing"/>
        <w:jc w:val="both"/>
      </w:pPr>
      <w:r>
        <w:rPr>
          <w:rStyle w:val="SubtleEmphasis"/>
          <w:i w:val="0"/>
        </w:rPr>
        <w:t xml:space="preserve">In case of the overlap operation, for </w:t>
      </w:r>
      <w:r w:rsidRPr="00011334">
        <w:rPr>
          <w:rStyle w:val="SubtleEmphasis"/>
        </w:rPr>
        <w:t>µ</w:t>
      </w:r>
      <w:r>
        <w:rPr>
          <w:rStyle w:val="SubtleEmphasis"/>
        </w:rPr>
        <w:t xml:space="preserve">=0.15 and repetition=1, </w:t>
      </w:r>
      <w:r>
        <w:rPr>
          <w:rStyle w:val="SubtleEmphasis"/>
          <w:i w:val="0"/>
        </w:rPr>
        <w:t xml:space="preserve">we identified 220 common DMRs from </w:t>
      </w:r>
      <w:proofErr w:type="spellStart"/>
      <w:r>
        <w:rPr>
          <w:rStyle w:val="SubtleEmphasis"/>
          <w:i w:val="0"/>
        </w:rPr>
        <w:t>DMRcate</w:t>
      </w:r>
      <w:proofErr w:type="spellEnd"/>
      <w:r>
        <w:rPr>
          <w:rStyle w:val="SubtleEmphasis"/>
          <w:i w:val="0"/>
        </w:rPr>
        <w:t xml:space="preserve"> method and 354 common DMRs from </w:t>
      </w:r>
      <w:proofErr w:type="spellStart"/>
      <w:r>
        <w:rPr>
          <w:rStyle w:val="SubtleEmphasis"/>
          <w:i w:val="0"/>
        </w:rPr>
        <w:t>Bumphunter</w:t>
      </w:r>
      <w:proofErr w:type="spellEnd"/>
      <w:r>
        <w:rPr>
          <w:rStyle w:val="SubtleEmphasis"/>
          <w:i w:val="0"/>
        </w:rPr>
        <w:t xml:space="preserve"> method during the overlap operation between </w:t>
      </w:r>
      <w:proofErr w:type="spellStart"/>
      <w:r>
        <w:rPr>
          <w:rStyle w:val="SubtleEmphasis"/>
          <w:i w:val="0"/>
        </w:rPr>
        <w:t>DMRcate</w:t>
      </w:r>
      <w:proofErr w:type="spellEnd"/>
      <w:r>
        <w:rPr>
          <w:rStyle w:val="SubtleEmphasis"/>
          <w:i w:val="0"/>
        </w:rPr>
        <w:t xml:space="preserve"> and </w:t>
      </w:r>
      <w:proofErr w:type="spellStart"/>
      <w:r>
        <w:rPr>
          <w:rStyle w:val="SubtleEmphasis"/>
          <w:i w:val="0"/>
        </w:rPr>
        <w:t>Bumphunter</w:t>
      </w:r>
      <w:proofErr w:type="spellEnd"/>
      <w:r>
        <w:rPr>
          <w:rStyle w:val="SubtleEmphasis"/>
          <w:i w:val="0"/>
        </w:rPr>
        <w:t xml:space="preserve"> method. Similarly, we obtained 458 common DMRs from </w:t>
      </w:r>
      <w:proofErr w:type="spellStart"/>
      <w:r>
        <w:rPr>
          <w:rStyle w:val="SubtleEmphasis"/>
          <w:i w:val="0"/>
        </w:rPr>
        <w:t>Bumphunter</w:t>
      </w:r>
      <w:proofErr w:type="spellEnd"/>
      <w:r>
        <w:rPr>
          <w:rStyle w:val="SubtleEmphasis"/>
          <w:i w:val="0"/>
        </w:rPr>
        <w:t xml:space="preserve"> method and 301 common DMRs from Comb-p method during the overlap operation between </w:t>
      </w:r>
      <w:proofErr w:type="spellStart"/>
      <w:r>
        <w:rPr>
          <w:rStyle w:val="SubtleEmphasis"/>
          <w:i w:val="0"/>
        </w:rPr>
        <w:t>Bumphunter</w:t>
      </w:r>
      <w:proofErr w:type="spellEnd"/>
      <w:r>
        <w:rPr>
          <w:rStyle w:val="SubtleEmphasis"/>
          <w:i w:val="0"/>
        </w:rPr>
        <w:t xml:space="preserve"> and Comb-p methods, whereas 198 common DMRs from Probe-lasso method and 200 common DMRs from Comb-p method during the overlap operation between Probe-lasso and Comb-p methods. See Table 4 for details. For other </w:t>
      </w:r>
      <w:r w:rsidRPr="00011334">
        <w:rPr>
          <w:rStyle w:val="SubtleEmphasis"/>
        </w:rPr>
        <w:t>µ</w:t>
      </w:r>
      <w:r>
        <w:rPr>
          <w:rStyle w:val="SubtleEmphasis"/>
          <w:i w:val="0"/>
        </w:rPr>
        <w:t xml:space="preserve"> values, see supplementary file ST1.</w:t>
      </w:r>
    </w:p>
    <w:p w:rsidR="00665413" w:rsidRDefault="00665413" w:rsidP="00CB3043">
      <w:pPr>
        <w:pStyle w:val="NoSpacing"/>
        <w:rPr>
          <w:rStyle w:val="SubtleEmphasis"/>
        </w:rPr>
      </w:pPr>
    </w:p>
    <w:p w:rsidR="00CB3043" w:rsidRPr="00011334" w:rsidRDefault="00CB3043" w:rsidP="00CB3043">
      <w:pPr>
        <w:pStyle w:val="NoSpacing"/>
        <w:rPr>
          <w:rStyle w:val="SubtleEmphasis"/>
        </w:rPr>
      </w:pPr>
      <w:r w:rsidRPr="00011334">
        <w:rPr>
          <w:rStyle w:val="SubtleEmphasis"/>
        </w:rPr>
        <w:lastRenderedPageBreak/>
        <w:t xml:space="preserve">For </w:t>
      </w:r>
      <w:r>
        <w:rPr>
          <w:rStyle w:val="SubtleEmphasis"/>
        </w:rPr>
        <w:t>Higher</w:t>
      </w:r>
      <w:r w:rsidRPr="00011334">
        <w:rPr>
          <w:rStyle w:val="SubtleEmphasis"/>
        </w:rPr>
        <w:t xml:space="preserve"> µ value</w:t>
      </w:r>
      <w:r>
        <w:rPr>
          <w:rStyle w:val="SubtleEmphasis"/>
        </w:rPr>
        <w:t xml:space="preserve"> (0.2-0.4)</w:t>
      </w:r>
    </w:p>
    <w:p w:rsidR="008C4792" w:rsidRDefault="008C4792" w:rsidP="008C4792">
      <w:pPr>
        <w:pStyle w:val="NoSpacing"/>
        <w:jc w:val="both"/>
      </w:pPr>
      <w:r>
        <w:rPr>
          <w:rStyle w:val="SubtleEmphasis"/>
          <w:i w:val="0"/>
        </w:rPr>
        <w:t xml:space="preserve">During the overlap operation, for </w:t>
      </w:r>
      <w:r w:rsidRPr="00011334">
        <w:rPr>
          <w:rStyle w:val="SubtleEmphasis"/>
        </w:rPr>
        <w:t>µ</w:t>
      </w:r>
      <w:r>
        <w:rPr>
          <w:rStyle w:val="SubtleEmphasis"/>
        </w:rPr>
        <w:t xml:space="preserve">=0.4 and repetition=1, </w:t>
      </w:r>
      <w:r>
        <w:rPr>
          <w:rStyle w:val="SubtleEmphasis"/>
          <w:i w:val="0"/>
        </w:rPr>
        <w:t xml:space="preserve">we identified 374 common DMRs from </w:t>
      </w:r>
      <w:proofErr w:type="spellStart"/>
      <w:r>
        <w:rPr>
          <w:rStyle w:val="SubtleEmphasis"/>
          <w:i w:val="0"/>
        </w:rPr>
        <w:t>DMRcate</w:t>
      </w:r>
      <w:proofErr w:type="spellEnd"/>
      <w:r>
        <w:rPr>
          <w:rStyle w:val="SubtleEmphasis"/>
          <w:i w:val="0"/>
        </w:rPr>
        <w:t xml:space="preserve"> method and 605 common DMRs from </w:t>
      </w:r>
      <w:proofErr w:type="spellStart"/>
      <w:r>
        <w:rPr>
          <w:rStyle w:val="SubtleEmphasis"/>
          <w:i w:val="0"/>
        </w:rPr>
        <w:t>Bumphunter</w:t>
      </w:r>
      <w:proofErr w:type="spellEnd"/>
      <w:r>
        <w:rPr>
          <w:rStyle w:val="SubtleEmphasis"/>
          <w:i w:val="0"/>
        </w:rPr>
        <w:t xml:space="preserve"> method during the overlap operation between </w:t>
      </w:r>
      <w:proofErr w:type="spellStart"/>
      <w:r>
        <w:rPr>
          <w:rStyle w:val="SubtleEmphasis"/>
          <w:i w:val="0"/>
        </w:rPr>
        <w:t>DMRcate</w:t>
      </w:r>
      <w:proofErr w:type="spellEnd"/>
      <w:r>
        <w:rPr>
          <w:rStyle w:val="SubtleEmphasis"/>
          <w:i w:val="0"/>
        </w:rPr>
        <w:t xml:space="preserve"> and </w:t>
      </w:r>
      <w:proofErr w:type="spellStart"/>
      <w:r>
        <w:rPr>
          <w:rStyle w:val="SubtleEmphasis"/>
          <w:i w:val="0"/>
        </w:rPr>
        <w:t>Bumphunter</w:t>
      </w:r>
      <w:proofErr w:type="spellEnd"/>
      <w:r>
        <w:rPr>
          <w:rStyle w:val="SubtleEmphasis"/>
          <w:i w:val="0"/>
        </w:rPr>
        <w:t xml:space="preserve"> method. Similarly, we obtained 575 common DMRs from </w:t>
      </w:r>
      <w:proofErr w:type="spellStart"/>
      <w:r>
        <w:rPr>
          <w:rStyle w:val="SubtleEmphasis"/>
          <w:i w:val="0"/>
        </w:rPr>
        <w:t>Bumphunter</w:t>
      </w:r>
      <w:proofErr w:type="spellEnd"/>
      <w:r>
        <w:rPr>
          <w:rStyle w:val="SubtleEmphasis"/>
          <w:i w:val="0"/>
        </w:rPr>
        <w:t xml:space="preserve"> method and 360 common DMRs from Comb-p method during the overlap operation between </w:t>
      </w:r>
      <w:proofErr w:type="spellStart"/>
      <w:r>
        <w:rPr>
          <w:rStyle w:val="SubtleEmphasis"/>
          <w:i w:val="0"/>
        </w:rPr>
        <w:t>Bumphunter</w:t>
      </w:r>
      <w:proofErr w:type="spellEnd"/>
      <w:r>
        <w:rPr>
          <w:rStyle w:val="SubtleEmphasis"/>
          <w:i w:val="0"/>
        </w:rPr>
        <w:t xml:space="preserve"> and Comb-p methods, whereas 221 common DMRs from Probe-lasso method and 222 common DMRs from Comb-p method during the overlap operation between Probe-lasso and Comb-p methods. See Table 4 for details. For other </w:t>
      </w:r>
      <w:r w:rsidRPr="00011334">
        <w:rPr>
          <w:rStyle w:val="SubtleEmphasis"/>
        </w:rPr>
        <w:t>µ</w:t>
      </w:r>
      <w:r>
        <w:rPr>
          <w:rStyle w:val="SubtleEmphasis"/>
          <w:i w:val="0"/>
        </w:rPr>
        <w:t xml:space="preserve"> values, see supplementary file ST1.</w:t>
      </w:r>
    </w:p>
    <w:p w:rsidR="008C4792" w:rsidRDefault="008C4792" w:rsidP="00BB3C9E">
      <w:pPr>
        <w:pStyle w:val="NoSpacing"/>
      </w:pPr>
    </w:p>
    <w:p w:rsidR="00FE6E23" w:rsidRDefault="00FE6E23" w:rsidP="00FE6E23">
      <w:pPr>
        <w:pStyle w:val="NoSpacing"/>
      </w:pPr>
      <w:r>
        <w:t>Co-methylation</w:t>
      </w:r>
    </w:p>
    <w:p w:rsidR="00FE6E23" w:rsidRPr="00011334" w:rsidRDefault="00FE6E23" w:rsidP="00FE6E23">
      <w:pPr>
        <w:pStyle w:val="NoSpacing"/>
        <w:rPr>
          <w:rStyle w:val="SubtleEmphasis"/>
        </w:rPr>
      </w:pPr>
      <w:r w:rsidRPr="00011334">
        <w:rPr>
          <w:rStyle w:val="SubtleEmphasis"/>
        </w:rPr>
        <w:t>For Smaller µ value</w:t>
      </w:r>
      <w:r>
        <w:rPr>
          <w:rStyle w:val="SubtleEmphasis"/>
        </w:rPr>
        <w:t xml:space="preserve"> (0-0.05)</w:t>
      </w:r>
    </w:p>
    <w:p w:rsidR="00FE6E23" w:rsidRDefault="00FE6E23" w:rsidP="00FE6E23">
      <w:pPr>
        <w:pStyle w:val="NoSpacing"/>
      </w:pPr>
      <w:r>
        <w:t xml:space="preserve">Furthermore, we computed average Spearman’s correlation of the participating </w:t>
      </w:r>
      <w:proofErr w:type="spellStart"/>
      <w:r>
        <w:t>CpGs</w:t>
      </w:r>
      <w:proofErr w:type="spellEnd"/>
      <w:r>
        <w:t xml:space="preserve"> belonging to the top 5 DMRs. </w:t>
      </w:r>
      <w:proofErr w:type="spellStart"/>
      <w:r>
        <w:t>Bumphunter</w:t>
      </w:r>
      <w:proofErr w:type="spellEnd"/>
      <w:r>
        <w:t xml:space="preserve"> generated highest correlation in all these cases, but </w:t>
      </w:r>
      <w:proofErr w:type="spellStart"/>
      <w:r>
        <w:t>bumphunter</w:t>
      </w:r>
      <w:proofErr w:type="spellEnd"/>
      <w:r>
        <w:t xml:space="preserve"> suffered from a lot of outliers. See Figure 4(a), and supplementary file </w:t>
      </w:r>
      <w:proofErr w:type="gramStart"/>
      <w:r>
        <w:t>SF1(</w:t>
      </w:r>
      <w:proofErr w:type="gramEnd"/>
      <w:r>
        <w:t xml:space="preserve">d) for details.  </w:t>
      </w:r>
    </w:p>
    <w:p w:rsidR="00FE6E23" w:rsidRDefault="00FE6E23" w:rsidP="00FE6E23">
      <w:pPr>
        <w:pStyle w:val="NoSpacing"/>
        <w:rPr>
          <w:rStyle w:val="SubtleEmphasis"/>
        </w:rPr>
      </w:pPr>
    </w:p>
    <w:p w:rsidR="00FE6E23" w:rsidRPr="00011334" w:rsidRDefault="00FE6E23" w:rsidP="00FE6E23">
      <w:pPr>
        <w:pStyle w:val="NoSpacing"/>
        <w:rPr>
          <w:rStyle w:val="SubtleEmphasis"/>
        </w:rPr>
      </w:pPr>
      <w:r w:rsidRPr="00011334">
        <w:rPr>
          <w:rStyle w:val="SubtleEmphasis"/>
        </w:rPr>
        <w:t xml:space="preserve">For </w:t>
      </w:r>
      <w:r>
        <w:rPr>
          <w:rStyle w:val="SubtleEmphasis"/>
        </w:rPr>
        <w:t>Medium</w:t>
      </w:r>
      <w:r w:rsidRPr="00011334">
        <w:rPr>
          <w:rStyle w:val="SubtleEmphasis"/>
        </w:rPr>
        <w:t xml:space="preserve"> µ value</w:t>
      </w:r>
      <w:r>
        <w:rPr>
          <w:rStyle w:val="SubtleEmphasis"/>
        </w:rPr>
        <w:t xml:space="preserve"> (0.1-0.15)</w:t>
      </w:r>
    </w:p>
    <w:p w:rsidR="00FE6E23" w:rsidRDefault="00FE6E23" w:rsidP="00FE6E23">
      <w:pPr>
        <w:pStyle w:val="NoSpacing"/>
      </w:pPr>
      <w:r>
        <w:t xml:space="preserve">For medium </w:t>
      </w:r>
      <w:r w:rsidRPr="00011334">
        <w:rPr>
          <w:rStyle w:val="SubtleEmphasis"/>
        </w:rPr>
        <w:t>µ</w:t>
      </w:r>
      <w:r>
        <w:rPr>
          <w:rStyle w:val="SubtleEmphasis"/>
        </w:rPr>
        <w:t xml:space="preserve">, </w:t>
      </w:r>
      <w:proofErr w:type="spellStart"/>
      <w:r>
        <w:rPr>
          <w:rStyle w:val="SubtleEmphasis"/>
          <w:i w:val="0"/>
        </w:rPr>
        <w:t>Bumphunter</w:t>
      </w:r>
      <w:proofErr w:type="spellEnd"/>
      <w:r>
        <w:rPr>
          <w:rStyle w:val="SubtleEmphasis"/>
          <w:i w:val="0"/>
        </w:rPr>
        <w:t xml:space="preserve"> </w:t>
      </w:r>
      <w:r w:rsidR="003F1AE3">
        <w:rPr>
          <w:rStyle w:val="SubtleEmphasis"/>
          <w:i w:val="0"/>
        </w:rPr>
        <w:t xml:space="preserve">and Probe-lasso perform well </w:t>
      </w:r>
      <w:r w:rsidR="00C33FC8">
        <w:rPr>
          <w:rStyle w:val="SubtleEmphasis"/>
          <w:i w:val="0"/>
        </w:rPr>
        <w:t xml:space="preserve">in terms of the </w:t>
      </w:r>
      <w:r w:rsidR="00C33FC8">
        <w:t xml:space="preserve">average Spearman’s correlation measures. But, </w:t>
      </w:r>
      <w:proofErr w:type="spellStart"/>
      <w:r w:rsidR="00C33FC8">
        <w:t>Bumphunter</w:t>
      </w:r>
      <w:proofErr w:type="spellEnd"/>
      <w:r w:rsidR="00C33FC8">
        <w:t xml:space="preserve"> is</w:t>
      </w:r>
      <w:r w:rsidR="00C33FC8">
        <w:rPr>
          <w:rStyle w:val="SubtleEmphasis"/>
          <w:i w:val="0"/>
        </w:rPr>
        <w:t xml:space="preserve"> </w:t>
      </w:r>
      <w:r>
        <w:rPr>
          <w:rStyle w:val="SubtleEmphasis"/>
          <w:i w:val="0"/>
        </w:rPr>
        <w:t xml:space="preserve">still </w:t>
      </w:r>
      <w:r w:rsidR="00C33FC8">
        <w:rPr>
          <w:rStyle w:val="SubtleEmphasis"/>
          <w:i w:val="0"/>
        </w:rPr>
        <w:t xml:space="preserve">the </w:t>
      </w:r>
      <w:r>
        <w:rPr>
          <w:rStyle w:val="SubtleEmphasis"/>
          <w:i w:val="0"/>
        </w:rPr>
        <w:t>best performer</w:t>
      </w:r>
      <w:r w:rsidR="00F85A23">
        <w:rPr>
          <w:rStyle w:val="SubtleEmphasis"/>
          <w:i w:val="0"/>
        </w:rPr>
        <w:t xml:space="preserve"> in maximum </w:t>
      </w:r>
      <w:r w:rsidR="00095455">
        <w:rPr>
          <w:rStyle w:val="SubtleEmphasis"/>
          <w:i w:val="0"/>
        </w:rPr>
        <w:t>repetitions</w:t>
      </w:r>
      <w:r>
        <w:t xml:space="preserve">. See Figure 4(b), and supplementary files </w:t>
      </w:r>
      <w:proofErr w:type="gramStart"/>
      <w:r>
        <w:t>SF1(</w:t>
      </w:r>
      <w:proofErr w:type="gramEnd"/>
      <w:r>
        <w:t xml:space="preserve">a) and SF1(e) for details.  </w:t>
      </w:r>
    </w:p>
    <w:p w:rsidR="00FE6E23" w:rsidRDefault="00FE6E23" w:rsidP="00FE6E23">
      <w:pPr>
        <w:pStyle w:val="NoSpacing"/>
        <w:rPr>
          <w:rStyle w:val="SubtleEmphasis"/>
        </w:rPr>
      </w:pPr>
    </w:p>
    <w:p w:rsidR="00FE6E23" w:rsidRPr="00011334" w:rsidRDefault="00FE6E23" w:rsidP="00FE6E23">
      <w:pPr>
        <w:pStyle w:val="NoSpacing"/>
        <w:rPr>
          <w:rStyle w:val="SubtleEmphasis"/>
        </w:rPr>
      </w:pPr>
      <w:r w:rsidRPr="00011334">
        <w:rPr>
          <w:rStyle w:val="SubtleEmphasis"/>
        </w:rPr>
        <w:t xml:space="preserve">For </w:t>
      </w:r>
      <w:r>
        <w:rPr>
          <w:rStyle w:val="SubtleEmphasis"/>
        </w:rPr>
        <w:t>Higher</w:t>
      </w:r>
      <w:r w:rsidRPr="00011334">
        <w:rPr>
          <w:rStyle w:val="SubtleEmphasis"/>
        </w:rPr>
        <w:t xml:space="preserve"> µ value</w:t>
      </w:r>
      <w:r>
        <w:rPr>
          <w:rStyle w:val="SubtleEmphasis"/>
        </w:rPr>
        <w:t xml:space="preserve"> (0.2-0.4)</w:t>
      </w:r>
    </w:p>
    <w:p w:rsidR="00FE6E23" w:rsidRPr="00095455" w:rsidRDefault="00FE6E23" w:rsidP="00FE6E23">
      <w:pPr>
        <w:pStyle w:val="NoSpacing"/>
        <w:rPr>
          <w:iCs/>
          <w:color w:val="404040" w:themeColor="text1" w:themeTint="BF"/>
        </w:rPr>
      </w:pPr>
      <w:r>
        <w:t xml:space="preserve">For higher </w:t>
      </w:r>
      <w:r w:rsidRPr="00011334">
        <w:rPr>
          <w:rStyle w:val="SubtleEmphasis"/>
        </w:rPr>
        <w:t>µ</w:t>
      </w:r>
      <w:r>
        <w:rPr>
          <w:rStyle w:val="SubtleEmphasis"/>
        </w:rPr>
        <w:t xml:space="preserve">, </w:t>
      </w:r>
      <w:proofErr w:type="spellStart"/>
      <w:r>
        <w:rPr>
          <w:rStyle w:val="SubtleEmphasis"/>
          <w:i w:val="0"/>
        </w:rPr>
        <w:t>Bumphunter</w:t>
      </w:r>
      <w:proofErr w:type="spellEnd"/>
      <w:r>
        <w:rPr>
          <w:rStyle w:val="SubtleEmphasis"/>
          <w:i w:val="0"/>
        </w:rPr>
        <w:t xml:space="preserve"> </w:t>
      </w:r>
      <w:r w:rsidR="00FF3830">
        <w:rPr>
          <w:rStyle w:val="SubtleEmphasis"/>
          <w:i w:val="0"/>
        </w:rPr>
        <w:t xml:space="preserve">and Comb-p work well in terms of the </w:t>
      </w:r>
      <w:r w:rsidR="00FF3830">
        <w:t xml:space="preserve">average Spearman’s correlation measures. But, </w:t>
      </w:r>
      <w:proofErr w:type="spellStart"/>
      <w:r w:rsidR="00095455">
        <w:t>Bumphunter</w:t>
      </w:r>
      <w:proofErr w:type="spellEnd"/>
      <w:r w:rsidR="00095455">
        <w:t xml:space="preserve"> is</w:t>
      </w:r>
      <w:r w:rsidR="00095455">
        <w:rPr>
          <w:rStyle w:val="SubtleEmphasis"/>
          <w:i w:val="0"/>
        </w:rPr>
        <w:t xml:space="preserve"> still the best performer in maximum repetitions</w:t>
      </w:r>
      <w:r w:rsidR="00095455">
        <w:t>.</w:t>
      </w:r>
      <w:r>
        <w:t xml:space="preserve"> See Figure 4(c), and supplementary files </w:t>
      </w:r>
      <w:proofErr w:type="gramStart"/>
      <w:r>
        <w:t>SF1(</w:t>
      </w:r>
      <w:proofErr w:type="gramEnd"/>
      <w:r>
        <w:t xml:space="preserve">b), SF1(c) and SF1(f) for details.  </w:t>
      </w:r>
    </w:p>
    <w:p w:rsidR="009D74E6" w:rsidRDefault="009D74E6" w:rsidP="00BB3C9E">
      <w:pPr>
        <w:pStyle w:val="NoSpacing"/>
      </w:pPr>
    </w:p>
    <w:p w:rsidR="009D74E6" w:rsidRDefault="00935610" w:rsidP="00BB3C9E">
      <w:pPr>
        <w:pStyle w:val="NoSpacing"/>
      </w:pPr>
      <w:r>
        <w:t xml:space="preserve">Sizes of </w:t>
      </w:r>
      <w:r w:rsidR="009D74E6">
        <w:t>DMR</w:t>
      </w:r>
      <w:r>
        <w:t>s</w:t>
      </w:r>
    </w:p>
    <w:p w:rsidR="009D74E6" w:rsidRPr="00057401" w:rsidRDefault="007806D0" w:rsidP="00BB3C9E">
      <w:pPr>
        <w:pStyle w:val="NoSpacing"/>
      </w:pPr>
      <w:r>
        <w:t xml:space="preserve">For </w:t>
      </w:r>
      <w:r w:rsidR="0014464D">
        <w:t xml:space="preserve">higher </w:t>
      </w:r>
      <w:r w:rsidRPr="00011334">
        <w:rPr>
          <w:rStyle w:val="SubtleEmphasis"/>
        </w:rPr>
        <w:t>µ</w:t>
      </w:r>
      <w:r w:rsidR="0014464D">
        <w:rPr>
          <w:rStyle w:val="SubtleEmphasis"/>
        </w:rPr>
        <w:t xml:space="preserve"> </w:t>
      </w:r>
      <w:r w:rsidR="0014464D" w:rsidRPr="002A6414">
        <w:rPr>
          <w:rStyle w:val="SubtleEmphasis"/>
          <w:i w:val="0"/>
        </w:rPr>
        <w:t>value</w:t>
      </w:r>
      <w:r w:rsidR="0014464D">
        <w:rPr>
          <w:rStyle w:val="SubtleEmphasis"/>
        </w:rPr>
        <w:t xml:space="preserve"> </w:t>
      </w:r>
      <w:r w:rsidR="0014464D" w:rsidRPr="0014464D">
        <w:rPr>
          <w:rStyle w:val="SubtleEmphasis"/>
          <w:i w:val="0"/>
        </w:rPr>
        <w:t>(</w:t>
      </w:r>
      <w:r w:rsidR="00BF79C9">
        <w:rPr>
          <w:rStyle w:val="SubtleEmphasis"/>
          <w:i w:val="0"/>
        </w:rPr>
        <w:t xml:space="preserve">e.g., </w:t>
      </w:r>
      <w:r w:rsidR="0014464D" w:rsidRPr="0014464D">
        <w:rPr>
          <w:rStyle w:val="SubtleEmphasis"/>
          <w:i w:val="0"/>
        </w:rPr>
        <w:t xml:space="preserve">µ </w:t>
      </w:r>
      <w:r w:rsidR="00057401" w:rsidRPr="0014464D">
        <w:rPr>
          <w:rStyle w:val="SubtleEmphasis"/>
          <w:i w:val="0"/>
        </w:rPr>
        <w:t>=0.4</w:t>
      </w:r>
      <w:r w:rsidR="0014464D" w:rsidRPr="0014464D">
        <w:rPr>
          <w:rStyle w:val="SubtleEmphasis"/>
          <w:i w:val="0"/>
        </w:rPr>
        <w:t>)</w:t>
      </w:r>
      <w:r w:rsidR="00FB42E4" w:rsidRPr="0014464D">
        <w:rPr>
          <w:rStyle w:val="SubtleEmphasis"/>
          <w:i w:val="0"/>
        </w:rPr>
        <w:t xml:space="preserve">, </w:t>
      </w:r>
      <w:r w:rsidR="00B32763">
        <w:rPr>
          <w:rStyle w:val="SubtleEmphasis"/>
          <w:i w:val="0"/>
        </w:rPr>
        <w:t xml:space="preserve">the average number of </w:t>
      </w:r>
      <w:proofErr w:type="spellStart"/>
      <w:r w:rsidR="00B32763">
        <w:rPr>
          <w:rStyle w:val="SubtleEmphasis"/>
          <w:i w:val="0"/>
        </w:rPr>
        <w:t>CpGs</w:t>
      </w:r>
      <w:proofErr w:type="spellEnd"/>
      <w:r w:rsidR="00B32763">
        <w:rPr>
          <w:rStyle w:val="SubtleEmphasis"/>
          <w:i w:val="0"/>
        </w:rPr>
        <w:t xml:space="preserve"> </w:t>
      </w:r>
      <w:r w:rsidR="002462D5">
        <w:rPr>
          <w:rStyle w:val="SubtleEmphasis"/>
          <w:i w:val="0"/>
        </w:rPr>
        <w:t>in the</w:t>
      </w:r>
      <w:r w:rsidR="001E0E91">
        <w:rPr>
          <w:rStyle w:val="SubtleEmphasis"/>
          <w:i w:val="0"/>
        </w:rPr>
        <w:t xml:space="preserve"> top 5</w:t>
      </w:r>
      <w:r w:rsidR="002462D5">
        <w:rPr>
          <w:rStyle w:val="SubtleEmphasis"/>
          <w:i w:val="0"/>
        </w:rPr>
        <w:t xml:space="preserve"> DMRs</w:t>
      </w:r>
      <w:r w:rsidR="001E0E91">
        <w:rPr>
          <w:rStyle w:val="SubtleEmphasis"/>
          <w:i w:val="0"/>
        </w:rPr>
        <w:t xml:space="preserve"> obtained by </w:t>
      </w:r>
      <w:proofErr w:type="spellStart"/>
      <w:r w:rsidR="001E0E91">
        <w:rPr>
          <w:rStyle w:val="SubtleEmphasis"/>
          <w:i w:val="0"/>
        </w:rPr>
        <w:t>DMRcate</w:t>
      </w:r>
      <w:proofErr w:type="spellEnd"/>
      <w:r w:rsidR="00B32763">
        <w:rPr>
          <w:rStyle w:val="SubtleEmphasis"/>
          <w:i w:val="0"/>
        </w:rPr>
        <w:t xml:space="preserve"> </w:t>
      </w:r>
      <w:r w:rsidR="002462D5">
        <w:rPr>
          <w:rStyle w:val="SubtleEmphasis"/>
          <w:i w:val="0"/>
        </w:rPr>
        <w:t xml:space="preserve">is </w:t>
      </w:r>
      <w:r w:rsidR="001E0E91">
        <w:rPr>
          <w:rStyle w:val="SubtleEmphasis"/>
          <w:i w:val="0"/>
        </w:rPr>
        <w:t>maximum</w:t>
      </w:r>
      <w:r w:rsidR="002462D5">
        <w:rPr>
          <w:rStyle w:val="SubtleEmphasis"/>
          <w:i w:val="0"/>
        </w:rPr>
        <w:t xml:space="preserve"> (~10), whereas </w:t>
      </w:r>
      <w:r w:rsidR="00B7431E">
        <w:rPr>
          <w:rStyle w:val="SubtleEmphasis"/>
          <w:i w:val="0"/>
        </w:rPr>
        <w:t xml:space="preserve">the same number obtained by </w:t>
      </w:r>
      <w:proofErr w:type="spellStart"/>
      <w:r w:rsidR="00B7431E">
        <w:rPr>
          <w:rStyle w:val="SubtleEmphasis"/>
          <w:i w:val="0"/>
        </w:rPr>
        <w:t>Bumphunter</w:t>
      </w:r>
      <w:proofErr w:type="spellEnd"/>
      <w:r w:rsidR="00B7431E">
        <w:rPr>
          <w:rStyle w:val="SubtleEmphasis"/>
          <w:i w:val="0"/>
        </w:rPr>
        <w:t xml:space="preserve"> is minimum (~5).</w:t>
      </w:r>
      <w:r w:rsidR="00AA3DC8">
        <w:rPr>
          <w:rStyle w:val="SubtleEmphasis"/>
          <w:i w:val="0"/>
        </w:rPr>
        <w:t xml:space="preserve"> </w:t>
      </w:r>
      <w:r w:rsidR="00086178">
        <w:rPr>
          <w:rStyle w:val="SubtleEmphasis"/>
          <w:i w:val="0"/>
        </w:rPr>
        <w:t xml:space="preserve"> </w:t>
      </w:r>
      <w:r w:rsidR="0041542D">
        <w:rPr>
          <w:rStyle w:val="SubtleEmphasis"/>
          <w:i w:val="0"/>
        </w:rPr>
        <w:t>See Figure 5 for details.</w:t>
      </w:r>
      <w:r w:rsidR="00B32763">
        <w:rPr>
          <w:rStyle w:val="SubtleEmphasis"/>
          <w:i w:val="0"/>
        </w:rPr>
        <w:t xml:space="preserve"> </w:t>
      </w:r>
    </w:p>
    <w:p w:rsidR="00182CE9" w:rsidRDefault="004B0EC1" w:rsidP="0041542D">
      <w:pPr>
        <w:pStyle w:val="NoSpacing"/>
      </w:pPr>
      <w:r>
        <w:t xml:space="preserve">For </w:t>
      </w:r>
      <w:r w:rsidR="0041542D">
        <w:t xml:space="preserve">other </w:t>
      </w:r>
      <w:r w:rsidR="0041542D" w:rsidRPr="00011334">
        <w:rPr>
          <w:rStyle w:val="SubtleEmphasis"/>
        </w:rPr>
        <w:t>µ</w:t>
      </w:r>
      <w:r w:rsidR="0041542D">
        <w:rPr>
          <w:rStyle w:val="SubtleEmphasis"/>
        </w:rPr>
        <w:t xml:space="preserve"> </w:t>
      </w:r>
      <w:r w:rsidR="0041542D" w:rsidRPr="002A6414">
        <w:rPr>
          <w:rStyle w:val="SubtleEmphasis"/>
          <w:i w:val="0"/>
        </w:rPr>
        <w:t>value</w:t>
      </w:r>
      <w:r w:rsidR="0041542D">
        <w:rPr>
          <w:rStyle w:val="SubtleEmphasis"/>
          <w:i w:val="0"/>
        </w:rPr>
        <w:t xml:space="preserve">s, see supplementary files </w:t>
      </w:r>
      <w:proofErr w:type="gramStart"/>
      <w:r w:rsidR="0041542D">
        <w:rPr>
          <w:rStyle w:val="SubtleEmphasis"/>
          <w:i w:val="0"/>
        </w:rPr>
        <w:t>SF2(</w:t>
      </w:r>
      <w:proofErr w:type="gramEnd"/>
      <w:r w:rsidR="0041542D">
        <w:rPr>
          <w:rStyle w:val="SubtleEmphasis"/>
          <w:i w:val="0"/>
        </w:rPr>
        <w:t>a)-SF2(f).</w:t>
      </w:r>
    </w:p>
    <w:p w:rsidR="00182CE9" w:rsidRDefault="00182CE9" w:rsidP="00BB3C9E">
      <w:pPr>
        <w:pStyle w:val="NoSpacing"/>
      </w:pPr>
    </w:p>
    <w:p w:rsidR="009D74E6" w:rsidRDefault="009D74E6" w:rsidP="00BB3C9E">
      <w:pPr>
        <w:pStyle w:val="NoSpacing"/>
      </w:pPr>
    </w:p>
    <w:p w:rsidR="00F86C9F" w:rsidRPr="00406A5E" w:rsidRDefault="00106DDA" w:rsidP="00E031C5">
      <w:pPr>
        <w:pStyle w:val="NoSpacing"/>
        <w:rPr>
          <w:rFonts w:ascii="Book Antiqua" w:hAnsi="Book Antiqua"/>
          <w:b/>
          <w:i/>
          <w:iCs/>
          <w:color w:val="404040" w:themeColor="text1" w:themeTint="BF"/>
          <w:sz w:val="24"/>
          <w:szCs w:val="24"/>
        </w:rPr>
      </w:pPr>
      <w:r w:rsidRPr="00011334">
        <w:rPr>
          <w:rStyle w:val="SubtleEmphasis"/>
          <w:rFonts w:ascii="Book Antiqua" w:hAnsi="Book Antiqua"/>
          <w:b/>
          <w:sz w:val="24"/>
          <w:szCs w:val="24"/>
        </w:rPr>
        <w:t>Results of</w:t>
      </w:r>
      <w:r>
        <w:rPr>
          <w:rStyle w:val="SubtleEmphasis"/>
          <w:rFonts w:ascii="Book Antiqua" w:hAnsi="Book Antiqua"/>
          <w:b/>
          <w:sz w:val="24"/>
          <w:szCs w:val="24"/>
        </w:rPr>
        <w:t xml:space="preserve"> Real Data</w:t>
      </w:r>
    </w:p>
    <w:p w:rsidR="0051712A" w:rsidRPr="007C18A4" w:rsidRDefault="0051712A" w:rsidP="0051712A">
      <w:pPr>
        <w:pStyle w:val="NoSpacing"/>
      </w:pPr>
    </w:p>
    <w:p w:rsidR="0051712A" w:rsidRDefault="0051712A" w:rsidP="0051712A">
      <w:pPr>
        <w:pStyle w:val="NoSpacing"/>
      </w:pPr>
    </w:p>
    <w:p w:rsidR="00344F71" w:rsidRDefault="00344F71" w:rsidP="00E031C5">
      <w:pPr>
        <w:pStyle w:val="NoSpacing"/>
      </w:pPr>
    </w:p>
    <w:p w:rsidR="00E031C5" w:rsidRDefault="00E031C5" w:rsidP="004752FB">
      <w:pPr>
        <w:pStyle w:val="NoSpacing"/>
      </w:pPr>
    </w:p>
    <w:p w:rsidR="00801387" w:rsidRDefault="00801387" w:rsidP="008D344A">
      <w:pPr>
        <w:pStyle w:val="NoSpacing"/>
      </w:pPr>
    </w:p>
    <w:p w:rsidR="00801387" w:rsidRDefault="00801387" w:rsidP="008D344A">
      <w:pPr>
        <w:pStyle w:val="NoSpacing"/>
      </w:pPr>
    </w:p>
    <w:p w:rsidR="00D34EDC" w:rsidRPr="00C27388" w:rsidRDefault="00D34EDC" w:rsidP="008D344A">
      <w:pPr>
        <w:pStyle w:val="NoSpacing"/>
        <w:rPr>
          <w:rFonts w:ascii="Book Antiqua" w:hAnsi="Book Antiqua"/>
          <w:b/>
          <w:sz w:val="28"/>
          <w:szCs w:val="28"/>
        </w:rPr>
      </w:pPr>
      <w:r w:rsidRPr="00C27388">
        <w:rPr>
          <w:rFonts w:ascii="Book Antiqua" w:hAnsi="Book Antiqua"/>
          <w:b/>
          <w:sz w:val="28"/>
          <w:szCs w:val="28"/>
        </w:rPr>
        <w:t>Discussion</w:t>
      </w:r>
      <w:r w:rsidR="00517CA0">
        <w:rPr>
          <w:rFonts w:ascii="Book Antiqua" w:hAnsi="Book Antiqua"/>
          <w:b/>
          <w:sz w:val="28"/>
          <w:szCs w:val="28"/>
        </w:rPr>
        <w:t xml:space="preserve"> and Conclusion</w:t>
      </w:r>
    </w:p>
    <w:p w:rsidR="00D04538" w:rsidRDefault="00D04538" w:rsidP="008D344A">
      <w:pPr>
        <w:pStyle w:val="NoSpacing"/>
        <w:rPr>
          <w:b/>
        </w:rPr>
      </w:pPr>
    </w:p>
    <w:p w:rsidR="00406A5E" w:rsidRPr="00DE1E11" w:rsidRDefault="00D04538" w:rsidP="00865F50">
      <w:pPr>
        <w:pStyle w:val="NoSpacing"/>
        <w:jc w:val="both"/>
        <w:rPr>
          <w:rFonts w:ascii="Palatino Linotype" w:hAnsi="Palatino Linotype"/>
          <w:color w:val="231F20"/>
          <w:w w:val="110"/>
          <w:sz w:val="20"/>
          <w:szCs w:val="20"/>
        </w:rPr>
      </w:pPr>
      <w:r>
        <w:rPr>
          <w:b/>
        </w:rPr>
        <w:t xml:space="preserve">  </w:t>
      </w:r>
      <w:r w:rsidR="00211B42">
        <w:rPr>
          <w:rFonts w:ascii="Palatino Linotype" w:hAnsi="Palatino Linotype"/>
          <w:color w:val="231F20"/>
          <w:w w:val="110"/>
          <w:sz w:val="20"/>
          <w:szCs w:val="20"/>
        </w:rPr>
        <w:t>I</w:t>
      </w:r>
      <w:r w:rsidR="00156EFD">
        <w:rPr>
          <w:rFonts w:ascii="Palatino Linotype" w:hAnsi="Palatino Linotype"/>
          <w:color w:val="231F20"/>
          <w:w w:val="110"/>
          <w:sz w:val="20"/>
          <w:szCs w:val="20"/>
        </w:rPr>
        <w:t>dentifying</w:t>
      </w:r>
      <w:r w:rsidR="000446E6" w:rsidRPr="00FE1667">
        <w:rPr>
          <w:rFonts w:ascii="Palatino Linotype" w:hAnsi="Palatino Linotype"/>
          <w:color w:val="231F20"/>
          <w:w w:val="110"/>
          <w:sz w:val="20"/>
          <w:szCs w:val="20"/>
        </w:rPr>
        <w:t xml:space="preserve"> </w:t>
      </w:r>
      <w:r w:rsidR="00211B42">
        <w:rPr>
          <w:rFonts w:ascii="Palatino Linotype" w:hAnsi="Palatino Linotype"/>
          <w:color w:val="231F20"/>
          <w:w w:val="110"/>
          <w:sz w:val="20"/>
          <w:szCs w:val="20"/>
        </w:rPr>
        <w:t>d</w:t>
      </w:r>
      <w:r w:rsidR="000446E6" w:rsidRPr="00FE1667">
        <w:rPr>
          <w:rFonts w:ascii="Palatino Linotype" w:hAnsi="Palatino Linotype"/>
          <w:color w:val="231F20"/>
          <w:w w:val="110"/>
          <w:sz w:val="20"/>
          <w:szCs w:val="20"/>
        </w:rPr>
        <w:t xml:space="preserve">ifferentially </w:t>
      </w:r>
      <w:r w:rsidR="00211B42">
        <w:rPr>
          <w:rFonts w:ascii="Palatino Linotype" w:hAnsi="Palatino Linotype"/>
          <w:color w:val="231F20"/>
          <w:w w:val="110"/>
          <w:sz w:val="20"/>
          <w:szCs w:val="20"/>
        </w:rPr>
        <w:t>m</w:t>
      </w:r>
      <w:r w:rsidR="000446E6" w:rsidRPr="00FE1667">
        <w:rPr>
          <w:rFonts w:ascii="Palatino Linotype" w:hAnsi="Palatino Linotype"/>
          <w:color w:val="231F20"/>
          <w:w w:val="110"/>
          <w:sz w:val="20"/>
          <w:szCs w:val="20"/>
        </w:rPr>
        <w:t xml:space="preserve">ethylation </w:t>
      </w:r>
      <w:r w:rsidR="00211B42">
        <w:rPr>
          <w:rFonts w:ascii="Palatino Linotype" w:hAnsi="Palatino Linotype"/>
          <w:color w:val="231F20"/>
          <w:w w:val="110"/>
          <w:sz w:val="20"/>
          <w:szCs w:val="20"/>
        </w:rPr>
        <w:t>r</w:t>
      </w:r>
      <w:r w:rsidR="000446E6" w:rsidRPr="00FE1667">
        <w:rPr>
          <w:rFonts w:ascii="Palatino Linotype" w:hAnsi="Palatino Linotype"/>
          <w:color w:val="231F20"/>
          <w:w w:val="110"/>
          <w:sz w:val="20"/>
          <w:szCs w:val="20"/>
        </w:rPr>
        <w:t xml:space="preserve">egions </w:t>
      </w:r>
      <w:r w:rsidR="00156EFD">
        <w:rPr>
          <w:rFonts w:ascii="Palatino Linotype" w:hAnsi="Palatino Linotype"/>
          <w:color w:val="231F20"/>
          <w:w w:val="110"/>
          <w:sz w:val="20"/>
          <w:szCs w:val="20"/>
        </w:rPr>
        <w:t>is a latest topic of interest</w:t>
      </w:r>
      <w:r w:rsidR="000446E6" w:rsidRPr="00FE1667">
        <w:rPr>
          <w:rFonts w:ascii="Palatino Linotype" w:hAnsi="Palatino Linotype"/>
          <w:color w:val="231F20"/>
          <w:w w:val="110"/>
          <w:sz w:val="20"/>
          <w:szCs w:val="20"/>
        </w:rPr>
        <w:t xml:space="preserve">. </w:t>
      </w:r>
      <w:r w:rsidR="00211B42">
        <w:rPr>
          <w:rFonts w:ascii="Palatino Linotype" w:hAnsi="Palatino Linotype"/>
          <w:color w:val="231F20"/>
          <w:w w:val="110"/>
          <w:sz w:val="20"/>
          <w:szCs w:val="20"/>
        </w:rPr>
        <w:t>As per r</w:t>
      </w:r>
      <w:r w:rsidR="00211B42" w:rsidRPr="00FE1667">
        <w:rPr>
          <w:rFonts w:ascii="Palatino Linotype" w:hAnsi="Palatino Linotype"/>
          <w:color w:val="231F20"/>
          <w:w w:val="110"/>
          <w:sz w:val="20"/>
          <w:szCs w:val="20"/>
        </w:rPr>
        <w:t>ecent findings</w:t>
      </w:r>
      <w:r w:rsidR="00211B42">
        <w:rPr>
          <w:rFonts w:ascii="Palatino Linotype" w:hAnsi="Palatino Linotype"/>
          <w:color w:val="231F20"/>
          <w:w w:val="110"/>
          <w:sz w:val="20"/>
          <w:szCs w:val="20"/>
        </w:rPr>
        <w:t>,</w:t>
      </w:r>
      <w:r w:rsidR="00211B42" w:rsidRPr="00FE1667">
        <w:rPr>
          <w:rFonts w:ascii="Palatino Linotype" w:hAnsi="Palatino Linotype"/>
          <w:color w:val="231F20"/>
          <w:w w:val="110"/>
          <w:sz w:val="20"/>
          <w:szCs w:val="20"/>
        </w:rPr>
        <w:t xml:space="preserve"> </w:t>
      </w:r>
      <w:r w:rsidR="00211B42">
        <w:rPr>
          <w:rFonts w:ascii="Palatino Linotype" w:hAnsi="Palatino Linotype"/>
          <w:color w:val="231F20"/>
          <w:w w:val="110"/>
          <w:sz w:val="20"/>
          <w:szCs w:val="20"/>
        </w:rPr>
        <w:t>a</w:t>
      </w:r>
      <w:r w:rsidR="000446E6" w:rsidRPr="00FE1667">
        <w:rPr>
          <w:rFonts w:ascii="Palatino Linotype" w:hAnsi="Palatino Linotype"/>
          <w:color w:val="231F20"/>
          <w:w w:val="110"/>
          <w:sz w:val="20"/>
          <w:szCs w:val="20"/>
        </w:rPr>
        <w:t xml:space="preserve"> very </w:t>
      </w:r>
      <w:r w:rsidR="00211B42">
        <w:rPr>
          <w:rFonts w:ascii="Palatino Linotype" w:hAnsi="Palatino Linotype"/>
          <w:color w:val="231F20"/>
          <w:w w:val="110"/>
          <w:sz w:val="20"/>
          <w:szCs w:val="20"/>
        </w:rPr>
        <w:t>few</w:t>
      </w:r>
      <w:r w:rsidR="000446E6" w:rsidRPr="00FE1667">
        <w:rPr>
          <w:rFonts w:ascii="Palatino Linotype" w:hAnsi="Palatino Linotype"/>
          <w:color w:val="231F20"/>
          <w:w w:val="110"/>
          <w:sz w:val="20"/>
          <w:szCs w:val="20"/>
        </w:rPr>
        <w:t xml:space="preserve"> previous studies has been </w:t>
      </w:r>
      <w:r w:rsidR="00211B42">
        <w:rPr>
          <w:rFonts w:ascii="Palatino Linotype" w:hAnsi="Palatino Linotype"/>
          <w:color w:val="231F20"/>
          <w:w w:val="110"/>
          <w:sz w:val="20"/>
          <w:szCs w:val="20"/>
        </w:rPr>
        <w:t>conducted</w:t>
      </w:r>
      <w:r w:rsidR="000446E6" w:rsidRPr="00FE1667">
        <w:rPr>
          <w:rFonts w:ascii="Palatino Linotype" w:hAnsi="Palatino Linotype"/>
          <w:color w:val="231F20"/>
          <w:w w:val="110"/>
          <w:sz w:val="20"/>
          <w:szCs w:val="20"/>
        </w:rPr>
        <w:t xml:space="preserve"> </w:t>
      </w:r>
      <w:r w:rsidR="00211B42">
        <w:rPr>
          <w:rFonts w:ascii="Palatino Linotype" w:hAnsi="Palatino Linotype"/>
          <w:color w:val="231F20"/>
          <w:w w:val="110"/>
          <w:sz w:val="20"/>
          <w:szCs w:val="20"/>
        </w:rPr>
        <w:t>to</w:t>
      </w:r>
      <w:r w:rsidR="000446E6" w:rsidRPr="00FE1667">
        <w:rPr>
          <w:rFonts w:ascii="Palatino Linotype" w:hAnsi="Palatino Linotype"/>
          <w:color w:val="231F20"/>
          <w:w w:val="110"/>
          <w:sz w:val="20"/>
          <w:szCs w:val="20"/>
        </w:rPr>
        <w:t xml:space="preserve"> compar</w:t>
      </w:r>
      <w:r w:rsidR="00211B42">
        <w:rPr>
          <w:rFonts w:ascii="Palatino Linotype" w:hAnsi="Palatino Linotype"/>
          <w:color w:val="231F20"/>
          <w:w w:val="110"/>
          <w:sz w:val="20"/>
          <w:szCs w:val="20"/>
        </w:rPr>
        <w:t>e</w:t>
      </w:r>
      <w:r w:rsidR="000446E6" w:rsidRPr="00FE1667">
        <w:rPr>
          <w:rFonts w:ascii="Palatino Linotype" w:hAnsi="Palatino Linotype"/>
          <w:color w:val="231F20"/>
          <w:w w:val="110"/>
          <w:sz w:val="20"/>
          <w:szCs w:val="20"/>
        </w:rPr>
        <w:t xml:space="preserve"> the </w:t>
      </w:r>
      <w:r w:rsidR="00CF24A6">
        <w:rPr>
          <w:rFonts w:ascii="Palatino Linotype" w:hAnsi="Palatino Linotype"/>
          <w:color w:val="231F20"/>
          <w:w w:val="110"/>
          <w:sz w:val="20"/>
          <w:szCs w:val="20"/>
        </w:rPr>
        <w:t xml:space="preserve">DMR finding </w:t>
      </w:r>
      <w:r w:rsidR="000446E6" w:rsidRPr="00FE1667">
        <w:rPr>
          <w:rFonts w:ascii="Palatino Linotype" w:hAnsi="Palatino Linotype"/>
          <w:color w:val="231F20"/>
          <w:w w:val="110"/>
          <w:sz w:val="20"/>
          <w:szCs w:val="20"/>
        </w:rPr>
        <w:t xml:space="preserve">methods for predefined regions. </w:t>
      </w:r>
      <w:r w:rsidR="000A6305">
        <w:rPr>
          <w:rFonts w:ascii="Palatino Linotype" w:hAnsi="Palatino Linotype"/>
          <w:color w:val="231F20"/>
          <w:w w:val="110"/>
          <w:sz w:val="20"/>
          <w:szCs w:val="20"/>
        </w:rPr>
        <w:t>Moreover</w:t>
      </w:r>
      <w:r w:rsidR="000446E6" w:rsidRPr="00FE1667">
        <w:rPr>
          <w:rFonts w:ascii="Palatino Linotype" w:hAnsi="Palatino Linotype"/>
          <w:color w:val="231F20"/>
          <w:w w:val="110"/>
          <w:sz w:val="20"/>
          <w:szCs w:val="20"/>
        </w:rPr>
        <w:t xml:space="preserve">, there is a lack of systematic evaluation of methods that analyze user defined regions. </w:t>
      </w:r>
      <w:r w:rsidR="000A6305">
        <w:rPr>
          <w:rFonts w:ascii="Palatino Linotype" w:hAnsi="Palatino Linotype"/>
          <w:color w:val="231F20"/>
          <w:w w:val="110"/>
          <w:sz w:val="20"/>
          <w:szCs w:val="20"/>
        </w:rPr>
        <w:t>Therefore</w:t>
      </w:r>
      <w:r w:rsidR="000446E6" w:rsidRPr="00FE1667">
        <w:rPr>
          <w:rFonts w:ascii="Palatino Linotype" w:hAnsi="Palatino Linotype"/>
          <w:color w:val="231F20"/>
          <w:w w:val="110"/>
          <w:sz w:val="20"/>
          <w:szCs w:val="20"/>
        </w:rPr>
        <w:t xml:space="preserve">, in this article, we conducted a comprehensive evaluation of the most popular software tools for user defined DMR analysis, including </w:t>
      </w:r>
      <w:proofErr w:type="spellStart"/>
      <w:r w:rsidR="000446E6" w:rsidRPr="00FE1667">
        <w:rPr>
          <w:rFonts w:ascii="Palatino Linotype" w:hAnsi="Palatino Linotype"/>
          <w:color w:val="231F20"/>
          <w:w w:val="110"/>
          <w:sz w:val="20"/>
          <w:szCs w:val="20"/>
        </w:rPr>
        <w:t>DMRcate</w:t>
      </w:r>
      <w:proofErr w:type="spellEnd"/>
      <w:r w:rsidR="000446E6" w:rsidRPr="00FE1667">
        <w:rPr>
          <w:rFonts w:ascii="Palatino Linotype" w:hAnsi="Palatino Linotype"/>
          <w:color w:val="231F20"/>
          <w:w w:val="110"/>
          <w:sz w:val="20"/>
          <w:szCs w:val="20"/>
        </w:rPr>
        <w:t xml:space="preserve">, </w:t>
      </w:r>
      <w:proofErr w:type="spellStart"/>
      <w:r w:rsidR="000446E6" w:rsidRPr="00FE1667">
        <w:rPr>
          <w:rFonts w:ascii="Palatino Linotype" w:hAnsi="Palatino Linotype"/>
          <w:color w:val="231F20"/>
          <w:w w:val="110"/>
          <w:sz w:val="20"/>
          <w:szCs w:val="20"/>
        </w:rPr>
        <w:t>ProbeLasso</w:t>
      </w:r>
      <w:proofErr w:type="spellEnd"/>
      <w:r w:rsidR="000446E6" w:rsidRPr="00FE1667">
        <w:rPr>
          <w:rFonts w:ascii="Palatino Linotype" w:hAnsi="Palatino Linotype"/>
          <w:color w:val="231F20"/>
          <w:w w:val="110"/>
          <w:sz w:val="20"/>
          <w:szCs w:val="20"/>
        </w:rPr>
        <w:t xml:space="preserve">, </w:t>
      </w:r>
      <w:proofErr w:type="spellStart"/>
      <w:r w:rsidR="000446E6" w:rsidRPr="00FE1667">
        <w:rPr>
          <w:rFonts w:ascii="Palatino Linotype" w:hAnsi="Palatino Linotype"/>
          <w:color w:val="231F20"/>
          <w:w w:val="110"/>
          <w:sz w:val="20"/>
          <w:szCs w:val="20"/>
        </w:rPr>
        <w:t>Bumphunting</w:t>
      </w:r>
      <w:proofErr w:type="spellEnd"/>
      <w:r w:rsidR="000446E6" w:rsidRPr="00FE1667">
        <w:rPr>
          <w:rFonts w:ascii="Palatino Linotype" w:hAnsi="Palatino Linotype"/>
          <w:color w:val="231F20"/>
          <w:w w:val="110"/>
          <w:sz w:val="20"/>
          <w:szCs w:val="20"/>
        </w:rPr>
        <w:t xml:space="preserve"> and </w:t>
      </w:r>
      <w:r w:rsidR="00D30DC1">
        <w:rPr>
          <w:rFonts w:ascii="Palatino Linotype" w:hAnsi="Palatino Linotype"/>
          <w:color w:val="231F20"/>
          <w:w w:val="110"/>
          <w:sz w:val="20"/>
          <w:szCs w:val="20"/>
        </w:rPr>
        <w:t>C</w:t>
      </w:r>
      <w:r w:rsidR="000446E6" w:rsidRPr="00FE1667">
        <w:rPr>
          <w:rFonts w:ascii="Palatino Linotype" w:hAnsi="Palatino Linotype"/>
          <w:color w:val="231F20"/>
          <w:w w:val="110"/>
          <w:sz w:val="20"/>
          <w:szCs w:val="20"/>
        </w:rPr>
        <w:t xml:space="preserve">omb-p. </w:t>
      </w:r>
      <w:r w:rsidR="00C37DF5">
        <w:rPr>
          <w:rFonts w:ascii="Palatino Linotype" w:hAnsi="Palatino Linotype"/>
          <w:color w:val="231F20"/>
          <w:w w:val="110"/>
          <w:sz w:val="20"/>
          <w:szCs w:val="20"/>
        </w:rPr>
        <w:t>F</w:t>
      </w:r>
      <w:r w:rsidR="00B821A4">
        <w:rPr>
          <w:rFonts w:ascii="Palatino Linotype" w:hAnsi="Palatino Linotype"/>
          <w:color w:val="231F20"/>
          <w:w w:val="110"/>
          <w:sz w:val="20"/>
          <w:szCs w:val="20"/>
        </w:rPr>
        <w:t>irst</w:t>
      </w:r>
      <w:r w:rsidR="00C37DF5">
        <w:rPr>
          <w:rFonts w:ascii="Palatino Linotype" w:hAnsi="Palatino Linotype"/>
          <w:color w:val="231F20"/>
          <w:w w:val="110"/>
          <w:sz w:val="20"/>
          <w:szCs w:val="20"/>
        </w:rPr>
        <w:t xml:space="preserve"> of all</w:t>
      </w:r>
      <w:r w:rsidR="00406A5E" w:rsidRPr="00406A5E">
        <w:rPr>
          <w:rFonts w:ascii="Palatino Linotype" w:hAnsi="Palatino Linotype"/>
          <w:color w:val="231F20"/>
          <w:w w:val="110"/>
          <w:sz w:val="20"/>
          <w:szCs w:val="20"/>
        </w:rPr>
        <w:t xml:space="preserve">, </w:t>
      </w:r>
      <w:r w:rsidR="00E307E7">
        <w:rPr>
          <w:rFonts w:ascii="Palatino Linotype" w:hAnsi="Palatino Linotype"/>
          <w:color w:val="231F20"/>
          <w:w w:val="110"/>
          <w:sz w:val="20"/>
          <w:szCs w:val="20"/>
        </w:rPr>
        <w:t>w</w:t>
      </w:r>
      <w:r w:rsidR="00E307E7" w:rsidRPr="00C41992">
        <w:rPr>
          <w:rFonts w:ascii="Palatino Linotype" w:hAnsi="Palatino Linotype"/>
          <w:color w:val="231F20"/>
          <w:w w:val="110"/>
          <w:sz w:val="20"/>
          <w:szCs w:val="20"/>
        </w:rPr>
        <w:t xml:space="preserve">e applied A-clustering to the 14 </w:t>
      </w:r>
      <w:r w:rsidR="00E307E7">
        <w:rPr>
          <w:rFonts w:ascii="Palatino Linotype" w:hAnsi="Palatino Linotype"/>
          <w:color w:val="231F20"/>
          <w:w w:val="110"/>
          <w:sz w:val="20"/>
          <w:szCs w:val="20"/>
        </w:rPr>
        <w:t>healthy control</w:t>
      </w:r>
      <w:r w:rsidR="00E307E7" w:rsidRPr="00C41992">
        <w:rPr>
          <w:rFonts w:ascii="Palatino Linotype" w:hAnsi="Palatino Linotype"/>
          <w:color w:val="231F20"/>
          <w:w w:val="110"/>
          <w:sz w:val="20"/>
          <w:szCs w:val="20"/>
        </w:rPr>
        <w:t xml:space="preserve"> samples </w:t>
      </w:r>
      <w:r w:rsidR="00E307E7" w:rsidRPr="00406A5E">
        <w:rPr>
          <w:rFonts w:ascii="Palatino Linotype" w:hAnsi="Palatino Linotype"/>
          <w:color w:val="231F20"/>
          <w:w w:val="110"/>
          <w:sz w:val="20"/>
          <w:szCs w:val="20"/>
        </w:rPr>
        <w:t>with similar ages</w:t>
      </w:r>
      <w:r w:rsidR="00E307E7" w:rsidRPr="00C41992">
        <w:rPr>
          <w:rFonts w:ascii="Palatino Linotype" w:hAnsi="Palatino Linotype"/>
          <w:color w:val="231F20"/>
          <w:w w:val="110"/>
          <w:sz w:val="20"/>
          <w:szCs w:val="20"/>
        </w:rPr>
        <w:t xml:space="preserve"> to obtain a total of 3,063 clusters, each consisting of at least 5 adjacent </w:t>
      </w:r>
      <w:proofErr w:type="spellStart"/>
      <w:r w:rsidR="00E307E7" w:rsidRPr="00C41992">
        <w:rPr>
          <w:rFonts w:ascii="Palatino Linotype" w:hAnsi="Palatino Linotype"/>
          <w:color w:val="231F20"/>
          <w:w w:val="110"/>
          <w:sz w:val="20"/>
          <w:szCs w:val="20"/>
        </w:rPr>
        <w:t>CpGs</w:t>
      </w:r>
      <w:proofErr w:type="spellEnd"/>
      <w:r w:rsidR="00E307E7" w:rsidRPr="00C41992">
        <w:rPr>
          <w:rFonts w:ascii="Palatino Linotype" w:hAnsi="Palatino Linotype"/>
          <w:color w:val="231F20"/>
          <w:w w:val="110"/>
          <w:sz w:val="20"/>
          <w:szCs w:val="20"/>
        </w:rPr>
        <w:t>.</w:t>
      </w:r>
      <w:r w:rsidR="00A80762">
        <w:rPr>
          <w:rFonts w:ascii="Palatino Linotype" w:hAnsi="Palatino Linotype"/>
          <w:color w:val="231F20"/>
          <w:w w:val="110"/>
          <w:sz w:val="20"/>
          <w:szCs w:val="20"/>
        </w:rPr>
        <w:t xml:space="preserve"> </w:t>
      </w:r>
      <w:r w:rsidR="00406A5E" w:rsidRPr="00406A5E">
        <w:rPr>
          <w:rFonts w:ascii="Palatino Linotype" w:hAnsi="Palatino Linotype"/>
          <w:color w:val="231F20"/>
          <w:w w:val="110"/>
          <w:sz w:val="20"/>
          <w:szCs w:val="20"/>
        </w:rPr>
        <w:t xml:space="preserve">The </w:t>
      </w:r>
      <w:r w:rsidR="001C600A">
        <w:rPr>
          <w:rFonts w:ascii="Palatino Linotype" w:hAnsi="Palatino Linotype"/>
          <w:color w:val="231F20"/>
          <w:w w:val="110"/>
          <w:sz w:val="20"/>
          <w:szCs w:val="20"/>
        </w:rPr>
        <w:t>above</w:t>
      </w:r>
      <w:r w:rsidR="00406A5E" w:rsidRPr="00406A5E">
        <w:rPr>
          <w:rFonts w:ascii="Palatino Linotype" w:hAnsi="Palatino Linotype"/>
          <w:color w:val="231F20"/>
          <w:w w:val="110"/>
          <w:sz w:val="20"/>
          <w:szCs w:val="20"/>
        </w:rPr>
        <w:t xml:space="preserve"> samples were </w:t>
      </w:r>
      <w:r w:rsidR="00C37DF5">
        <w:rPr>
          <w:rFonts w:ascii="Palatino Linotype" w:hAnsi="Palatino Linotype"/>
          <w:color w:val="231F20"/>
          <w:w w:val="110"/>
          <w:sz w:val="20"/>
          <w:szCs w:val="20"/>
        </w:rPr>
        <w:t xml:space="preserve">then </w:t>
      </w:r>
      <w:r w:rsidR="00406A5E" w:rsidRPr="00406A5E">
        <w:rPr>
          <w:rFonts w:ascii="Palatino Linotype" w:hAnsi="Palatino Linotype"/>
          <w:color w:val="231F20"/>
          <w:w w:val="110"/>
          <w:sz w:val="20"/>
          <w:szCs w:val="20"/>
        </w:rPr>
        <w:t>randomly divided into two groups</w:t>
      </w:r>
      <w:r w:rsidR="001C600A">
        <w:rPr>
          <w:rFonts w:ascii="Palatino Linotype" w:hAnsi="Palatino Linotype"/>
          <w:color w:val="231F20"/>
          <w:w w:val="110"/>
          <w:sz w:val="20"/>
          <w:szCs w:val="20"/>
        </w:rPr>
        <w:t>,</w:t>
      </w:r>
      <w:r w:rsidR="00406A5E" w:rsidRPr="00406A5E">
        <w:rPr>
          <w:rFonts w:ascii="Palatino Linotype" w:hAnsi="Palatino Linotype"/>
          <w:color w:val="231F20"/>
          <w:w w:val="110"/>
          <w:sz w:val="20"/>
          <w:szCs w:val="20"/>
        </w:rPr>
        <w:t xml:space="preserve"> and differential methylation of a small subset of the clusters were simulated by adding a small number to beta values in one of the groups</w:t>
      </w:r>
      <w:r w:rsidR="0090405B">
        <w:rPr>
          <w:rFonts w:ascii="Palatino Linotype" w:hAnsi="Palatino Linotype"/>
          <w:color w:val="231F20"/>
          <w:w w:val="110"/>
          <w:sz w:val="20"/>
          <w:szCs w:val="20"/>
        </w:rPr>
        <w:t xml:space="preserve"> that contain</w:t>
      </w:r>
      <w:r w:rsidR="0056109A">
        <w:rPr>
          <w:rFonts w:ascii="Palatino Linotype" w:hAnsi="Palatino Linotype"/>
          <w:color w:val="231F20"/>
          <w:w w:val="110"/>
          <w:sz w:val="20"/>
          <w:szCs w:val="20"/>
        </w:rPr>
        <w:t>s</w:t>
      </w:r>
      <w:r w:rsidR="0090405B">
        <w:rPr>
          <w:rFonts w:ascii="Palatino Linotype" w:hAnsi="Palatino Linotype"/>
          <w:color w:val="231F20"/>
          <w:w w:val="110"/>
          <w:sz w:val="20"/>
          <w:szCs w:val="20"/>
        </w:rPr>
        <w:t xml:space="preserve"> higher mean beta-value</w:t>
      </w:r>
      <w:r w:rsidR="00406A5E" w:rsidRPr="00406A5E">
        <w:rPr>
          <w:rFonts w:ascii="Palatino Linotype" w:hAnsi="Palatino Linotype"/>
          <w:color w:val="231F20"/>
          <w:w w:val="110"/>
          <w:sz w:val="20"/>
          <w:szCs w:val="20"/>
        </w:rPr>
        <w:t>.</w:t>
      </w:r>
      <w:r w:rsidR="00F0760E">
        <w:rPr>
          <w:rFonts w:ascii="Palatino Linotype" w:hAnsi="Palatino Linotype"/>
          <w:color w:val="231F20"/>
          <w:w w:val="110"/>
          <w:sz w:val="20"/>
          <w:szCs w:val="20"/>
        </w:rPr>
        <w:t xml:space="preserve"> Next, we r</w:t>
      </w:r>
      <w:r w:rsidR="00C82738">
        <w:rPr>
          <w:rFonts w:ascii="Palatino Linotype" w:hAnsi="Palatino Linotype"/>
          <w:color w:val="231F20"/>
          <w:w w:val="110"/>
          <w:sz w:val="20"/>
          <w:szCs w:val="20"/>
        </w:rPr>
        <w:t>a</w:t>
      </w:r>
      <w:r w:rsidR="00F0760E">
        <w:rPr>
          <w:rFonts w:ascii="Palatino Linotype" w:hAnsi="Palatino Linotype"/>
          <w:color w:val="231F20"/>
          <w:w w:val="110"/>
          <w:sz w:val="20"/>
          <w:szCs w:val="20"/>
        </w:rPr>
        <w:t>n the aforementioned four methods with default parameters to identify DMRs.</w:t>
      </w:r>
      <w:r w:rsidR="00DC5CA4">
        <w:rPr>
          <w:rFonts w:ascii="Palatino Linotype" w:hAnsi="Palatino Linotype"/>
          <w:color w:val="231F20"/>
          <w:w w:val="110"/>
          <w:sz w:val="20"/>
          <w:szCs w:val="20"/>
        </w:rPr>
        <w:t xml:space="preserve"> Of note, for evaluation, we utilized three metrics (viz., TP, FP and FN), and several criteria such as power, precision, time, DMR overlap, DMR co-methylation, </w:t>
      </w:r>
      <w:r w:rsidR="006278C3">
        <w:rPr>
          <w:rFonts w:ascii="Palatino Linotype" w:hAnsi="Palatino Linotype"/>
          <w:color w:val="231F20"/>
          <w:w w:val="110"/>
          <w:sz w:val="20"/>
          <w:szCs w:val="20"/>
        </w:rPr>
        <w:t xml:space="preserve">and </w:t>
      </w:r>
      <w:proofErr w:type="spellStart"/>
      <w:r w:rsidR="006278C3">
        <w:rPr>
          <w:rFonts w:ascii="Palatino Linotype" w:hAnsi="Palatino Linotype"/>
          <w:color w:val="231F20"/>
          <w:w w:val="110"/>
          <w:sz w:val="20"/>
          <w:szCs w:val="20"/>
        </w:rPr>
        <w:t>DMRsize</w:t>
      </w:r>
      <w:proofErr w:type="spellEnd"/>
      <w:r w:rsidR="006278C3">
        <w:rPr>
          <w:rFonts w:ascii="Palatino Linotype" w:hAnsi="Palatino Linotype"/>
          <w:color w:val="231F20"/>
          <w:w w:val="110"/>
          <w:sz w:val="20"/>
          <w:szCs w:val="20"/>
        </w:rPr>
        <w:t>.</w:t>
      </w:r>
      <w:r w:rsidR="001B75C2">
        <w:rPr>
          <w:rFonts w:ascii="Palatino Linotype" w:hAnsi="Palatino Linotype"/>
          <w:color w:val="231F20"/>
          <w:w w:val="110"/>
          <w:sz w:val="20"/>
          <w:szCs w:val="20"/>
        </w:rPr>
        <w:t xml:space="preserve"> </w:t>
      </w:r>
      <w:r w:rsidR="00DC5CA4">
        <w:rPr>
          <w:rFonts w:ascii="Palatino Linotype" w:hAnsi="Palatino Linotype"/>
          <w:color w:val="231F20"/>
          <w:w w:val="110"/>
          <w:sz w:val="20"/>
          <w:szCs w:val="20"/>
        </w:rPr>
        <w:t xml:space="preserve"> </w:t>
      </w:r>
      <w:r w:rsidR="006F5F13">
        <w:rPr>
          <w:rFonts w:ascii="Palatino Linotype" w:hAnsi="Palatino Linotype"/>
          <w:color w:val="231F20"/>
          <w:w w:val="110"/>
          <w:sz w:val="20"/>
          <w:szCs w:val="20"/>
        </w:rPr>
        <w:t xml:space="preserve">From the outcome, it has been observed </w:t>
      </w:r>
      <w:r w:rsidR="00336853">
        <w:rPr>
          <w:rFonts w:ascii="Palatino Linotype" w:hAnsi="Palatino Linotype"/>
          <w:color w:val="231F20"/>
          <w:w w:val="110"/>
          <w:sz w:val="20"/>
          <w:szCs w:val="20"/>
        </w:rPr>
        <w:t>that</w:t>
      </w:r>
      <w:r w:rsidR="009A5B4E">
        <w:rPr>
          <w:rFonts w:ascii="Palatino Linotype" w:hAnsi="Palatino Linotype"/>
          <w:color w:val="231F20"/>
          <w:w w:val="110"/>
          <w:sz w:val="20"/>
          <w:szCs w:val="20"/>
        </w:rPr>
        <w:t xml:space="preserve"> </w:t>
      </w:r>
      <w:r w:rsidR="00BD5E7F">
        <w:rPr>
          <w:rFonts w:ascii="Palatino Linotype" w:hAnsi="Palatino Linotype"/>
          <w:color w:val="231F20"/>
          <w:w w:val="110"/>
          <w:sz w:val="20"/>
          <w:szCs w:val="20"/>
        </w:rPr>
        <w:t xml:space="preserve">for the power estimation, </w:t>
      </w:r>
      <w:proofErr w:type="spellStart"/>
      <w:r w:rsidR="00BD5E7F">
        <w:rPr>
          <w:rFonts w:ascii="Palatino Linotype" w:hAnsi="Palatino Linotype"/>
          <w:color w:val="231F20"/>
          <w:w w:val="110"/>
          <w:sz w:val="20"/>
          <w:szCs w:val="20"/>
        </w:rPr>
        <w:t>Bumphunter</w:t>
      </w:r>
      <w:proofErr w:type="spellEnd"/>
      <w:r w:rsidR="00BD5E7F">
        <w:rPr>
          <w:rFonts w:ascii="Palatino Linotype" w:hAnsi="Palatino Linotype"/>
          <w:color w:val="231F20"/>
          <w:w w:val="110"/>
          <w:sz w:val="20"/>
          <w:szCs w:val="20"/>
        </w:rPr>
        <w:t xml:space="preserve"> is best, where for the precision, Comb-p and </w:t>
      </w:r>
      <w:proofErr w:type="spellStart"/>
      <w:r w:rsidR="00BD5E7F">
        <w:rPr>
          <w:rFonts w:ascii="Palatino Linotype" w:hAnsi="Palatino Linotype"/>
          <w:color w:val="231F20"/>
          <w:w w:val="110"/>
          <w:sz w:val="20"/>
          <w:szCs w:val="20"/>
        </w:rPr>
        <w:t>DMRcate</w:t>
      </w:r>
      <w:proofErr w:type="spellEnd"/>
      <w:r w:rsidR="00BD5E7F">
        <w:rPr>
          <w:rFonts w:ascii="Palatino Linotype" w:hAnsi="Palatino Linotype"/>
          <w:color w:val="231F20"/>
          <w:w w:val="110"/>
          <w:sz w:val="20"/>
          <w:szCs w:val="20"/>
        </w:rPr>
        <w:t xml:space="preserve"> performed best. </w:t>
      </w:r>
      <w:r w:rsidR="002E539B">
        <w:rPr>
          <w:rFonts w:ascii="Palatino Linotype" w:hAnsi="Palatino Linotype"/>
          <w:color w:val="231F20"/>
          <w:w w:val="110"/>
          <w:sz w:val="20"/>
          <w:szCs w:val="20"/>
        </w:rPr>
        <w:t xml:space="preserve">For co-methylation, </w:t>
      </w:r>
      <w:proofErr w:type="spellStart"/>
      <w:r w:rsidR="002F7A4D">
        <w:rPr>
          <w:rFonts w:ascii="Palatino Linotype" w:hAnsi="Palatino Linotype"/>
          <w:color w:val="231F20"/>
          <w:w w:val="110"/>
          <w:sz w:val="20"/>
          <w:szCs w:val="20"/>
        </w:rPr>
        <w:t>Bumphunter</w:t>
      </w:r>
      <w:proofErr w:type="spellEnd"/>
      <w:r w:rsidR="002F7A4D">
        <w:rPr>
          <w:rFonts w:ascii="Palatino Linotype" w:hAnsi="Palatino Linotype"/>
          <w:color w:val="231F20"/>
          <w:w w:val="110"/>
          <w:sz w:val="20"/>
          <w:szCs w:val="20"/>
        </w:rPr>
        <w:t xml:space="preserve"> is best. In case of </w:t>
      </w:r>
      <w:proofErr w:type="spellStart"/>
      <w:r w:rsidR="002F7A4D">
        <w:rPr>
          <w:rFonts w:ascii="Palatino Linotype" w:hAnsi="Palatino Linotype"/>
          <w:color w:val="231F20"/>
          <w:w w:val="110"/>
          <w:sz w:val="20"/>
          <w:szCs w:val="20"/>
        </w:rPr>
        <w:t>DMRsize</w:t>
      </w:r>
      <w:proofErr w:type="spellEnd"/>
      <w:r w:rsidR="002F7A4D">
        <w:rPr>
          <w:rFonts w:ascii="Palatino Linotype" w:hAnsi="Palatino Linotype"/>
          <w:color w:val="231F20"/>
          <w:w w:val="110"/>
          <w:sz w:val="20"/>
          <w:szCs w:val="20"/>
        </w:rPr>
        <w:t xml:space="preserve">, </w:t>
      </w:r>
      <w:proofErr w:type="spellStart"/>
      <w:r w:rsidR="00E13DD1">
        <w:rPr>
          <w:rFonts w:ascii="Palatino Linotype" w:hAnsi="Palatino Linotype"/>
          <w:color w:val="231F20"/>
          <w:w w:val="110"/>
          <w:sz w:val="20"/>
          <w:szCs w:val="20"/>
        </w:rPr>
        <w:t>DMRcate</w:t>
      </w:r>
      <w:proofErr w:type="spellEnd"/>
      <w:r w:rsidR="00E13DD1">
        <w:rPr>
          <w:rFonts w:ascii="Palatino Linotype" w:hAnsi="Palatino Linotype"/>
          <w:color w:val="231F20"/>
          <w:w w:val="110"/>
          <w:sz w:val="20"/>
          <w:szCs w:val="20"/>
        </w:rPr>
        <w:t xml:space="preserve"> </w:t>
      </w:r>
      <w:r w:rsidR="00675943">
        <w:rPr>
          <w:rFonts w:ascii="Palatino Linotype" w:hAnsi="Palatino Linotype"/>
          <w:color w:val="231F20"/>
          <w:w w:val="110"/>
          <w:sz w:val="20"/>
          <w:szCs w:val="20"/>
        </w:rPr>
        <w:t xml:space="preserve">generated </w:t>
      </w:r>
      <w:r w:rsidR="00876B58">
        <w:rPr>
          <w:rFonts w:ascii="Palatino Linotype" w:hAnsi="Palatino Linotype"/>
          <w:color w:val="231F20"/>
          <w:w w:val="110"/>
          <w:sz w:val="20"/>
          <w:szCs w:val="20"/>
        </w:rPr>
        <w:t xml:space="preserve">maximum number of average </w:t>
      </w:r>
      <w:proofErr w:type="spellStart"/>
      <w:r w:rsidR="00876B58">
        <w:rPr>
          <w:rFonts w:ascii="Palatino Linotype" w:hAnsi="Palatino Linotype"/>
          <w:color w:val="231F20"/>
          <w:w w:val="110"/>
          <w:sz w:val="20"/>
          <w:szCs w:val="20"/>
        </w:rPr>
        <w:t>CpGs</w:t>
      </w:r>
      <w:proofErr w:type="spellEnd"/>
      <w:r w:rsidR="00AA6B62">
        <w:rPr>
          <w:rFonts w:ascii="Palatino Linotype" w:hAnsi="Palatino Linotype"/>
          <w:color w:val="231F20"/>
          <w:w w:val="110"/>
          <w:sz w:val="20"/>
          <w:szCs w:val="20"/>
        </w:rPr>
        <w:t xml:space="preserve"> </w:t>
      </w:r>
      <w:r w:rsidR="00377A48">
        <w:rPr>
          <w:rFonts w:ascii="Palatino Linotype" w:hAnsi="Palatino Linotype"/>
          <w:color w:val="231F20"/>
          <w:w w:val="110"/>
          <w:sz w:val="20"/>
          <w:szCs w:val="20"/>
        </w:rPr>
        <w:t>determined from the</w:t>
      </w:r>
      <w:r w:rsidR="00675943">
        <w:rPr>
          <w:rFonts w:ascii="Palatino Linotype" w:hAnsi="Palatino Linotype"/>
          <w:color w:val="231F20"/>
          <w:w w:val="110"/>
          <w:sz w:val="20"/>
          <w:szCs w:val="20"/>
        </w:rPr>
        <w:t xml:space="preserve"> </w:t>
      </w:r>
      <w:r w:rsidR="00D863D7">
        <w:rPr>
          <w:rFonts w:ascii="Palatino Linotype" w:hAnsi="Palatino Linotype"/>
          <w:color w:val="231F20"/>
          <w:w w:val="110"/>
          <w:sz w:val="20"/>
          <w:szCs w:val="20"/>
        </w:rPr>
        <w:t>specified number of top</w:t>
      </w:r>
      <w:r w:rsidR="00675943">
        <w:rPr>
          <w:rFonts w:ascii="Palatino Linotype" w:hAnsi="Palatino Linotype"/>
          <w:color w:val="231F20"/>
          <w:w w:val="110"/>
          <w:sz w:val="20"/>
          <w:szCs w:val="20"/>
        </w:rPr>
        <w:t xml:space="preserve"> resultant</w:t>
      </w:r>
      <w:r w:rsidR="00D863D7">
        <w:rPr>
          <w:rFonts w:ascii="Palatino Linotype" w:hAnsi="Palatino Linotype"/>
          <w:color w:val="231F20"/>
          <w:w w:val="110"/>
          <w:sz w:val="20"/>
          <w:szCs w:val="20"/>
        </w:rPr>
        <w:t xml:space="preserve"> </w:t>
      </w:r>
      <w:r w:rsidR="00675943">
        <w:rPr>
          <w:rFonts w:ascii="Palatino Linotype" w:hAnsi="Palatino Linotype"/>
          <w:color w:val="231F20"/>
          <w:w w:val="110"/>
          <w:sz w:val="20"/>
          <w:szCs w:val="20"/>
        </w:rPr>
        <w:t>DMRs</w:t>
      </w:r>
      <w:r w:rsidR="007D5339">
        <w:rPr>
          <w:rFonts w:ascii="Palatino Linotype" w:hAnsi="Palatino Linotype"/>
          <w:color w:val="231F20"/>
          <w:w w:val="110"/>
          <w:sz w:val="20"/>
          <w:szCs w:val="20"/>
        </w:rPr>
        <w:t xml:space="preserve">, whereas </w:t>
      </w:r>
      <w:proofErr w:type="spellStart"/>
      <w:r w:rsidR="004D1EBF">
        <w:rPr>
          <w:rFonts w:ascii="Palatino Linotype" w:hAnsi="Palatino Linotype"/>
          <w:color w:val="231F20"/>
          <w:w w:val="110"/>
          <w:sz w:val="20"/>
          <w:szCs w:val="20"/>
        </w:rPr>
        <w:t>Bumphunter</w:t>
      </w:r>
      <w:proofErr w:type="spellEnd"/>
      <w:r w:rsidR="004D1EBF">
        <w:rPr>
          <w:rFonts w:ascii="Palatino Linotype" w:hAnsi="Palatino Linotype"/>
          <w:color w:val="231F20"/>
          <w:w w:val="110"/>
          <w:sz w:val="20"/>
          <w:szCs w:val="20"/>
        </w:rPr>
        <w:t xml:space="preserve"> </w:t>
      </w:r>
      <w:r w:rsidR="00377A48">
        <w:rPr>
          <w:rFonts w:ascii="Palatino Linotype" w:hAnsi="Palatino Linotype"/>
          <w:color w:val="231F20"/>
          <w:w w:val="110"/>
          <w:sz w:val="20"/>
          <w:szCs w:val="20"/>
        </w:rPr>
        <w:t xml:space="preserve">provided minimum </w:t>
      </w:r>
      <w:r w:rsidR="00377A48">
        <w:rPr>
          <w:rFonts w:ascii="Palatino Linotype" w:hAnsi="Palatino Linotype"/>
          <w:color w:val="231F20"/>
          <w:w w:val="110"/>
          <w:sz w:val="20"/>
          <w:szCs w:val="20"/>
        </w:rPr>
        <w:lastRenderedPageBreak/>
        <w:t xml:space="preserve">number of average </w:t>
      </w:r>
      <w:proofErr w:type="spellStart"/>
      <w:r w:rsidR="00377A48">
        <w:rPr>
          <w:rFonts w:ascii="Palatino Linotype" w:hAnsi="Palatino Linotype"/>
          <w:color w:val="231F20"/>
          <w:w w:val="110"/>
          <w:sz w:val="20"/>
          <w:szCs w:val="20"/>
        </w:rPr>
        <w:t>CpGs</w:t>
      </w:r>
      <w:proofErr w:type="spellEnd"/>
      <w:r w:rsidR="00377A48">
        <w:rPr>
          <w:rFonts w:ascii="Palatino Linotype" w:hAnsi="Palatino Linotype"/>
          <w:color w:val="231F20"/>
          <w:w w:val="110"/>
          <w:sz w:val="20"/>
          <w:szCs w:val="20"/>
        </w:rPr>
        <w:t xml:space="preserve"> determined from the specified number of top resultant DMRs</w:t>
      </w:r>
      <w:r w:rsidR="00E63A04">
        <w:rPr>
          <w:rFonts w:ascii="Palatino Linotype" w:hAnsi="Palatino Linotype"/>
          <w:color w:val="231F20"/>
          <w:w w:val="110"/>
          <w:sz w:val="20"/>
          <w:szCs w:val="20"/>
        </w:rPr>
        <w:t>.</w:t>
      </w:r>
      <w:r w:rsidR="0022780E">
        <w:rPr>
          <w:rFonts w:ascii="Palatino Linotype" w:hAnsi="Palatino Linotype"/>
          <w:color w:val="231F20"/>
          <w:w w:val="110"/>
          <w:sz w:val="20"/>
          <w:szCs w:val="20"/>
        </w:rPr>
        <w:t xml:space="preserve"> O</w:t>
      </w:r>
      <w:r w:rsidR="009A5B4E">
        <w:rPr>
          <w:rFonts w:ascii="Palatino Linotype" w:hAnsi="Palatino Linotype"/>
          <w:color w:val="231F20"/>
          <w:w w:val="110"/>
          <w:sz w:val="20"/>
          <w:szCs w:val="20"/>
        </w:rPr>
        <w:t>verall</w:t>
      </w:r>
      <w:r w:rsidR="0022780E">
        <w:rPr>
          <w:rFonts w:ascii="Palatino Linotype" w:hAnsi="Palatino Linotype"/>
          <w:color w:val="231F20"/>
          <w:w w:val="110"/>
          <w:sz w:val="20"/>
          <w:szCs w:val="20"/>
        </w:rPr>
        <w:t>,</w:t>
      </w:r>
      <w:r w:rsidR="00336853">
        <w:rPr>
          <w:rFonts w:ascii="Palatino Linotype" w:hAnsi="Palatino Linotype"/>
          <w:color w:val="231F20"/>
          <w:w w:val="110"/>
          <w:sz w:val="20"/>
          <w:szCs w:val="20"/>
        </w:rPr>
        <w:t xml:space="preserve"> </w:t>
      </w:r>
      <w:proofErr w:type="spellStart"/>
      <w:r w:rsidR="009A5B4E">
        <w:rPr>
          <w:rFonts w:ascii="Palatino Linotype" w:hAnsi="Palatino Linotype"/>
          <w:color w:val="231F20"/>
          <w:w w:val="110"/>
          <w:sz w:val="20"/>
          <w:szCs w:val="20"/>
        </w:rPr>
        <w:t>Bumphunter</w:t>
      </w:r>
      <w:proofErr w:type="spellEnd"/>
      <w:r w:rsidR="009A5B4E">
        <w:rPr>
          <w:rFonts w:ascii="Palatino Linotype" w:hAnsi="Palatino Linotype"/>
          <w:color w:val="231F20"/>
          <w:w w:val="110"/>
          <w:sz w:val="20"/>
          <w:szCs w:val="20"/>
        </w:rPr>
        <w:t xml:space="preserve"> works </w:t>
      </w:r>
      <w:r w:rsidR="00773918">
        <w:rPr>
          <w:rFonts w:ascii="Palatino Linotype" w:hAnsi="Palatino Linotype"/>
          <w:color w:val="231F20"/>
          <w:w w:val="110"/>
          <w:sz w:val="20"/>
          <w:szCs w:val="20"/>
        </w:rPr>
        <w:t xml:space="preserve">more or less </w:t>
      </w:r>
      <w:r w:rsidR="009A5B4E">
        <w:rPr>
          <w:rFonts w:ascii="Palatino Linotype" w:hAnsi="Palatino Linotype"/>
          <w:color w:val="231F20"/>
          <w:w w:val="110"/>
          <w:sz w:val="20"/>
          <w:szCs w:val="20"/>
        </w:rPr>
        <w:t>best among all the methods</w:t>
      </w:r>
      <w:r w:rsidR="0022780E">
        <w:rPr>
          <w:rFonts w:ascii="Palatino Linotype" w:hAnsi="Palatino Linotype"/>
          <w:color w:val="231F20"/>
          <w:w w:val="110"/>
          <w:sz w:val="20"/>
          <w:szCs w:val="20"/>
        </w:rPr>
        <w:t xml:space="preserve"> in terms of all evaluation criteria</w:t>
      </w:r>
      <w:r w:rsidR="00E06145">
        <w:rPr>
          <w:rFonts w:ascii="Palatino Linotype" w:hAnsi="Palatino Linotype"/>
          <w:color w:val="231F20"/>
          <w:w w:val="110"/>
          <w:sz w:val="20"/>
          <w:szCs w:val="20"/>
        </w:rPr>
        <w:t>, but it t</w:t>
      </w:r>
      <w:r w:rsidR="00DF7D83">
        <w:rPr>
          <w:rFonts w:ascii="Palatino Linotype" w:hAnsi="Palatino Linotype"/>
          <w:color w:val="231F20"/>
          <w:w w:val="110"/>
          <w:sz w:val="20"/>
          <w:szCs w:val="20"/>
        </w:rPr>
        <w:t>ook</w:t>
      </w:r>
      <w:r w:rsidR="00E06145">
        <w:rPr>
          <w:rFonts w:ascii="Palatino Linotype" w:hAnsi="Palatino Linotype"/>
          <w:color w:val="231F20"/>
          <w:w w:val="110"/>
          <w:sz w:val="20"/>
          <w:szCs w:val="20"/>
        </w:rPr>
        <w:t xml:space="preserve"> a long elapsed time rather than the others. </w:t>
      </w:r>
      <w:r w:rsidR="00140E0D">
        <w:rPr>
          <w:rFonts w:ascii="Palatino Linotype" w:hAnsi="Palatino Linotype"/>
          <w:color w:val="231F20"/>
          <w:w w:val="110"/>
          <w:sz w:val="20"/>
          <w:szCs w:val="20"/>
        </w:rPr>
        <w:t xml:space="preserve">On the other hand, Probe-lasso </w:t>
      </w:r>
      <w:r w:rsidR="00DF7D83">
        <w:rPr>
          <w:rFonts w:ascii="Palatino Linotype" w:hAnsi="Palatino Linotype"/>
          <w:color w:val="231F20"/>
          <w:w w:val="110"/>
          <w:sz w:val="20"/>
          <w:szCs w:val="20"/>
        </w:rPr>
        <w:t>wa</w:t>
      </w:r>
      <w:r w:rsidR="00140E0D">
        <w:rPr>
          <w:rFonts w:ascii="Palatino Linotype" w:hAnsi="Palatino Linotype"/>
          <w:color w:val="231F20"/>
          <w:w w:val="110"/>
          <w:sz w:val="20"/>
          <w:szCs w:val="20"/>
        </w:rPr>
        <w:t>s</w:t>
      </w:r>
      <w:r w:rsidR="00456390">
        <w:rPr>
          <w:rFonts w:ascii="Palatino Linotype" w:hAnsi="Palatino Linotype"/>
          <w:color w:val="231F20"/>
          <w:w w:val="110"/>
          <w:sz w:val="20"/>
          <w:szCs w:val="20"/>
        </w:rPr>
        <w:t xml:space="preserve"> </w:t>
      </w:r>
      <w:r w:rsidR="00C82738">
        <w:rPr>
          <w:rFonts w:ascii="Palatino Linotype" w:hAnsi="Palatino Linotype"/>
          <w:color w:val="231F20"/>
          <w:w w:val="110"/>
          <w:sz w:val="20"/>
          <w:szCs w:val="20"/>
        </w:rPr>
        <w:t>probably</w:t>
      </w:r>
      <w:r w:rsidR="00140E0D">
        <w:rPr>
          <w:rFonts w:ascii="Palatino Linotype" w:hAnsi="Palatino Linotype"/>
          <w:color w:val="231F20"/>
          <w:w w:val="110"/>
          <w:sz w:val="20"/>
          <w:szCs w:val="20"/>
        </w:rPr>
        <w:t xml:space="preserve"> faster than the others.</w:t>
      </w:r>
      <w:r w:rsidR="00E06145">
        <w:rPr>
          <w:rFonts w:ascii="Palatino Linotype" w:hAnsi="Palatino Linotype"/>
          <w:color w:val="231F20"/>
          <w:w w:val="110"/>
          <w:sz w:val="20"/>
          <w:szCs w:val="20"/>
        </w:rPr>
        <w:t xml:space="preserve"> </w:t>
      </w:r>
      <w:r w:rsidR="00C82738">
        <w:rPr>
          <w:rFonts w:ascii="Palatino Linotype" w:hAnsi="Palatino Linotype"/>
          <w:color w:val="231F20"/>
          <w:w w:val="110"/>
          <w:sz w:val="20"/>
          <w:szCs w:val="20"/>
        </w:rPr>
        <w:t xml:space="preserve">Specially, all the methods performed well for medium of higher </w:t>
      </w:r>
      <w:r w:rsidR="00C82738" w:rsidRPr="00011334">
        <w:rPr>
          <w:rStyle w:val="SubtleEmphasis"/>
        </w:rPr>
        <w:t>µ</w:t>
      </w:r>
      <w:r w:rsidR="00C82738">
        <w:rPr>
          <w:rStyle w:val="SubtleEmphasis"/>
        </w:rPr>
        <w:t xml:space="preserve"> </w:t>
      </w:r>
      <w:r w:rsidR="00C82738" w:rsidRPr="00DE1E11">
        <w:rPr>
          <w:rStyle w:val="SubtleEmphasis"/>
          <w:rFonts w:ascii="Palatino Linotype" w:hAnsi="Palatino Linotype"/>
          <w:i w:val="0"/>
        </w:rPr>
        <w:t xml:space="preserve">value, but for small </w:t>
      </w:r>
      <w:r w:rsidR="00C82738" w:rsidRPr="00DE1E11">
        <w:rPr>
          <w:rStyle w:val="SubtleEmphasis"/>
          <w:rFonts w:ascii="Palatino Linotype" w:hAnsi="Palatino Linotype"/>
        </w:rPr>
        <w:t xml:space="preserve">µ </w:t>
      </w:r>
      <w:r w:rsidR="00C82738" w:rsidRPr="00DE1E11">
        <w:rPr>
          <w:rStyle w:val="SubtleEmphasis"/>
          <w:rFonts w:ascii="Palatino Linotype" w:hAnsi="Palatino Linotype"/>
          <w:i w:val="0"/>
        </w:rPr>
        <w:t xml:space="preserve">value, no method works well. </w:t>
      </w:r>
    </w:p>
    <w:p w:rsidR="00865F50" w:rsidRDefault="00865F50" w:rsidP="008D344A">
      <w:pPr>
        <w:pStyle w:val="NoSpacing"/>
        <w:rPr>
          <w:rFonts w:ascii="Palatino Linotype" w:hAnsi="Palatino Linotype"/>
          <w:color w:val="231F20"/>
          <w:w w:val="110"/>
          <w:sz w:val="20"/>
          <w:szCs w:val="20"/>
        </w:rPr>
      </w:pPr>
    </w:p>
    <w:p w:rsidR="00B55433" w:rsidRDefault="00B93D01" w:rsidP="00C43430">
      <w:pPr>
        <w:pStyle w:val="NoSpacing"/>
        <w:jc w:val="both"/>
      </w:pPr>
      <w:r>
        <w:rPr>
          <w:rFonts w:ascii="Palatino Linotype" w:hAnsi="Palatino Linotype"/>
          <w:color w:val="231F20"/>
          <w:w w:val="110"/>
          <w:sz w:val="20"/>
          <w:szCs w:val="20"/>
        </w:rPr>
        <w:t xml:space="preserve"> In addition, there are several </w:t>
      </w:r>
      <w:r w:rsidR="00A72DF7">
        <w:rPr>
          <w:rFonts w:ascii="Palatino Linotype" w:hAnsi="Palatino Linotype"/>
          <w:color w:val="231F20"/>
          <w:w w:val="110"/>
          <w:sz w:val="20"/>
          <w:szCs w:val="20"/>
        </w:rPr>
        <w:t>issues</w:t>
      </w:r>
      <w:r>
        <w:rPr>
          <w:rFonts w:ascii="Palatino Linotype" w:hAnsi="Palatino Linotype"/>
          <w:color w:val="231F20"/>
          <w:w w:val="110"/>
          <w:sz w:val="20"/>
          <w:szCs w:val="20"/>
        </w:rPr>
        <w:t xml:space="preserve"> </w:t>
      </w:r>
      <w:r w:rsidR="00A72DF7">
        <w:rPr>
          <w:rFonts w:ascii="Palatino Linotype" w:hAnsi="Palatino Linotype"/>
          <w:color w:val="231F20"/>
          <w:w w:val="110"/>
          <w:sz w:val="20"/>
          <w:szCs w:val="20"/>
        </w:rPr>
        <w:t>raised over</w:t>
      </w:r>
      <w:r>
        <w:rPr>
          <w:rFonts w:ascii="Palatino Linotype" w:hAnsi="Palatino Linotype"/>
          <w:color w:val="231F20"/>
          <w:w w:val="110"/>
          <w:sz w:val="20"/>
          <w:szCs w:val="20"/>
        </w:rPr>
        <w:t xml:space="preserve"> these methods. </w:t>
      </w:r>
      <w:r w:rsidRPr="00DF38C0">
        <w:rPr>
          <w:rFonts w:ascii="Palatino Linotype" w:hAnsi="Palatino Linotype"/>
          <w:color w:val="231F20"/>
          <w:w w:val="110"/>
          <w:sz w:val="20"/>
          <w:szCs w:val="20"/>
        </w:rPr>
        <w:t xml:space="preserve">Firstly, </w:t>
      </w:r>
      <w:r w:rsidR="00B55433" w:rsidRPr="00DF38C0">
        <w:rPr>
          <w:rFonts w:ascii="Palatino Linotype" w:hAnsi="Palatino Linotype"/>
        </w:rPr>
        <w:t>the number of choices for choosing parameters are large for</w:t>
      </w:r>
      <w:r w:rsidRPr="00DF38C0">
        <w:rPr>
          <w:rFonts w:ascii="Palatino Linotype" w:hAnsi="Palatino Linotype"/>
        </w:rPr>
        <w:t xml:space="preserve"> these methods, and these parameters are not properly described how to set them</w:t>
      </w:r>
      <w:r w:rsidR="009713FC" w:rsidRPr="00DF38C0">
        <w:rPr>
          <w:rFonts w:ascii="Palatino Linotype" w:hAnsi="Palatino Linotype"/>
        </w:rPr>
        <w:t xml:space="preserve">. </w:t>
      </w:r>
      <w:r w:rsidR="00257192">
        <w:rPr>
          <w:rFonts w:ascii="Palatino Linotype" w:hAnsi="Palatino Linotype"/>
        </w:rPr>
        <w:t>Although i</w:t>
      </w:r>
      <w:r w:rsidR="00C43430" w:rsidRPr="00B55433">
        <w:t>n this st</w:t>
      </w:r>
      <w:r w:rsidR="00257192">
        <w:t>udy, we used default parameters, i</w:t>
      </w:r>
      <w:r w:rsidR="00C43430" w:rsidRPr="00B55433">
        <w:t>t is hoped that</w:t>
      </w:r>
      <w:r w:rsidR="00257192">
        <w:t xml:space="preserve"> the</w:t>
      </w:r>
      <w:r w:rsidR="00C43430" w:rsidRPr="00B55433">
        <w:t xml:space="preserve"> future developers clarify </w:t>
      </w:r>
      <w:r w:rsidR="00C43430">
        <w:t>different parameter setting for users</w:t>
      </w:r>
      <w:r w:rsidR="00257192">
        <w:t>.</w:t>
      </w:r>
      <w:r w:rsidR="006F5027">
        <w:t xml:space="preserve"> </w:t>
      </w:r>
      <w:r w:rsidR="009713FC" w:rsidRPr="00DF38C0">
        <w:rPr>
          <w:rFonts w:ascii="Palatino Linotype" w:hAnsi="Palatino Linotype"/>
        </w:rPr>
        <w:t>Secondly, for small</w:t>
      </w:r>
      <w:r w:rsidR="009713FC">
        <w:t xml:space="preserve"> </w:t>
      </w:r>
      <w:r w:rsidR="009713FC" w:rsidRPr="00011334">
        <w:rPr>
          <w:rStyle w:val="SubtleEmphasis"/>
        </w:rPr>
        <w:t>µ</w:t>
      </w:r>
      <w:r w:rsidR="009713FC">
        <w:rPr>
          <w:rStyle w:val="SubtleEmphasis"/>
        </w:rPr>
        <w:t xml:space="preserve"> </w:t>
      </w:r>
      <w:r w:rsidR="009713FC" w:rsidRPr="00DF38C0">
        <w:rPr>
          <w:rStyle w:val="SubtleEmphasis"/>
          <w:rFonts w:ascii="Palatino Linotype" w:hAnsi="Palatino Linotype"/>
          <w:i w:val="0"/>
        </w:rPr>
        <w:t>value, the performance of these methods is questionable. Third</w:t>
      </w:r>
      <w:r w:rsidR="00DF38C0" w:rsidRPr="00DF38C0">
        <w:rPr>
          <w:rStyle w:val="SubtleEmphasis"/>
          <w:rFonts w:ascii="Palatino Linotype" w:hAnsi="Palatino Linotype"/>
          <w:i w:val="0"/>
        </w:rPr>
        <w:t>ly</w:t>
      </w:r>
      <w:r w:rsidR="009713FC" w:rsidRPr="00DF38C0">
        <w:rPr>
          <w:rStyle w:val="SubtleEmphasis"/>
          <w:rFonts w:ascii="Palatino Linotype" w:hAnsi="Palatino Linotype"/>
          <w:i w:val="0"/>
        </w:rPr>
        <w:t xml:space="preserve">, the regions might not be </w:t>
      </w:r>
      <w:r w:rsidR="00DF38C0" w:rsidRPr="00DF38C0">
        <w:rPr>
          <w:rStyle w:val="SubtleEmphasis"/>
          <w:rFonts w:ascii="Palatino Linotype" w:hAnsi="Palatino Linotype"/>
          <w:i w:val="0"/>
        </w:rPr>
        <w:t xml:space="preserve">precisely specified for </w:t>
      </w:r>
      <w:proofErr w:type="spellStart"/>
      <w:r w:rsidR="00DF38C0" w:rsidRPr="00DF38C0">
        <w:rPr>
          <w:rStyle w:val="SubtleEmphasis"/>
          <w:rFonts w:ascii="Palatino Linotype" w:hAnsi="Palatino Linotype"/>
          <w:i w:val="0"/>
        </w:rPr>
        <w:t>Bumphunter</w:t>
      </w:r>
      <w:proofErr w:type="spellEnd"/>
      <w:r w:rsidR="00DF38C0" w:rsidRPr="00DF38C0">
        <w:rPr>
          <w:rStyle w:val="SubtleEmphasis"/>
          <w:rFonts w:ascii="Palatino Linotype" w:hAnsi="Palatino Linotype"/>
          <w:i w:val="0"/>
        </w:rPr>
        <w:t>.</w:t>
      </w:r>
      <w:r w:rsidR="009713FC" w:rsidRPr="00DF38C0">
        <w:rPr>
          <w:rStyle w:val="SubtleEmphasis"/>
          <w:rFonts w:ascii="Palatino Linotype" w:hAnsi="Palatino Linotype"/>
          <w:i w:val="0"/>
        </w:rPr>
        <w:t xml:space="preserve"> </w:t>
      </w:r>
      <w:r w:rsidR="00B55433" w:rsidRPr="00DF38C0">
        <w:rPr>
          <w:rFonts w:ascii="Palatino Linotype" w:hAnsi="Palatino Linotype"/>
        </w:rPr>
        <w:t xml:space="preserve"> </w:t>
      </w:r>
      <w:r w:rsidR="00C43430">
        <w:rPr>
          <w:rFonts w:ascii="Palatino Linotype" w:hAnsi="Palatino Linotype"/>
        </w:rPr>
        <w:t>Finally</w:t>
      </w:r>
      <w:r w:rsidR="00710548">
        <w:rPr>
          <w:rFonts w:ascii="Palatino Linotype" w:hAnsi="Palatino Linotype"/>
        </w:rPr>
        <w:t xml:space="preserve">, </w:t>
      </w:r>
      <w:r w:rsidR="006A5899">
        <w:rPr>
          <w:rFonts w:ascii="Palatino Linotype" w:hAnsi="Palatino Linotype"/>
        </w:rPr>
        <w:t xml:space="preserve">our comparative study provides the critical review of the latest well-known DMR finding methods through which </w:t>
      </w:r>
      <w:r w:rsidR="00E161CF">
        <w:rPr>
          <w:rFonts w:ascii="Palatino Linotype" w:hAnsi="Palatino Linotype"/>
        </w:rPr>
        <w:t>the future users understand the advantages and shortcomings of the underlying methods and can develop new method to resolve the aforementioned issues.</w:t>
      </w:r>
    </w:p>
    <w:p w:rsidR="009D23B5" w:rsidRDefault="009D23B5" w:rsidP="008D344A">
      <w:pPr>
        <w:pStyle w:val="NoSpacing"/>
      </w:pPr>
    </w:p>
    <w:p w:rsidR="00611833" w:rsidRPr="004F7A8C" w:rsidRDefault="004F7A8C" w:rsidP="008D344A">
      <w:pPr>
        <w:pStyle w:val="NoSpacing"/>
        <w:rPr>
          <w:b/>
        </w:rPr>
      </w:pPr>
      <w:r w:rsidRPr="004F7A8C">
        <w:rPr>
          <w:b/>
        </w:rPr>
        <w:t xml:space="preserve">Legends for Figures and Tables </w:t>
      </w:r>
    </w:p>
    <w:p w:rsidR="004F7A8C" w:rsidRDefault="004F7A8C" w:rsidP="008D344A">
      <w:pPr>
        <w:pStyle w:val="NoSpacing"/>
      </w:pPr>
    </w:p>
    <w:p w:rsidR="004F7A8C" w:rsidRDefault="004F7A8C" w:rsidP="004F7A8C">
      <w:pPr>
        <w:pStyle w:val="Caption"/>
        <w:keepNext/>
      </w:pPr>
      <w:r>
        <w:t xml:space="preserve">Table 3: True Positives (TP), False Positives (FP), False Negatives (FN), </w:t>
      </w:r>
      <w:r>
        <w:rPr>
          <w:lang w:val="en"/>
        </w:rPr>
        <w:t>Power, Precision and Elapsed Time (in Second) for the four DMR finding methods in the simulation study.</w:t>
      </w:r>
    </w:p>
    <w:p w:rsidR="004F7A8C" w:rsidRDefault="004F7A8C" w:rsidP="004F7A8C">
      <w:pPr>
        <w:pStyle w:val="NoSpacing"/>
      </w:pPr>
    </w:p>
    <w:p w:rsidR="004F7A8C" w:rsidRDefault="004F7A8C" w:rsidP="004F7A8C">
      <w:pPr>
        <w:pStyle w:val="Caption"/>
        <w:keepNext/>
      </w:pPr>
      <w:r>
        <w:t>Table 4: Overlap between the</w:t>
      </w:r>
      <w:r w:rsidRPr="00C97FA4">
        <w:t xml:space="preserve"> </w:t>
      </w:r>
      <w:r>
        <w:t xml:space="preserve">four DMR finding </w:t>
      </w:r>
      <w:r w:rsidRPr="00C97FA4">
        <w:t xml:space="preserve">methods for low (0.025), medium (0.15) and large (0.4) </w:t>
      </w:r>
      <w:r w:rsidRPr="001C0C15">
        <w:rPr>
          <w:rStyle w:val="SubtleEmphasis"/>
          <w:i/>
        </w:rPr>
        <w:t>µ</w:t>
      </w:r>
      <w:r w:rsidRPr="00C97FA4">
        <w:t xml:space="preserve"> </w:t>
      </w:r>
      <w:r>
        <w:rPr>
          <w:lang w:val="en"/>
        </w:rPr>
        <w:t>for the four DMR finding methods in the simulation study.</w:t>
      </w:r>
    </w:p>
    <w:p w:rsidR="004F7A8C" w:rsidRDefault="004F7A8C" w:rsidP="004F7A8C">
      <w:pPr>
        <w:pStyle w:val="NoSpacing"/>
      </w:pPr>
    </w:p>
    <w:p w:rsidR="004F7A8C" w:rsidRDefault="004F7A8C" w:rsidP="004F7A8C">
      <w:pPr>
        <w:pStyle w:val="Caption"/>
        <w:keepNext/>
      </w:pPr>
      <w:r>
        <w:t xml:space="preserve">Figure 1: </w:t>
      </w:r>
      <w:r>
        <w:rPr>
          <w:lang w:val="en"/>
        </w:rPr>
        <w:t>Overall workflow</w:t>
      </w:r>
      <w:r>
        <w:t xml:space="preserve"> of the analysis.</w:t>
      </w:r>
    </w:p>
    <w:p w:rsidR="004F7A8C" w:rsidRDefault="004F7A8C" w:rsidP="004F7A8C">
      <w:pPr>
        <w:pStyle w:val="NoSpacing"/>
      </w:pPr>
    </w:p>
    <w:p w:rsidR="004F7A8C" w:rsidRDefault="004F7A8C" w:rsidP="004F7A8C">
      <w:pPr>
        <w:pStyle w:val="Caption"/>
        <w:keepNext/>
      </w:pPr>
      <w:r>
        <w:t xml:space="preserve">Figure 2: </w:t>
      </w:r>
      <w:r>
        <w:rPr>
          <w:lang w:val="en"/>
        </w:rPr>
        <w:t>Power comparison of the four DMR finding methods in the simulation study</w:t>
      </w:r>
      <w:r>
        <w:t>.</w:t>
      </w:r>
    </w:p>
    <w:p w:rsidR="004F7A8C" w:rsidRPr="009E0B5A" w:rsidRDefault="004F7A8C" w:rsidP="004F7A8C"/>
    <w:p w:rsidR="004F7A8C" w:rsidRDefault="004F7A8C" w:rsidP="004F7A8C">
      <w:pPr>
        <w:pStyle w:val="Caption"/>
        <w:keepNext/>
      </w:pPr>
      <w:r>
        <w:t xml:space="preserve">Figure 3: </w:t>
      </w:r>
      <w:r>
        <w:rPr>
          <w:lang w:val="en"/>
        </w:rPr>
        <w:t>Precision comparison of the four DMR finding methods in the simulation study</w:t>
      </w:r>
      <w:r>
        <w:t>.</w:t>
      </w:r>
    </w:p>
    <w:p w:rsidR="004F7A8C" w:rsidRPr="009E0B5A" w:rsidRDefault="004F7A8C" w:rsidP="004F7A8C"/>
    <w:p w:rsidR="004F7A8C" w:rsidRDefault="004F7A8C" w:rsidP="004F7A8C">
      <w:pPr>
        <w:pStyle w:val="Caption"/>
        <w:keepNext/>
      </w:pPr>
      <w:r>
        <w:t>Figure 4: Average</w:t>
      </w:r>
      <w:r w:rsidRPr="008F2567">
        <w:t xml:space="preserve"> pairwise correlation for top </w:t>
      </w:r>
      <w:r>
        <w:t xml:space="preserve">five </w:t>
      </w:r>
      <w:r w:rsidRPr="008F2567">
        <w:t>DMRs</w:t>
      </w:r>
      <w:r>
        <w:t xml:space="preserve"> </w:t>
      </w:r>
      <w:r>
        <w:rPr>
          <w:lang w:val="en"/>
        </w:rPr>
        <w:t>obtained from the four DMR finding methods in the simulation study</w:t>
      </w:r>
      <w:r>
        <w:t>.</w:t>
      </w:r>
    </w:p>
    <w:p w:rsidR="004F7A8C" w:rsidRPr="009E0B5A" w:rsidRDefault="004F7A8C" w:rsidP="004F7A8C"/>
    <w:p w:rsidR="004F7A8C" w:rsidRPr="00E403B7" w:rsidRDefault="004F7A8C" w:rsidP="004F7A8C">
      <w:pPr>
        <w:pStyle w:val="Caption"/>
        <w:keepNext/>
        <w:rPr>
          <w:lang w:val="en"/>
        </w:rPr>
      </w:pPr>
      <w:r>
        <w:t xml:space="preserve">Figure 5: </w:t>
      </w:r>
      <w:proofErr w:type="spellStart"/>
      <w:r w:rsidRPr="00E403B7">
        <w:rPr>
          <w:lang w:val="en"/>
        </w:rPr>
        <w:t>nCpGs</w:t>
      </w:r>
      <w:proofErr w:type="spellEnd"/>
      <w:r w:rsidRPr="00E403B7">
        <w:rPr>
          <w:lang w:val="en"/>
        </w:rPr>
        <w:t xml:space="preserve"> for significant DMRs</w:t>
      </w:r>
      <w:r>
        <w:t xml:space="preserve"> </w:t>
      </w:r>
      <w:r>
        <w:rPr>
          <w:lang w:val="en"/>
        </w:rPr>
        <w:t>obtained from the four DMR finding methods in the simulation study</w:t>
      </w:r>
      <w:r>
        <w:t>.</w:t>
      </w:r>
    </w:p>
    <w:p w:rsidR="004F7A8C" w:rsidRDefault="004F7A8C" w:rsidP="008D344A">
      <w:pPr>
        <w:pStyle w:val="NoSpacing"/>
      </w:pPr>
    </w:p>
    <w:p w:rsidR="004F7A8C" w:rsidRDefault="004F7A8C" w:rsidP="008D344A">
      <w:pPr>
        <w:pStyle w:val="NoSpacing"/>
      </w:pPr>
    </w:p>
    <w:p w:rsidR="004F7A8C" w:rsidRDefault="004F7A8C" w:rsidP="008D344A">
      <w:pPr>
        <w:pStyle w:val="NoSpacing"/>
      </w:pPr>
    </w:p>
    <w:p w:rsidR="00611833" w:rsidRPr="007F08B2" w:rsidRDefault="00611833" w:rsidP="008D344A">
      <w:pPr>
        <w:pStyle w:val="NoSpacing"/>
        <w:rPr>
          <w:rFonts w:ascii="Book Antiqua" w:hAnsi="Book Antiqua"/>
          <w:b/>
          <w:sz w:val="28"/>
          <w:szCs w:val="28"/>
        </w:rPr>
      </w:pPr>
      <w:r w:rsidRPr="007F08B2">
        <w:rPr>
          <w:rFonts w:ascii="Book Antiqua" w:hAnsi="Book Antiqua"/>
          <w:b/>
          <w:sz w:val="28"/>
          <w:szCs w:val="28"/>
        </w:rPr>
        <w:t>References</w:t>
      </w:r>
    </w:p>
    <w:p w:rsidR="00611833" w:rsidRDefault="00611833" w:rsidP="008D344A">
      <w:pPr>
        <w:pStyle w:val="NoSpacing"/>
      </w:pPr>
    </w:p>
    <w:p w:rsidR="00A8434B" w:rsidRPr="00A8434B" w:rsidRDefault="00611833" w:rsidP="00A8434B">
      <w:pPr>
        <w:pStyle w:val="EndNoteBibliography"/>
        <w:spacing w:after="0"/>
      </w:pPr>
      <w:r>
        <w:fldChar w:fldCharType="begin"/>
      </w:r>
      <w:r>
        <w:instrText xml:space="preserve"> ADDIN EN.REFLIST </w:instrText>
      </w:r>
      <w:r>
        <w:fldChar w:fldCharType="separate"/>
      </w:r>
      <w:bookmarkStart w:id="3" w:name="_ENREF_1"/>
      <w:r w:rsidR="00A8434B" w:rsidRPr="00A8434B">
        <w:t xml:space="preserve">Butcher, L.M. and Beck, S. Probe Lasso: a novel method to rope in differentially methylated regions with 450K DNA methylation data. </w:t>
      </w:r>
      <w:r w:rsidR="00A8434B" w:rsidRPr="00A8434B">
        <w:rPr>
          <w:i/>
        </w:rPr>
        <w:t>Methods</w:t>
      </w:r>
      <w:r w:rsidR="00A8434B" w:rsidRPr="00A8434B">
        <w:t xml:space="preserve"> 2015;72:21-28.</w:t>
      </w:r>
      <w:bookmarkEnd w:id="3"/>
    </w:p>
    <w:p w:rsidR="00A8434B" w:rsidRPr="00A8434B" w:rsidRDefault="00A8434B" w:rsidP="00A8434B">
      <w:pPr>
        <w:pStyle w:val="EndNoteBibliography"/>
        <w:spacing w:after="0"/>
      </w:pPr>
      <w:bookmarkStart w:id="4" w:name="_ENREF_2"/>
      <w:r w:rsidRPr="00A8434B">
        <w:t xml:space="preserve">Hoffman, J. The American Soldier, Vol 1, Adjustment during Army Life, Vol 2, Combat and Its Aftermath - Stouffer. </w:t>
      </w:r>
      <w:r w:rsidRPr="00A8434B">
        <w:rPr>
          <w:i/>
        </w:rPr>
        <w:t>Contemp Psychol</w:t>
      </w:r>
      <w:r w:rsidRPr="00A8434B">
        <w:t xml:space="preserve"> 1965;10(11):505-505.</w:t>
      </w:r>
      <w:bookmarkEnd w:id="4"/>
    </w:p>
    <w:p w:rsidR="00A8434B" w:rsidRPr="00A8434B" w:rsidRDefault="00A8434B" w:rsidP="00A8434B">
      <w:pPr>
        <w:pStyle w:val="EndNoteBibliography"/>
        <w:spacing w:after="0"/>
      </w:pPr>
      <w:bookmarkStart w:id="5" w:name="_ENREF_3"/>
      <w:r w:rsidRPr="00A8434B">
        <w:t xml:space="preserve">Kechris, K.J., Biehs, B. and Kornberg, T.B. Generalizing Moving Averages for Tiling Arrays Using Combined P-Value Statistics. </w:t>
      </w:r>
      <w:r w:rsidRPr="00A8434B">
        <w:rPr>
          <w:i/>
        </w:rPr>
        <w:t>Stat Appl Genet Mol</w:t>
      </w:r>
      <w:r w:rsidRPr="00A8434B">
        <w:t xml:space="preserve"> 2010;9(1).</w:t>
      </w:r>
      <w:bookmarkEnd w:id="5"/>
    </w:p>
    <w:p w:rsidR="00A8434B" w:rsidRPr="00A8434B" w:rsidRDefault="00A8434B" w:rsidP="00A8434B">
      <w:pPr>
        <w:pStyle w:val="EndNoteBibliography"/>
        <w:spacing w:after="0"/>
      </w:pPr>
      <w:bookmarkStart w:id="6" w:name="_ENREF_4"/>
      <w:r w:rsidRPr="00A8434B">
        <w:t>Logue, M.W.</w:t>
      </w:r>
      <w:r w:rsidRPr="00A8434B">
        <w:rPr>
          <w:i/>
        </w:rPr>
        <w:t>, et al.</w:t>
      </w:r>
      <w:r w:rsidRPr="00A8434B">
        <w:t xml:space="preserve"> The correlation of methylation levels measured using Illumina 450K and EPIC BeadChips in blood samples. </w:t>
      </w:r>
      <w:r w:rsidRPr="00A8434B">
        <w:rPr>
          <w:i/>
        </w:rPr>
        <w:t>Epigenomics</w:t>
      </w:r>
      <w:r w:rsidRPr="00A8434B">
        <w:t xml:space="preserve"> 2017;9(11):1363-1371.</w:t>
      </w:r>
      <w:bookmarkEnd w:id="6"/>
    </w:p>
    <w:p w:rsidR="00A8434B" w:rsidRPr="00A8434B" w:rsidRDefault="00A8434B" w:rsidP="00A8434B">
      <w:pPr>
        <w:pStyle w:val="EndNoteBibliography"/>
        <w:spacing w:after="0"/>
      </w:pPr>
      <w:bookmarkStart w:id="7" w:name="_ENREF_5"/>
      <w:r w:rsidRPr="00A8434B">
        <w:t>Morris, T.J.</w:t>
      </w:r>
      <w:r w:rsidRPr="00A8434B">
        <w:rPr>
          <w:i/>
        </w:rPr>
        <w:t>, et al.</w:t>
      </w:r>
      <w:r w:rsidRPr="00A8434B">
        <w:t xml:space="preserve"> ChAMP: 450k Chip Analysis Methylation Pipeline. </w:t>
      </w:r>
      <w:r w:rsidRPr="00A8434B">
        <w:rPr>
          <w:i/>
        </w:rPr>
        <w:t>Bioinformatics</w:t>
      </w:r>
      <w:r w:rsidRPr="00A8434B">
        <w:t xml:space="preserve"> 2014;30(3):428-430.</w:t>
      </w:r>
      <w:bookmarkEnd w:id="7"/>
    </w:p>
    <w:p w:rsidR="00A8434B" w:rsidRPr="00A8434B" w:rsidRDefault="00A8434B" w:rsidP="00A8434B">
      <w:pPr>
        <w:pStyle w:val="EndNoteBibliography"/>
        <w:spacing w:after="0"/>
      </w:pPr>
      <w:bookmarkStart w:id="8" w:name="_ENREF_6"/>
      <w:r w:rsidRPr="00A8434B">
        <w:lastRenderedPageBreak/>
        <w:t>Pedersen, B.S.</w:t>
      </w:r>
      <w:r w:rsidRPr="00A8434B">
        <w:rPr>
          <w:i/>
        </w:rPr>
        <w:t>, et al.</w:t>
      </w:r>
      <w:r w:rsidRPr="00A8434B">
        <w:t xml:space="preserve"> Comb-p: software for combining, analyzing, grouping and correcting spatially correlated P-values. </w:t>
      </w:r>
      <w:r w:rsidRPr="00A8434B">
        <w:rPr>
          <w:i/>
        </w:rPr>
        <w:t>Bioinformatics</w:t>
      </w:r>
      <w:r w:rsidRPr="00A8434B">
        <w:t xml:space="preserve"> 2012;28(22):2986-2988.</w:t>
      </w:r>
      <w:bookmarkEnd w:id="8"/>
    </w:p>
    <w:p w:rsidR="00A8434B" w:rsidRPr="00A8434B" w:rsidRDefault="00A8434B" w:rsidP="00A8434B">
      <w:pPr>
        <w:pStyle w:val="EndNoteBibliography"/>
      </w:pPr>
      <w:bookmarkStart w:id="9" w:name="_ENREF_7"/>
      <w:r w:rsidRPr="00A8434B">
        <w:t xml:space="preserve">Rindskopf, D. An introduction to the bootstrap - Efron,B, Tibshirani,RJ. </w:t>
      </w:r>
      <w:r w:rsidRPr="00A8434B">
        <w:rPr>
          <w:i/>
        </w:rPr>
        <w:t>J Educ Behav Stat</w:t>
      </w:r>
      <w:r w:rsidRPr="00A8434B">
        <w:t xml:space="preserve"> 1997;22(2):245-245.</w:t>
      </w:r>
      <w:bookmarkEnd w:id="9"/>
    </w:p>
    <w:p w:rsidR="009D23B5" w:rsidRPr="00B55433" w:rsidRDefault="00611833" w:rsidP="008D344A">
      <w:pPr>
        <w:pStyle w:val="NoSpacing"/>
      </w:pPr>
      <w:r>
        <w:fldChar w:fldCharType="end"/>
      </w:r>
      <w:r w:rsidR="001222CA" w:rsidRPr="00B55433">
        <w:t xml:space="preserve"> </w:t>
      </w:r>
    </w:p>
    <w:sectPr w:rsidR="009D23B5" w:rsidRPr="00B55433" w:rsidSect="008D34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Palatino Linotype">
    <w:altName w:val="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D72B5"/>
    <w:multiLevelType w:val="multilevel"/>
    <w:tmpl w:val="9448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dt5af9r82tws7efato550zydf59sxaepd00&quot;&gt;My EndNote Library&lt;record-ids&gt;&lt;item&gt;13&lt;/item&gt;&lt;item&gt;14&lt;/item&gt;&lt;item&gt;17&lt;/item&gt;&lt;item&gt;19&lt;/item&gt;&lt;item&gt;21&lt;/item&gt;&lt;item&gt;22&lt;/item&gt;&lt;/record-ids&gt;&lt;/item&gt;&lt;/Libraries&gt;"/>
  </w:docVars>
  <w:rsids>
    <w:rsidRoot w:val="008D344A"/>
    <w:rsid w:val="000023A4"/>
    <w:rsid w:val="00011334"/>
    <w:rsid w:val="0001294D"/>
    <w:rsid w:val="00012994"/>
    <w:rsid w:val="00015E81"/>
    <w:rsid w:val="0001759F"/>
    <w:rsid w:val="00020C5A"/>
    <w:rsid w:val="00023978"/>
    <w:rsid w:val="00024C39"/>
    <w:rsid w:val="000303E8"/>
    <w:rsid w:val="00032756"/>
    <w:rsid w:val="00037CDF"/>
    <w:rsid w:val="000409BF"/>
    <w:rsid w:val="00043581"/>
    <w:rsid w:val="000446E6"/>
    <w:rsid w:val="0005256A"/>
    <w:rsid w:val="00053D5D"/>
    <w:rsid w:val="00055EA7"/>
    <w:rsid w:val="00057401"/>
    <w:rsid w:val="00060166"/>
    <w:rsid w:val="00061F41"/>
    <w:rsid w:val="00062A46"/>
    <w:rsid w:val="00067F4D"/>
    <w:rsid w:val="0007111D"/>
    <w:rsid w:val="000724D5"/>
    <w:rsid w:val="00077780"/>
    <w:rsid w:val="000809AB"/>
    <w:rsid w:val="00085A15"/>
    <w:rsid w:val="00086178"/>
    <w:rsid w:val="000869EA"/>
    <w:rsid w:val="000904FE"/>
    <w:rsid w:val="00090F61"/>
    <w:rsid w:val="00092875"/>
    <w:rsid w:val="0009362B"/>
    <w:rsid w:val="00095455"/>
    <w:rsid w:val="00095E33"/>
    <w:rsid w:val="00097392"/>
    <w:rsid w:val="000A4BFB"/>
    <w:rsid w:val="000A6305"/>
    <w:rsid w:val="000A65AB"/>
    <w:rsid w:val="000A66A4"/>
    <w:rsid w:val="000B46F6"/>
    <w:rsid w:val="000C2451"/>
    <w:rsid w:val="000D51FA"/>
    <w:rsid w:val="000F0F83"/>
    <w:rsid w:val="000F45C8"/>
    <w:rsid w:val="000F726E"/>
    <w:rsid w:val="00103255"/>
    <w:rsid w:val="0010472D"/>
    <w:rsid w:val="00106DDA"/>
    <w:rsid w:val="00114C81"/>
    <w:rsid w:val="00121262"/>
    <w:rsid w:val="001222CA"/>
    <w:rsid w:val="00133B37"/>
    <w:rsid w:val="001377FA"/>
    <w:rsid w:val="0014020D"/>
    <w:rsid w:val="00140E0D"/>
    <w:rsid w:val="001439D0"/>
    <w:rsid w:val="0014464D"/>
    <w:rsid w:val="00145704"/>
    <w:rsid w:val="00147F82"/>
    <w:rsid w:val="00152925"/>
    <w:rsid w:val="00153473"/>
    <w:rsid w:val="0015415A"/>
    <w:rsid w:val="00156EFD"/>
    <w:rsid w:val="00173181"/>
    <w:rsid w:val="00174E28"/>
    <w:rsid w:val="00176A6A"/>
    <w:rsid w:val="00182CE9"/>
    <w:rsid w:val="00186B89"/>
    <w:rsid w:val="001914FB"/>
    <w:rsid w:val="00193879"/>
    <w:rsid w:val="0019732F"/>
    <w:rsid w:val="001A7520"/>
    <w:rsid w:val="001B3DDA"/>
    <w:rsid w:val="001B75C2"/>
    <w:rsid w:val="001C0C15"/>
    <w:rsid w:val="001C0C16"/>
    <w:rsid w:val="001C1353"/>
    <w:rsid w:val="001C1C31"/>
    <w:rsid w:val="001C2AD6"/>
    <w:rsid w:val="001C54D5"/>
    <w:rsid w:val="001C600A"/>
    <w:rsid w:val="001C6E3D"/>
    <w:rsid w:val="001D1941"/>
    <w:rsid w:val="001E0E91"/>
    <w:rsid w:val="001E29E2"/>
    <w:rsid w:val="001F0397"/>
    <w:rsid w:val="001F082A"/>
    <w:rsid w:val="001F1AF7"/>
    <w:rsid w:val="001F5819"/>
    <w:rsid w:val="001F59E4"/>
    <w:rsid w:val="00200572"/>
    <w:rsid w:val="002015DD"/>
    <w:rsid w:val="00202D64"/>
    <w:rsid w:val="00202F31"/>
    <w:rsid w:val="00206CF0"/>
    <w:rsid w:val="0020782B"/>
    <w:rsid w:val="00211B42"/>
    <w:rsid w:val="00215F66"/>
    <w:rsid w:val="00216076"/>
    <w:rsid w:val="00216FAF"/>
    <w:rsid w:val="00225356"/>
    <w:rsid w:val="00226B05"/>
    <w:rsid w:val="0022780E"/>
    <w:rsid w:val="00230C52"/>
    <w:rsid w:val="00232238"/>
    <w:rsid w:val="00236637"/>
    <w:rsid w:val="0024083B"/>
    <w:rsid w:val="00240867"/>
    <w:rsid w:val="00240F4B"/>
    <w:rsid w:val="0024110B"/>
    <w:rsid w:val="002418DC"/>
    <w:rsid w:val="00245529"/>
    <w:rsid w:val="002462D5"/>
    <w:rsid w:val="00246E86"/>
    <w:rsid w:val="00252CBF"/>
    <w:rsid w:val="002539BB"/>
    <w:rsid w:val="00255D07"/>
    <w:rsid w:val="00257192"/>
    <w:rsid w:val="00257422"/>
    <w:rsid w:val="0026149B"/>
    <w:rsid w:val="0027156A"/>
    <w:rsid w:val="002831CB"/>
    <w:rsid w:val="0028610D"/>
    <w:rsid w:val="00286246"/>
    <w:rsid w:val="00287565"/>
    <w:rsid w:val="0029412B"/>
    <w:rsid w:val="00297745"/>
    <w:rsid w:val="002A201A"/>
    <w:rsid w:val="002A6414"/>
    <w:rsid w:val="002B4BD8"/>
    <w:rsid w:val="002C1225"/>
    <w:rsid w:val="002C5A84"/>
    <w:rsid w:val="002D12F8"/>
    <w:rsid w:val="002D441F"/>
    <w:rsid w:val="002D53A0"/>
    <w:rsid w:val="002E07C3"/>
    <w:rsid w:val="002E4705"/>
    <w:rsid w:val="002E4D98"/>
    <w:rsid w:val="002E539B"/>
    <w:rsid w:val="002E58F9"/>
    <w:rsid w:val="002E6998"/>
    <w:rsid w:val="002F2F46"/>
    <w:rsid w:val="002F419A"/>
    <w:rsid w:val="002F7A4D"/>
    <w:rsid w:val="003018A3"/>
    <w:rsid w:val="003021A0"/>
    <w:rsid w:val="00302F5E"/>
    <w:rsid w:val="00316315"/>
    <w:rsid w:val="00317CF6"/>
    <w:rsid w:val="00320BDC"/>
    <w:rsid w:val="00322AE4"/>
    <w:rsid w:val="0032442D"/>
    <w:rsid w:val="00325860"/>
    <w:rsid w:val="00326B7B"/>
    <w:rsid w:val="00332882"/>
    <w:rsid w:val="00336853"/>
    <w:rsid w:val="00342316"/>
    <w:rsid w:val="003429BA"/>
    <w:rsid w:val="00344F71"/>
    <w:rsid w:val="00355217"/>
    <w:rsid w:val="00357E65"/>
    <w:rsid w:val="00367A53"/>
    <w:rsid w:val="00377A48"/>
    <w:rsid w:val="0039265F"/>
    <w:rsid w:val="003A178C"/>
    <w:rsid w:val="003A1C4C"/>
    <w:rsid w:val="003A5815"/>
    <w:rsid w:val="003C31C0"/>
    <w:rsid w:val="003C79FD"/>
    <w:rsid w:val="003C7E54"/>
    <w:rsid w:val="003D4730"/>
    <w:rsid w:val="003D75F0"/>
    <w:rsid w:val="003D7CFE"/>
    <w:rsid w:val="003E00A6"/>
    <w:rsid w:val="003E242F"/>
    <w:rsid w:val="003E2566"/>
    <w:rsid w:val="003E78AA"/>
    <w:rsid w:val="003F09F6"/>
    <w:rsid w:val="003F0AD9"/>
    <w:rsid w:val="003F18AB"/>
    <w:rsid w:val="003F1AE3"/>
    <w:rsid w:val="003F2304"/>
    <w:rsid w:val="003F2883"/>
    <w:rsid w:val="00406207"/>
    <w:rsid w:val="00406A5E"/>
    <w:rsid w:val="0041542D"/>
    <w:rsid w:val="004165F7"/>
    <w:rsid w:val="004179DB"/>
    <w:rsid w:val="00422E74"/>
    <w:rsid w:val="00423B49"/>
    <w:rsid w:val="00423D4C"/>
    <w:rsid w:val="00431D99"/>
    <w:rsid w:val="004363B8"/>
    <w:rsid w:val="00436DAA"/>
    <w:rsid w:val="00437C59"/>
    <w:rsid w:val="00454DD1"/>
    <w:rsid w:val="0045637A"/>
    <w:rsid w:val="00456390"/>
    <w:rsid w:val="0047151E"/>
    <w:rsid w:val="004752FB"/>
    <w:rsid w:val="00480467"/>
    <w:rsid w:val="0048104C"/>
    <w:rsid w:val="0048316C"/>
    <w:rsid w:val="00483987"/>
    <w:rsid w:val="00483A80"/>
    <w:rsid w:val="00485042"/>
    <w:rsid w:val="004A0525"/>
    <w:rsid w:val="004A1F48"/>
    <w:rsid w:val="004A3454"/>
    <w:rsid w:val="004A46AC"/>
    <w:rsid w:val="004A6F0F"/>
    <w:rsid w:val="004B0EC1"/>
    <w:rsid w:val="004B27A0"/>
    <w:rsid w:val="004B3149"/>
    <w:rsid w:val="004C4058"/>
    <w:rsid w:val="004C5DE4"/>
    <w:rsid w:val="004D03B2"/>
    <w:rsid w:val="004D0EEE"/>
    <w:rsid w:val="004D1EBF"/>
    <w:rsid w:val="004D3AA0"/>
    <w:rsid w:val="004D42B8"/>
    <w:rsid w:val="004E1C50"/>
    <w:rsid w:val="004E2E17"/>
    <w:rsid w:val="004E5B77"/>
    <w:rsid w:val="004E78CA"/>
    <w:rsid w:val="004F7A8C"/>
    <w:rsid w:val="00507267"/>
    <w:rsid w:val="00510FB5"/>
    <w:rsid w:val="00513F1A"/>
    <w:rsid w:val="00514C50"/>
    <w:rsid w:val="0051698F"/>
    <w:rsid w:val="0051712A"/>
    <w:rsid w:val="00517CA0"/>
    <w:rsid w:val="0052130A"/>
    <w:rsid w:val="00531DFB"/>
    <w:rsid w:val="0053278B"/>
    <w:rsid w:val="0053305D"/>
    <w:rsid w:val="00533609"/>
    <w:rsid w:val="00544955"/>
    <w:rsid w:val="0056109A"/>
    <w:rsid w:val="005648C5"/>
    <w:rsid w:val="00566DF7"/>
    <w:rsid w:val="00585CE1"/>
    <w:rsid w:val="00591F7B"/>
    <w:rsid w:val="005966F1"/>
    <w:rsid w:val="005A5B12"/>
    <w:rsid w:val="005A693F"/>
    <w:rsid w:val="005B2ECC"/>
    <w:rsid w:val="005B4D0D"/>
    <w:rsid w:val="005B758C"/>
    <w:rsid w:val="005C4AEB"/>
    <w:rsid w:val="005C732A"/>
    <w:rsid w:val="005E0886"/>
    <w:rsid w:val="005E0DFC"/>
    <w:rsid w:val="005E0FB0"/>
    <w:rsid w:val="005E25EC"/>
    <w:rsid w:val="005E2885"/>
    <w:rsid w:val="005E2AB6"/>
    <w:rsid w:val="005E5C90"/>
    <w:rsid w:val="005F371B"/>
    <w:rsid w:val="005F3C94"/>
    <w:rsid w:val="005F45CC"/>
    <w:rsid w:val="005F4A6C"/>
    <w:rsid w:val="00604F48"/>
    <w:rsid w:val="00606A1D"/>
    <w:rsid w:val="00611833"/>
    <w:rsid w:val="00614CBE"/>
    <w:rsid w:val="00617DC0"/>
    <w:rsid w:val="00621D5D"/>
    <w:rsid w:val="0062332F"/>
    <w:rsid w:val="00624FAE"/>
    <w:rsid w:val="006278C3"/>
    <w:rsid w:val="00634E4B"/>
    <w:rsid w:val="00644C0E"/>
    <w:rsid w:val="006473C8"/>
    <w:rsid w:val="0066488F"/>
    <w:rsid w:val="00665118"/>
    <w:rsid w:val="00665413"/>
    <w:rsid w:val="00667A3F"/>
    <w:rsid w:val="006715F3"/>
    <w:rsid w:val="00671DF9"/>
    <w:rsid w:val="00675943"/>
    <w:rsid w:val="00677C36"/>
    <w:rsid w:val="0068737E"/>
    <w:rsid w:val="00687427"/>
    <w:rsid w:val="006934BA"/>
    <w:rsid w:val="006A49E3"/>
    <w:rsid w:val="006A5899"/>
    <w:rsid w:val="006A6048"/>
    <w:rsid w:val="006A64CC"/>
    <w:rsid w:val="006A6AB4"/>
    <w:rsid w:val="006B1BE8"/>
    <w:rsid w:val="006C61E6"/>
    <w:rsid w:val="006D1629"/>
    <w:rsid w:val="006D1FB5"/>
    <w:rsid w:val="006E40DA"/>
    <w:rsid w:val="006E7C9F"/>
    <w:rsid w:val="006F1BC5"/>
    <w:rsid w:val="006F5027"/>
    <w:rsid w:val="006F5F13"/>
    <w:rsid w:val="0070125B"/>
    <w:rsid w:val="00701D87"/>
    <w:rsid w:val="007075E0"/>
    <w:rsid w:val="00707C15"/>
    <w:rsid w:val="00710548"/>
    <w:rsid w:val="00710D47"/>
    <w:rsid w:val="007165A6"/>
    <w:rsid w:val="00723F89"/>
    <w:rsid w:val="00732594"/>
    <w:rsid w:val="00732624"/>
    <w:rsid w:val="00733E2F"/>
    <w:rsid w:val="00733FBF"/>
    <w:rsid w:val="007362C3"/>
    <w:rsid w:val="00751398"/>
    <w:rsid w:val="00753465"/>
    <w:rsid w:val="00754B8C"/>
    <w:rsid w:val="0075518A"/>
    <w:rsid w:val="00757A42"/>
    <w:rsid w:val="0076070E"/>
    <w:rsid w:val="00767C92"/>
    <w:rsid w:val="00773918"/>
    <w:rsid w:val="00774A48"/>
    <w:rsid w:val="00774FF9"/>
    <w:rsid w:val="007806D0"/>
    <w:rsid w:val="00781F65"/>
    <w:rsid w:val="007833AC"/>
    <w:rsid w:val="00784CDA"/>
    <w:rsid w:val="0078624A"/>
    <w:rsid w:val="00786C8F"/>
    <w:rsid w:val="00786FA5"/>
    <w:rsid w:val="007A2B16"/>
    <w:rsid w:val="007A4A95"/>
    <w:rsid w:val="007B69C0"/>
    <w:rsid w:val="007C03EB"/>
    <w:rsid w:val="007C18A4"/>
    <w:rsid w:val="007D5339"/>
    <w:rsid w:val="007D66D5"/>
    <w:rsid w:val="007E2381"/>
    <w:rsid w:val="007E2D58"/>
    <w:rsid w:val="007E6390"/>
    <w:rsid w:val="007E6BD4"/>
    <w:rsid w:val="007F08B2"/>
    <w:rsid w:val="007F1806"/>
    <w:rsid w:val="007F39C0"/>
    <w:rsid w:val="007F5329"/>
    <w:rsid w:val="008008B9"/>
    <w:rsid w:val="00801387"/>
    <w:rsid w:val="00804F66"/>
    <w:rsid w:val="00806F99"/>
    <w:rsid w:val="00810F10"/>
    <w:rsid w:val="00811B19"/>
    <w:rsid w:val="00812DF9"/>
    <w:rsid w:val="00814E4D"/>
    <w:rsid w:val="00815369"/>
    <w:rsid w:val="00826E51"/>
    <w:rsid w:val="00827D04"/>
    <w:rsid w:val="00830C07"/>
    <w:rsid w:val="00834632"/>
    <w:rsid w:val="00837FEE"/>
    <w:rsid w:val="00842042"/>
    <w:rsid w:val="00844615"/>
    <w:rsid w:val="00845A6B"/>
    <w:rsid w:val="00846D31"/>
    <w:rsid w:val="008503C7"/>
    <w:rsid w:val="00850F50"/>
    <w:rsid w:val="00850FC4"/>
    <w:rsid w:val="00851EF4"/>
    <w:rsid w:val="00853A8F"/>
    <w:rsid w:val="00865F50"/>
    <w:rsid w:val="008708D3"/>
    <w:rsid w:val="00875F89"/>
    <w:rsid w:val="00876B58"/>
    <w:rsid w:val="008849CA"/>
    <w:rsid w:val="008854A1"/>
    <w:rsid w:val="00885639"/>
    <w:rsid w:val="00892FAF"/>
    <w:rsid w:val="00893906"/>
    <w:rsid w:val="008A5A19"/>
    <w:rsid w:val="008C4792"/>
    <w:rsid w:val="008D344A"/>
    <w:rsid w:val="008D4823"/>
    <w:rsid w:val="008F0751"/>
    <w:rsid w:val="008F2567"/>
    <w:rsid w:val="008F3A30"/>
    <w:rsid w:val="008F62F2"/>
    <w:rsid w:val="00903596"/>
    <w:rsid w:val="0090405B"/>
    <w:rsid w:val="009145B4"/>
    <w:rsid w:val="009151E0"/>
    <w:rsid w:val="00921208"/>
    <w:rsid w:val="009246F2"/>
    <w:rsid w:val="00927871"/>
    <w:rsid w:val="00930012"/>
    <w:rsid w:val="00930CEF"/>
    <w:rsid w:val="00931894"/>
    <w:rsid w:val="009326A6"/>
    <w:rsid w:val="00935610"/>
    <w:rsid w:val="0093648D"/>
    <w:rsid w:val="0093789F"/>
    <w:rsid w:val="00945A1C"/>
    <w:rsid w:val="009474ED"/>
    <w:rsid w:val="00955CE2"/>
    <w:rsid w:val="00960690"/>
    <w:rsid w:val="0096325B"/>
    <w:rsid w:val="009713FC"/>
    <w:rsid w:val="00975757"/>
    <w:rsid w:val="00977BA3"/>
    <w:rsid w:val="00977C81"/>
    <w:rsid w:val="0098592D"/>
    <w:rsid w:val="00987E6D"/>
    <w:rsid w:val="009906F8"/>
    <w:rsid w:val="00995268"/>
    <w:rsid w:val="009A355D"/>
    <w:rsid w:val="009A5B4E"/>
    <w:rsid w:val="009A5C50"/>
    <w:rsid w:val="009B4161"/>
    <w:rsid w:val="009B4195"/>
    <w:rsid w:val="009C3353"/>
    <w:rsid w:val="009C4024"/>
    <w:rsid w:val="009C4814"/>
    <w:rsid w:val="009C6737"/>
    <w:rsid w:val="009D23B5"/>
    <w:rsid w:val="009D38F9"/>
    <w:rsid w:val="009D67F7"/>
    <w:rsid w:val="009D74E6"/>
    <w:rsid w:val="009E0B5A"/>
    <w:rsid w:val="009E60D8"/>
    <w:rsid w:val="009F4CD3"/>
    <w:rsid w:val="00A0443D"/>
    <w:rsid w:val="00A071C7"/>
    <w:rsid w:val="00A2155B"/>
    <w:rsid w:val="00A21CA1"/>
    <w:rsid w:val="00A229B8"/>
    <w:rsid w:val="00A240A3"/>
    <w:rsid w:val="00A27982"/>
    <w:rsid w:val="00A305C7"/>
    <w:rsid w:val="00A42A64"/>
    <w:rsid w:val="00A515A6"/>
    <w:rsid w:val="00A52509"/>
    <w:rsid w:val="00A54051"/>
    <w:rsid w:val="00A67FCB"/>
    <w:rsid w:val="00A704F0"/>
    <w:rsid w:val="00A72DF7"/>
    <w:rsid w:val="00A80762"/>
    <w:rsid w:val="00A8434B"/>
    <w:rsid w:val="00A87CA6"/>
    <w:rsid w:val="00A91462"/>
    <w:rsid w:val="00A928DA"/>
    <w:rsid w:val="00A93BCC"/>
    <w:rsid w:val="00AA3B8F"/>
    <w:rsid w:val="00AA3DC8"/>
    <w:rsid w:val="00AA55DB"/>
    <w:rsid w:val="00AA6B62"/>
    <w:rsid w:val="00AB29B3"/>
    <w:rsid w:val="00AB4305"/>
    <w:rsid w:val="00AB4767"/>
    <w:rsid w:val="00AC1118"/>
    <w:rsid w:val="00AC2CAB"/>
    <w:rsid w:val="00AD13F0"/>
    <w:rsid w:val="00AD34B1"/>
    <w:rsid w:val="00AE2947"/>
    <w:rsid w:val="00AE29A1"/>
    <w:rsid w:val="00AE6E94"/>
    <w:rsid w:val="00AF22C8"/>
    <w:rsid w:val="00AF59AC"/>
    <w:rsid w:val="00B028DE"/>
    <w:rsid w:val="00B04B92"/>
    <w:rsid w:val="00B171CD"/>
    <w:rsid w:val="00B24CC6"/>
    <w:rsid w:val="00B30F18"/>
    <w:rsid w:val="00B32763"/>
    <w:rsid w:val="00B32BC8"/>
    <w:rsid w:val="00B344FB"/>
    <w:rsid w:val="00B506BC"/>
    <w:rsid w:val="00B5535D"/>
    <w:rsid w:val="00B55433"/>
    <w:rsid w:val="00B5649C"/>
    <w:rsid w:val="00B64272"/>
    <w:rsid w:val="00B65AAB"/>
    <w:rsid w:val="00B666EB"/>
    <w:rsid w:val="00B7307A"/>
    <w:rsid w:val="00B73566"/>
    <w:rsid w:val="00B736E6"/>
    <w:rsid w:val="00B7431E"/>
    <w:rsid w:val="00B770B2"/>
    <w:rsid w:val="00B8005E"/>
    <w:rsid w:val="00B80183"/>
    <w:rsid w:val="00B80502"/>
    <w:rsid w:val="00B81F74"/>
    <w:rsid w:val="00B821A4"/>
    <w:rsid w:val="00B91348"/>
    <w:rsid w:val="00B93D01"/>
    <w:rsid w:val="00B94EDB"/>
    <w:rsid w:val="00BA6716"/>
    <w:rsid w:val="00BA7E3F"/>
    <w:rsid w:val="00BB1360"/>
    <w:rsid w:val="00BB3C9E"/>
    <w:rsid w:val="00BB45F5"/>
    <w:rsid w:val="00BD05FF"/>
    <w:rsid w:val="00BD1B75"/>
    <w:rsid w:val="00BD3B17"/>
    <w:rsid w:val="00BD5E7F"/>
    <w:rsid w:val="00BE0B72"/>
    <w:rsid w:val="00BE10E5"/>
    <w:rsid w:val="00BE2F74"/>
    <w:rsid w:val="00BE3164"/>
    <w:rsid w:val="00BE56DF"/>
    <w:rsid w:val="00BF0B04"/>
    <w:rsid w:val="00BF4549"/>
    <w:rsid w:val="00BF4A02"/>
    <w:rsid w:val="00BF4C84"/>
    <w:rsid w:val="00BF4CB4"/>
    <w:rsid w:val="00BF6F5E"/>
    <w:rsid w:val="00BF79C9"/>
    <w:rsid w:val="00C01931"/>
    <w:rsid w:val="00C01EAF"/>
    <w:rsid w:val="00C04033"/>
    <w:rsid w:val="00C041D7"/>
    <w:rsid w:val="00C11F3A"/>
    <w:rsid w:val="00C16362"/>
    <w:rsid w:val="00C229BE"/>
    <w:rsid w:val="00C27388"/>
    <w:rsid w:val="00C33FC8"/>
    <w:rsid w:val="00C34F56"/>
    <w:rsid w:val="00C37DF5"/>
    <w:rsid w:val="00C418AD"/>
    <w:rsid w:val="00C41992"/>
    <w:rsid w:val="00C43430"/>
    <w:rsid w:val="00C44D65"/>
    <w:rsid w:val="00C459AF"/>
    <w:rsid w:val="00C51D3C"/>
    <w:rsid w:val="00C5212E"/>
    <w:rsid w:val="00C52F30"/>
    <w:rsid w:val="00C55CB4"/>
    <w:rsid w:val="00C5702F"/>
    <w:rsid w:val="00C64D52"/>
    <w:rsid w:val="00C64E8D"/>
    <w:rsid w:val="00C6507F"/>
    <w:rsid w:val="00C67A9B"/>
    <w:rsid w:val="00C732AA"/>
    <w:rsid w:val="00C82738"/>
    <w:rsid w:val="00C844CE"/>
    <w:rsid w:val="00C84F19"/>
    <w:rsid w:val="00C85955"/>
    <w:rsid w:val="00C92E81"/>
    <w:rsid w:val="00C96649"/>
    <w:rsid w:val="00C976AB"/>
    <w:rsid w:val="00C97B85"/>
    <w:rsid w:val="00C97FA4"/>
    <w:rsid w:val="00CA45CC"/>
    <w:rsid w:val="00CA6607"/>
    <w:rsid w:val="00CA7155"/>
    <w:rsid w:val="00CA77D1"/>
    <w:rsid w:val="00CB0B24"/>
    <w:rsid w:val="00CB3043"/>
    <w:rsid w:val="00CB5E64"/>
    <w:rsid w:val="00CC0C72"/>
    <w:rsid w:val="00CC2F57"/>
    <w:rsid w:val="00CC44EA"/>
    <w:rsid w:val="00CD0404"/>
    <w:rsid w:val="00CD0653"/>
    <w:rsid w:val="00CD7D19"/>
    <w:rsid w:val="00CE0BDB"/>
    <w:rsid w:val="00CE7610"/>
    <w:rsid w:val="00CF24A6"/>
    <w:rsid w:val="00CF3CFD"/>
    <w:rsid w:val="00CF6029"/>
    <w:rsid w:val="00D03816"/>
    <w:rsid w:val="00D04538"/>
    <w:rsid w:val="00D11249"/>
    <w:rsid w:val="00D12E16"/>
    <w:rsid w:val="00D1456D"/>
    <w:rsid w:val="00D1644E"/>
    <w:rsid w:val="00D1653D"/>
    <w:rsid w:val="00D20249"/>
    <w:rsid w:val="00D22C21"/>
    <w:rsid w:val="00D30DC1"/>
    <w:rsid w:val="00D316D6"/>
    <w:rsid w:val="00D34EDC"/>
    <w:rsid w:val="00D40CD3"/>
    <w:rsid w:val="00D426A7"/>
    <w:rsid w:val="00D45B5F"/>
    <w:rsid w:val="00D517B4"/>
    <w:rsid w:val="00D54434"/>
    <w:rsid w:val="00D559AF"/>
    <w:rsid w:val="00D57F3B"/>
    <w:rsid w:val="00D64017"/>
    <w:rsid w:val="00D667AF"/>
    <w:rsid w:val="00D7148F"/>
    <w:rsid w:val="00D76651"/>
    <w:rsid w:val="00D83950"/>
    <w:rsid w:val="00D863D7"/>
    <w:rsid w:val="00D86E48"/>
    <w:rsid w:val="00D87352"/>
    <w:rsid w:val="00D90551"/>
    <w:rsid w:val="00DA301E"/>
    <w:rsid w:val="00DA3B48"/>
    <w:rsid w:val="00DA7E37"/>
    <w:rsid w:val="00DA7E3E"/>
    <w:rsid w:val="00DB52E3"/>
    <w:rsid w:val="00DC0403"/>
    <w:rsid w:val="00DC1456"/>
    <w:rsid w:val="00DC2E10"/>
    <w:rsid w:val="00DC5CA4"/>
    <w:rsid w:val="00DD7243"/>
    <w:rsid w:val="00DE1E11"/>
    <w:rsid w:val="00DE6EC8"/>
    <w:rsid w:val="00DF021E"/>
    <w:rsid w:val="00DF38C0"/>
    <w:rsid w:val="00DF7D83"/>
    <w:rsid w:val="00E031C5"/>
    <w:rsid w:val="00E06145"/>
    <w:rsid w:val="00E0747F"/>
    <w:rsid w:val="00E11080"/>
    <w:rsid w:val="00E11291"/>
    <w:rsid w:val="00E13DD1"/>
    <w:rsid w:val="00E153F2"/>
    <w:rsid w:val="00E161CF"/>
    <w:rsid w:val="00E22A45"/>
    <w:rsid w:val="00E25293"/>
    <w:rsid w:val="00E307E7"/>
    <w:rsid w:val="00E313EF"/>
    <w:rsid w:val="00E33A09"/>
    <w:rsid w:val="00E353ED"/>
    <w:rsid w:val="00E35788"/>
    <w:rsid w:val="00E403B7"/>
    <w:rsid w:val="00E40CA3"/>
    <w:rsid w:val="00E565A6"/>
    <w:rsid w:val="00E56622"/>
    <w:rsid w:val="00E610BA"/>
    <w:rsid w:val="00E612F7"/>
    <w:rsid w:val="00E63A04"/>
    <w:rsid w:val="00E645A3"/>
    <w:rsid w:val="00E66727"/>
    <w:rsid w:val="00E67F54"/>
    <w:rsid w:val="00E70E21"/>
    <w:rsid w:val="00E75F48"/>
    <w:rsid w:val="00E76252"/>
    <w:rsid w:val="00E7684E"/>
    <w:rsid w:val="00E80353"/>
    <w:rsid w:val="00E809D4"/>
    <w:rsid w:val="00E82B34"/>
    <w:rsid w:val="00E908DE"/>
    <w:rsid w:val="00E9297A"/>
    <w:rsid w:val="00E945EA"/>
    <w:rsid w:val="00E96F50"/>
    <w:rsid w:val="00E97846"/>
    <w:rsid w:val="00E97863"/>
    <w:rsid w:val="00EA1EE2"/>
    <w:rsid w:val="00EB09B4"/>
    <w:rsid w:val="00EC3BC2"/>
    <w:rsid w:val="00EC6074"/>
    <w:rsid w:val="00ED583D"/>
    <w:rsid w:val="00ED6E5C"/>
    <w:rsid w:val="00ED7C85"/>
    <w:rsid w:val="00EE15F2"/>
    <w:rsid w:val="00EE1D93"/>
    <w:rsid w:val="00EE3E3B"/>
    <w:rsid w:val="00EF1D89"/>
    <w:rsid w:val="00EF2FD6"/>
    <w:rsid w:val="00F0334D"/>
    <w:rsid w:val="00F0760E"/>
    <w:rsid w:val="00F1203D"/>
    <w:rsid w:val="00F1452B"/>
    <w:rsid w:val="00F43579"/>
    <w:rsid w:val="00F43E5F"/>
    <w:rsid w:val="00F51038"/>
    <w:rsid w:val="00F5427D"/>
    <w:rsid w:val="00F5535A"/>
    <w:rsid w:val="00F5617D"/>
    <w:rsid w:val="00F703D7"/>
    <w:rsid w:val="00F71281"/>
    <w:rsid w:val="00F75ABD"/>
    <w:rsid w:val="00F82B6D"/>
    <w:rsid w:val="00F85A23"/>
    <w:rsid w:val="00F86C9F"/>
    <w:rsid w:val="00F925C6"/>
    <w:rsid w:val="00F93607"/>
    <w:rsid w:val="00FA16C0"/>
    <w:rsid w:val="00FA517C"/>
    <w:rsid w:val="00FB2308"/>
    <w:rsid w:val="00FB42E4"/>
    <w:rsid w:val="00FB6C61"/>
    <w:rsid w:val="00FD0577"/>
    <w:rsid w:val="00FD2822"/>
    <w:rsid w:val="00FD286B"/>
    <w:rsid w:val="00FE1667"/>
    <w:rsid w:val="00FE3727"/>
    <w:rsid w:val="00FE41E4"/>
    <w:rsid w:val="00FE6E23"/>
    <w:rsid w:val="00FF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D6EA"/>
  <w15:chartTrackingRefBased/>
  <w15:docId w15:val="{3033F67D-8792-4F31-BC54-C55B27A6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6AC"/>
  </w:style>
  <w:style w:type="paragraph" w:styleId="Heading1">
    <w:name w:val="heading 1"/>
    <w:basedOn w:val="Normal"/>
    <w:next w:val="Normal"/>
    <w:link w:val="Heading1Char"/>
    <w:uiPriority w:val="9"/>
    <w:qFormat/>
    <w:rsid w:val="004752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0B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344A"/>
    <w:pPr>
      <w:spacing w:after="0" w:line="240" w:lineRule="auto"/>
    </w:pPr>
  </w:style>
  <w:style w:type="paragraph" w:styleId="BalloonText">
    <w:name w:val="Balloon Text"/>
    <w:basedOn w:val="Normal"/>
    <w:link w:val="BalloonTextChar"/>
    <w:uiPriority w:val="99"/>
    <w:semiHidden/>
    <w:unhideWhenUsed/>
    <w:rsid w:val="002E4D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D98"/>
    <w:rPr>
      <w:rFonts w:ascii="Segoe UI" w:hAnsi="Segoe UI" w:cs="Segoe UI"/>
      <w:sz w:val="18"/>
      <w:szCs w:val="18"/>
    </w:rPr>
  </w:style>
  <w:style w:type="table" w:styleId="TableGrid">
    <w:name w:val="Table Grid"/>
    <w:basedOn w:val="TableNormal"/>
    <w:uiPriority w:val="39"/>
    <w:rsid w:val="00154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6F0F"/>
    <w:rPr>
      <w:color w:val="0563C1" w:themeColor="hyperlink"/>
      <w:u w:val="single"/>
    </w:rPr>
  </w:style>
  <w:style w:type="paragraph" w:customStyle="1" w:styleId="EndNoteBibliographyTitle">
    <w:name w:val="EndNote Bibliography Title"/>
    <w:basedOn w:val="Normal"/>
    <w:link w:val="EndNoteBibliographyTitleChar"/>
    <w:rsid w:val="00611833"/>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611833"/>
  </w:style>
  <w:style w:type="character" w:customStyle="1" w:styleId="EndNoteBibliographyTitleChar">
    <w:name w:val="EndNote Bibliography Title Char"/>
    <w:basedOn w:val="NoSpacingChar"/>
    <w:link w:val="EndNoteBibliographyTitle"/>
    <w:rsid w:val="00611833"/>
    <w:rPr>
      <w:rFonts w:ascii="Calibri" w:hAnsi="Calibri" w:cs="Calibri"/>
      <w:noProof/>
    </w:rPr>
  </w:style>
  <w:style w:type="paragraph" w:customStyle="1" w:styleId="EndNoteBibliography">
    <w:name w:val="EndNote Bibliography"/>
    <w:basedOn w:val="Normal"/>
    <w:link w:val="EndNoteBibliographyChar"/>
    <w:rsid w:val="00611833"/>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611833"/>
    <w:rPr>
      <w:rFonts w:ascii="Calibri" w:hAnsi="Calibri" w:cs="Calibri"/>
      <w:noProof/>
    </w:rPr>
  </w:style>
  <w:style w:type="character" w:styleId="Emphasis">
    <w:name w:val="Emphasis"/>
    <w:basedOn w:val="DefaultParagraphFont"/>
    <w:uiPriority w:val="20"/>
    <w:qFormat/>
    <w:rsid w:val="00FE41E4"/>
    <w:rPr>
      <w:i/>
      <w:iCs/>
    </w:rPr>
  </w:style>
  <w:style w:type="character" w:customStyle="1" w:styleId="Heading1Char">
    <w:name w:val="Heading 1 Char"/>
    <w:basedOn w:val="DefaultParagraphFont"/>
    <w:link w:val="Heading1"/>
    <w:uiPriority w:val="9"/>
    <w:rsid w:val="004752FB"/>
    <w:rPr>
      <w:rFonts w:asciiTheme="majorHAnsi" w:eastAsiaTheme="majorEastAsia" w:hAnsiTheme="majorHAnsi" w:cstheme="majorBidi"/>
      <w:color w:val="2E74B5" w:themeColor="accent1" w:themeShade="BF"/>
      <w:sz w:val="32"/>
      <w:szCs w:val="32"/>
    </w:rPr>
  </w:style>
  <w:style w:type="table" w:styleId="PlainTable3">
    <w:name w:val="Plain Table 3"/>
    <w:basedOn w:val="TableNormal"/>
    <w:uiPriority w:val="43"/>
    <w:rsid w:val="002411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D2822"/>
    <w:pPr>
      <w:spacing w:after="200" w:line="240" w:lineRule="auto"/>
    </w:pPr>
    <w:rPr>
      <w:i/>
      <w:iCs/>
      <w:color w:val="44546A" w:themeColor="text2"/>
      <w:sz w:val="18"/>
      <w:szCs w:val="18"/>
    </w:rPr>
  </w:style>
  <w:style w:type="table" w:styleId="PlainTable5">
    <w:name w:val="Plain Table 5"/>
    <w:basedOn w:val="TableNormal"/>
    <w:uiPriority w:val="45"/>
    <w:rsid w:val="002418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2418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418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7833AC"/>
    <w:rPr>
      <w:sz w:val="16"/>
      <w:szCs w:val="16"/>
    </w:rPr>
  </w:style>
  <w:style w:type="paragraph" w:styleId="CommentText">
    <w:name w:val="annotation text"/>
    <w:basedOn w:val="Normal"/>
    <w:link w:val="CommentTextChar"/>
    <w:uiPriority w:val="99"/>
    <w:semiHidden/>
    <w:unhideWhenUsed/>
    <w:rsid w:val="007833AC"/>
    <w:pPr>
      <w:spacing w:line="240" w:lineRule="auto"/>
    </w:pPr>
    <w:rPr>
      <w:sz w:val="20"/>
      <w:szCs w:val="20"/>
    </w:rPr>
  </w:style>
  <w:style w:type="character" w:customStyle="1" w:styleId="CommentTextChar">
    <w:name w:val="Comment Text Char"/>
    <w:basedOn w:val="DefaultParagraphFont"/>
    <w:link w:val="CommentText"/>
    <w:uiPriority w:val="99"/>
    <w:semiHidden/>
    <w:rsid w:val="007833AC"/>
    <w:rPr>
      <w:sz w:val="20"/>
      <w:szCs w:val="20"/>
    </w:rPr>
  </w:style>
  <w:style w:type="paragraph" w:styleId="CommentSubject">
    <w:name w:val="annotation subject"/>
    <w:basedOn w:val="CommentText"/>
    <w:next w:val="CommentText"/>
    <w:link w:val="CommentSubjectChar"/>
    <w:uiPriority w:val="99"/>
    <w:semiHidden/>
    <w:unhideWhenUsed/>
    <w:rsid w:val="007833AC"/>
    <w:rPr>
      <w:b/>
      <w:bCs/>
    </w:rPr>
  </w:style>
  <w:style w:type="character" w:customStyle="1" w:styleId="CommentSubjectChar">
    <w:name w:val="Comment Subject Char"/>
    <w:basedOn w:val="CommentTextChar"/>
    <w:link w:val="CommentSubject"/>
    <w:uiPriority w:val="99"/>
    <w:semiHidden/>
    <w:rsid w:val="007833AC"/>
    <w:rPr>
      <w:b/>
      <w:bCs/>
      <w:sz w:val="20"/>
      <w:szCs w:val="20"/>
    </w:rPr>
  </w:style>
  <w:style w:type="character" w:styleId="PlaceholderText">
    <w:name w:val="Placeholder Text"/>
    <w:basedOn w:val="DefaultParagraphFont"/>
    <w:uiPriority w:val="99"/>
    <w:semiHidden/>
    <w:rsid w:val="009D67F7"/>
    <w:rPr>
      <w:color w:val="808080"/>
    </w:rPr>
  </w:style>
  <w:style w:type="character" w:customStyle="1" w:styleId="Heading2Char">
    <w:name w:val="Heading 2 Char"/>
    <w:basedOn w:val="DefaultParagraphFont"/>
    <w:link w:val="Heading2"/>
    <w:uiPriority w:val="9"/>
    <w:semiHidden/>
    <w:rsid w:val="00BF0B0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40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B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1B75"/>
    <w:rPr>
      <w:rFonts w:eastAsiaTheme="minorEastAsia"/>
      <w:color w:val="5A5A5A" w:themeColor="text1" w:themeTint="A5"/>
      <w:spacing w:val="15"/>
    </w:rPr>
  </w:style>
  <w:style w:type="character" w:styleId="SubtleEmphasis">
    <w:name w:val="Subtle Emphasis"/>
    <w:basedOn w:val="DefaultParagraphFont"/>
    <w:uiPriority w:val="19"/>
    <w:qFormat/>
    <w:rsid w:val="0039265F"/>
    <w:rPr>
      <w:i/>
      <w:iCs/>
      <w:color w:val="404040" w:themeColor="text1" w:themeTint="BF"/>
    </w:rPr>
  </w:style>
  <w:style w:type="table" w:styleId="GridTable2-Accent4">
    <w:name w:val="Grid Table 2 Accent 4"/>
    <w:basedOn w:val="TableNormal"/>
    <w:uiPriority w:val="47"/>
    <w:rsid w:val="00585CE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073740">
      <w:bodyDiv w:val="1"/>
      <w:marLeft w:val="0"/>
      <w:marRight w:val="0"/>
      <w:marTop w:val="0"/>
      <w:marBottom w:val="0"/>
      <w:divBdr>
        <w:top w:val="none" w:sz="0" w:space="0" w:color="auto"/>
        <w:left w:val="none" w:sz="0" w:space="0" w:color="auto"/>
        <w:bottom w:val="none" w:sz="0" w:space="0" w:color="auto"/>
        <w:right w:val="none" w:sz="0" w:space="0" w:color="auto"/>
      </w:divBdr>
      <w:divsChild>
        <w:div w:id="223417267">
          <w:marLeft w:val="0"/>
          <w:marRight w:val="0"/>
          <w:marTop w:val="0"/>
          <w:marBottom w:val="0"/>
          <w:divBdr>
            <w:top w:val="none" w:sz="0" w:space="0" w:color="auto"/>
            <w:left w:val="none" w:sz="0" w:space="0" w:color="auto"/>
            <w:bottom w:val="none" w:sz="0" w:space="0" w:color="auto"/>
            <w:right w:val="none" w:sz="0" w:space="0" w:color="auto"/>
          </w:divBdr>
        </w:div>
        <w:div w:id="1429616331">
          <w:marLeft w:val="0"/>
          <w:marRight w:val="0"/>
          <w:marTop w:val="0"/>
          <w:marBottom w:val="0"/>
          <w:divBdr>
            <w:top w:val="none" w:sz="0" w:space="0" w:color="auto"/>
            <w:left w:val="none" w:sz="0" w:space="0" w:color="auto"/>
            <w:bottom w:val="none" w:sz="0" w:space="0" w:color="auto"/>
            <w:right w:val="none" w:sz="0" w:space="0" w:color="auto"/>
          </w:divBdr>
        </w:div>
        <w:div w:id="680857803">
          <w:marLeft w:val="0"/>
          <w:marRight w:val="0"/>
          <w:marTop w:val="0"/>
          <w:marBottom w:val="0"/>
          <w:divBdr>
            <w:top w:val="none" w:sz="0" w:space="0" w:color="auto"/>
            <w:left w:val="none" w:sz="0" w:space="0" w:color="auto"/>
            <w:bottom w:val="none" w:sz="0" w:space="0" w:color="auto"/>
            <w:right w:val="none" w:sz="0" w:space="0" w:color="auto"/>
          </w:divBdr>
        </w:div>
        <w:div w:id="1115757507">
          <w:marLeft w:val="0"/>
          <w:marRight w:val="0"/>
          <w:marTop w:val="0"/>
          <w:marBottom w:val="0"/>
          <w:divBdr>
            <w:top w:val="none" w:sz="0" w:space="0" w:color="auto"/>
            <w:left w:val="none" w:sz="0" w:space="0" w:color="auto"/>
            <w:bottom w:val="none" w:sz="0" w:space="0" w:color="auto"/>
            <w:right w:val="none" w:sz="0" w:space="0" w:color="auto"/>
          </w:divBdr>
        </w:div>
      </w:divsChild>
    </w:div>
    <w:div w:id="110107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ven.chen@med.miami.edu" TargetMode="External"/><Relationship Id="rId5" Type="http://schemas.openxmlformats.org/officeDocument/2006/relationships/hyperlink" Target="mailto:lily.wang@med.miami.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5700</Words>
  <Characters>32494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38118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Lily</dc:creator>
  <cp:keywords/>
  <dc:description/>
  <cp:lastModifiedBy>Wang, Lily</cp:lastModifiedBy>
  <cp:revision>5</cp:revision>
  <cp:lastPrinted>2018-02-19T19:46:00Z</cp:lastPrinted>
  <dcterms:created xsi:type="dcterms:W3CDTF">2018-02-26T14:09:00Z</dcterms:created>
  <dcterms:modified xsi:type="dcterms:W3CDTF">2018-02-26T15:28:00Z</dcterms:modified>
</cp:coreProperties>
</file>