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Dear Authors:</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 xml:space="preserve">The Allelic Imbalance (AI) of the same gene </w:t>
      </w:r>
      <w:r w:rsidR="002A4102">
        <w:rPr>
          <w:rFonts w:ascii="Arial" w:eastAsia="宋体" w:hAnsi="Arial" w:cs="Arial"/>
          <w:color w:val="000000"/>
          <w:kern w:val="0"/>
          <w:szCs w:val="21"/>
        </w:rPr>
        <w:t>within a single cell i</w:t>
      </w:r>
      <w:r w:rsidR="002A4102">
        <w:rPr>
          <w:rFonts w:ascii="Arial" w:eastAsia="宋体" w:hAnsi="Arial" w:cs="Arial" w:hint="eastAsia"/>
          <w:color w:val="000000"/>
          <w:kern w:val="0"/>
          <w:szCs w:val="21"/>
        </w:rPr>
        <w:t>s</w:t>
      </w:r>
      <w:r w:rsidRPr="00FF18B5">
        <w:rPr>
          <w:rFonts w:ascii="Arial" w:eastAsia="宋体" w:hAnsi="Arial" w:cs="Arial"/>
          <w:color w:val="000000"/>
          <w:kern w:val="0"/>
          <w:szCs w:val="21"/>
        </w:rPr>
        <w:t> an important and interesting genomic phenomena. The current s</w:t>
      </w:r>
      <w:r w:rsidR="002A4102">
        <w:rPr>
          <w:rFonts w:ascii="Arial" w:eastAsia="宋体" w:hAnsi="Arial" w:cs="Arial"/>
          <w:color w:val="000000"/>
          <w:kern w:val="0"/>
          <w:szCs w:val="21"/>
        </w:rPr>
        <w:t>tatistical analysis of AI relies</w:t>
      </w:r>
      <w:r w:rsidRPr="00FF18B5">
        <w:rPr>
          <w:rFonts w:ascii="Arial" w:eastAsia="宋体" w:hAnsi="Arial" w:cs="Arial"/>
          <w:color w:val="000000"/>
          <w:kern w:val="0"/>
          <w:szCs w:val="21"/>
        </w:rPr>
        <w:t xml:space="preserve"> on model-based methods. However,  the assumption of the sample distribution and the model selection has significant effects on the performance, accuracy, and confidence of the inference. Minor deviations of the collected data may lead to false discovery or failure to discover meaningful results.</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The authors designed a non-parametric statistic framework to learn the sample distribution from the data themselves and avoid the prior assumption of distribution.  When there are only two replicates in the reciprocal crosses, predefined thresholds are adopted by this method.  Through multiple benchwork comparisons, the ISoLDE method was shown quite robust and relative conservative.</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The organization of this manuscript is logical, the written is clear and easy to understand. In addition, this ISoLDE method has been implemented as a Bioconductor package for adopted by other researches.</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This research is innovative and produced good and meaningful results. The overall quality of the manuscript is good.</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The following are the flaw</w:t>
      </w:r>
      <w:r w:rsidR="002A4102">
        <w:rPr>
          <w:rFonts w:ascii="Arial" w:eastAsia="宋体" w:hAnsi="Arial" w:cs="Arial" w:hint="eastAsia"/>
          <w:color w:val="000000"/>
          <w:kern w:val="0"/>
          <w:szCs w:val="21"/>
        </w:rPr>
        <w:t>s</w:t>
      </w:r>
      <w:r w:rsidRPr="00FF18B5">
        <w:rPr>
          <w:rFonts w:ascii="Arial" w:eastAsia="宋体" w:hAnsi="Arial" w:cs="Arial"/>
          <w:color w:val="000000"/>
          <w:kern w:val="0"/>
          <w:szCs w:val="21"/>
        </w:rPr>
        <w:t>,</w:t>
      </w:r>
      <w:r w:rsidR="002A4102">
        <w:rPr>
          <w:rFonts w:ascii="Arial" w:eastAsia="宋体" w:hAnsi="Arial" w:cs="Arial"/>
          <w:color w:val="000000"/>
          <w:kern w:val="0"/>
          <w:szCs w:val="21"/>
        </w:rPr>
        <w:t xml:space="preserve"> possible mistakes, or typo etc</w:t>
      </w:r>
      <w:r w:rsidR="002A4102">
        <w:rPr>
          <w:rFonts w:ascii="Arial" w:eastAsia="宋体" w:hAnsi="Arial" w:cs="Arial" w:hint="eastAsia"/>
          <w:color w:val="000000"/>
          <w:kern w:val="0"/>
          <w:szCs w:val="21"/>
        </w:rPr>
        <w:t xml:space="preserve">., which </w:t>
      </w:r>
      <w:r w:rsidR="002A4102">
        <w:rPr>
          <w:rFonts w:ascii="Arial" w:eastAsia="宋体" w:hAnsi="Arial" w:cs="Arial"/>
          <w:color w:val="000000"/>
          <w:kern w:val="0"/>
          <w:szCs w:val="21"/>
        </w:rPr>
        <w:t>need</w:t>
      </w:r>
      <w:r w:rsidRPr="00FF18B5">
        <w:rPr>
          <w:rFonts w:ascii="Arial" w:eastAsia="宋体" w:hAnsi="Arial" w:cs="Arial"/>
          <w:color w:val="000000"/>
          <w:kern w:val="0"/>
          <w:szCs w:val="21"/>
        </w:rPr>
        <w:t> to be</w:t>
      </w:r>
      <w:r w:rsidR="002A4102">
        <w:rPr>
          <w:rFonts w:ascii="Arial" w:eastAsia="宋体" w:hAnsi="Arial" w:cs="Arial"/>
          <w:color w:val="000000"/>
          <w:kern w:val="0"/>
          <w:szCs w:val="21"/>
        </w:rPr>
        <w:t> corrected or clarifi</w:t>
      </w:r>
      <w:r w:rsidR="002A4102">
        <w:rPr>
          <w:rFonts w:ascii="Arial" w:eastAsia="宋体" w:hAnsi="Arial" w:cs="Arial" w:hint="eastAsia"/>
          <w:color w:val="000000"/>
          <w:kern w:val="0"/>
          <w:szCs w:val="21"/>
        </w:rPr>
        <w:t>ed</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 xml:space="preserve">1)      The authors used sensitivity and specificity data </w:t>
      </w:r>
      <w:r w:rsidR="002A4102">
        <w:rPr>
          <w:rFonts w:ascii="Arial" w:eastAsia="宋体" w:hAnsi="Arial" w:cs="Arial" w:hint="eastAsia"/>
          <w:color w:val="000000"/>
          <w:kern w:val="0"/>
          <w:szCs w:val="21"/>
        </w:rPr>
        <w:t xml:space="preserve">quite </w:t>
      </w:r>
      <w:r w:rsidRPr="00FF18B5">
        <w:rPr>
          <w:rFonts w:ascii="Arial" w:eastAsia="宋体" w:hAnsi="Arial" w:cs="Arial"/>
          <w:color w:val="000000"/>
          <w:kern w:val="0"/>
          <w:szCs w:val="21"/>
        </w:rPr>
        <w:t>a lot, that’s good. But I strongly suggest the authors add the F1 score to combine the sensi</w:t>
      </w:r>
      <w:r w:rsidR="002A4102">
        <w:rPr>
          <w:rFonts w:ascii="Arial" w:eastAsia="宋体" w:hAnsi="Arial" w:cs="Arial"/>
          <w:color w:val="000000"/>
          <w:kern w:val="0"/>
          <w:szCs w:val="21"/>
        </w:rPr>
        <w:t>tivity and specificity in</w:t>
      </w:r>
      <w:r w:rsidRPr="00FF18B5">
        <w:rPr>
          <w:rFonts w:ascii="Arial" w:eastAsia="宋体" w:hAnsi="Arial" w:cs="Arial"/>
          <w:color w:val="000000"/>
          <w:kern w:val="0"/>
          <w:szCs w:val="21"/>
        </w:rPr>
        <w:t xml:space="preserve"> all situations. As the F1 score could provide a direct measure of performance when the performances in sensitivity and specificity are discordant.   </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bookmarkStart w:id="0" w:name="_GoBack"/>
      <w:bookmarkEnd w:id="0"/>
      <w:r w:rsidRPr="00FF18B5">
        <w:rPr>
          <w:rFonts w:ascii="Arial" w:eastAsia="宋体" w:hAnsi="Arial" w:cs="Arial"/>
          <w:color w:val="000000"/>
          <w:kern w:val="0"/>
          <w:szCs w:val="21"/>
        </w:rPr>
        <w:t>2)      In line 50 of page 2:</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I believe the formula has an error, as the left and right parts of the denominator are not balanced.</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w:t>
      </w:r>
      <w:r w:rsidRPr="00FF18B5">
        <w:rPr>
          <w:rFonts w:ascii="Cambria Math" w:eastAsia="宋体" w:hAnsi="Cambria Math" w:cs="Arial"/>
          <w:color w:val="000000"/>
          <w:kern w:val="0"/>
          <w:szCs w:val="21"/>
        </w:rPr>
        <w:t>𝑛</w:t>
      </w:r>
      <w:r w:rsidRPr="00FF18B5">
        <w:rPr>
          <w:rFonts w:ascii="Cambria Math" w:eastAsia="宋体" w:hAnsi="Cambria Math" w:cs="Arial"/>
          <w:color w:val="000000"/>
          <w:kern w:val="0"/>
          <w:szCs w:val="21"/>
          <w:vertAlign w:val="superscript"/>
        </w:rPr>
        <w:t>𝑔</w:t>
      </w:r>
      <w:r w:rsidRPr="00FF18B5">
        <w:rPr>
          <w:rFonts w:ascii="Cambria Math" w:eastAsia="宋体" w:hAnsi="Cambria Math" w:cs="Arial"/>
          <w:color w:val="000000"/>
          <w:kern w:val="0"/>
          <w:szCs w:val="21"/>
          <w:vertAlign w:val="subscript"/>
        </w:rPr>
        <w:t>𝑖</w:t>
      </w:r>
      <w:r w:rsidRPr="00FF18B5">
        <w:rPr>
          <w:rFonts w:ascii="Arial" w:eastAsia="宋体" w:hAnsi="Arial" w:cs="Arial"/>
          <w:color w:val="000000"/>
          <w:kern w:val="0"/>
          <w:szCs w:val="21"/>
          <w:vertAlign w:val="subscript"/>
        </w:rPr>
        <w:t>,</w:t>
      </w:r>
      <w:r w:rsidRPr="00FF18B5">
        <w:rPr>
          <w:rFonts w:ascii="Cambria Math" w:eastAsia="宋体" w:hAnsi="Cambria Math" w:cs="Arial"/>
          <w:color w:val="000000"/>
          <w:kern w:val="0"/>
          <w:szCs w:val="21"/>
          <w:vertAlign w:val="subscript"/>
        </w:rPr>
        <w:t>𝑗</w:t>
      </w:r>
      <w:r w:rsidRPr="00FF18B5">
        <w:rPr>
          <w:rFonts w:ascii="Arial" w:eastAsia="宋体" w:hAnsi="Arial" w:cs="Arial"/>
          <w:color w:val="000000"/>
          <w:kern w:val="0"/>
          <w:szCs w:val="21"/>
          <w:vertAlign w:val="subscript"/>
        </w:rPr>
        <w:t>,</w:t>
      </w:r>
      <w:r w:rsidRPr="00FF18B5">
        <w:rPr>
          <w:rFonts w:ascii="Cambria Math" w:eastAsia="宋体" w:hAnsi="Cambria Math" w:cs="Arial"/>
          <w:color w:val="000000"/>
          <w:kern w:val="0"/>
          <w:szCs w:val="21"/>
          <w:vertAlign w:val="subscript"/>
        </w:rPr>
        <w:t>𝑀</w:t>
      </w:r>
      <w:r w:rsidRPr="00FF18B5">
        <w:rPr>
          <w:rFonts w:ascii="Arial" w:eastAsia="宋体" w:hAnsi="Arial" w:cs="Arial"/>
          <w:color w:val="000000"/>
          <w:kern w:val="0"/>
          <w:szCs w:val="21"/>
        </w:rPr>
        <w:t>) / (</w:t>
      </w:r>
      <w:r w:rsidRPr="00FF18B5">
        <w:rPr>
          <w:rFonts w:ascii="Cambria Math" w:eastAsia="宋体" w:hAnsi="Cambria Math" w:cs="Arial"/>
          <w:color w:val="000000"/>
          <w:kern w:val="0"/>
          <w:szCs w:val="21"/>
        </w:rPr>
        <w:t>𝑛</w:t>
      </w:r>
      <w:r w:rsidRPr="00FF18B5">
        <w:rPr>
          <w:rFonts w:ascii="Cambria Math" w:eastAsia="宋体" w:hAnsi="Cambria Math" w:cs="Arial"/>
          <w:color w:val="000000"/>
          <w:kern w:val="0"/>
          <w:szCs w:val="21"/>
          <w:vertAlign w:val="superscript"/>
        </w:rPr>
        <w:t>𝑔</w:t>
      </w:r>
      <w:r w:rsidRPr="00FF18B5">
        <w:rPr>
          <w:rFonts w:ascii="Cambria Math" w:eastAsia="宋体" w:hAnsi="Cambria Math" w:cs="Arial"/>
          <w:color w:val="000000"/>
          <w:kern w:val="0"/>
          <w:szCs w:val="21"/>
          <w:vertAlign w:val="subscript"/>
        </w:rPr>
        <w:t>𝑖</w:t>
      </w:r>
      <w:r w:rsidRPr="00FF18B5">
        <w:rPr>
          <w:rFonts w:ascii="Arial" w:eastAsia="宋体" w:hAnsi="Arial" w:cs="Arial"/>
          <w:color w:val="000000"/>
          <w:kern w:val="0"/>
          <w:szCs w:val="21"/>
          <w:vertAlign w:val="subscript"/>
        </w:rPr>
        <w:t>,</w:t>
      </w:r>
      <w:r w:rsidRPr="00FF18B5">
        <w:rPr>
          <w:rFonts w:ascii="Cambria Math" w:eastAsia="宋体" w:hAnsi="Cambria Math" w:cs="Arial"/>
          <w:color w:val="000000"/>
          <w:kern w:val="0"/>
          <w:szCs w:val="21"/>
          <w:vertAlign w:val="subscript"/>
        </w:rPr>
        <w:t>𝑗</w:t>
      </w:r>
      <w:r w:rsidRPr="00FF18B5">
        <w:rPr>
          <w:rFonts w:ascii="Arial" w:eastAsia="宋体" w:hAnsi="Arial" w:cs="Arial"/>
          <w:color w:val="000000"/>
          <w:kern w:val="0"/>
          <w:szCs w:val="21"/>
          <w:vertAlign w:val="subscript"/>
        </w:rPr>
        <w:t>,P</w:t>
      </w:r>
      <w:r w:rsidRPr="00FF18B5">
        <w:rPr>
          <w:rFonts w:ascii="Arial" w:eastAsia="宋体" w:hAnsi="Arial" w:cs="Arial"/>
          <w:color w:val="000000"/>
          <w:kern w:val="0"/>
          <w:szCs w:val="21"/>
        </w:rPr>
        <w:t>)     vs    (</w:t>
      </w:r>
      <w:r w:rsidRPr="00FF18B5">
        <w:rPr>
          <w:rFonts w:ascii="Cambria Math" w:eastAsia="宋体" w:hAnsi="Cambria Math" w:cs="Arial"/>
          <w:color w:val="000000"/>
          <w:kern w:val="0"/>
          <w:szCs w:val="21"/>
        </w:rPr>
        <w:t>𝑛</w:t>
      </w:r>
      <w:r w:rsidRPr="00FF18B5">
        <w:rPr>
          <w:rFonts w:ascii="Cambria Math" w:eastAsia="宋体" w:hAnsi="Cambria Math" w:cs="Arial"/>
          <w:color w:val="000000"/>
          <w:kern w:val="0"/>
          <w:szCs w:val="21"/>
          <w:vertAlign w:val="superscript"/>
        </w:rPr>
        <w:t>𝑔</w:t>
      </w:r>
      <w:r w:rsidRPr="00FF18B5">
        <w:rPr>
          <w:rFonts w:ascii="Cambria Math" w:eastAsia="宋体" w:hAnsi="Cambria Math" w:cs="Arial"/>
          <w:color w:val="000000"/>
          <w:kern w:val="0"/>
          <w:szCs w:val="21"/>
          <w:vertAlign w:val="subscript"/>
        </w:rPr>
        <w:t>𝑖</w:t>
      </w:r>
      <w:r w:rsidRPr="00FF18B5">
        <w:rPr>
          <w:rFonts w:ascii="Arial" w:eastAsia="宋体" w:hAnsi="Arial" w:cs="Arial"/>
          <w:color w:val="000000"/>
          <w:kern w:val="0"/>
          <w:szCs w:val="21"/>
          <w:vertAlign w:val="subscript"/>
        </w:rPr>
        <w:t>,</w:t>
      </w:r>
      <w:r w:rsidRPr="00FF18B5">
        <w:rPr>
          <w:rFonts w:ascii="Cambria Math" w:eastAsia="宋体" w:hAnsi="Cambria Math" w:cs="Arial"/>
          <w:color w:val="000000"/>
          <w:kern w:val="0"/>
          <w:szCs w:val="21"/>
          <w:vertAlign w:val="subscript"/>
        </w:rPr>
        <w:t>𝑗</w:t>
      </w:r>
      <w:r w:rsidRPr="00FF18B5">
        <w:rPr>
          <w:rFonts w:ascii="Arial" w:eastAsia="宋体" w:hAnsi="Arial" w:cs="Arial"/>
          <w:color w:val="000000"/>
          <w:kern w:val="0"/>
          <w:szCs w:val="21"/>
          <w:vertAlign w:val="subscript"/>
        </w:rPr>
        <w:t>,P</w:t>
      </w:r>
      <w:r w:rsidRPr="00FF18B5">
        <w:rPr>
          <w:rFonts w:ascii="Arial" w:eastAsia="宋体" w:hAnsi="Arial" w:cs="Arial"/>
          <w:color w:val="000000"/>
          <w:kern w:val="0"/>
          <w:szCs w:val="21"/>
        </w:rPr>
        <w:t>) / (</w:t>
      </w:r>
      <w:r w:rsidRPr="00FF18B5">
        <w:rPr>
          <w:rFonts w:ascii="Cambria Math" w:eastAsia="宋体" w:hAnsi="Cambria Math" w:cs="Arial"/>
          <w:color w:val="000000"/>
          <w:kern w:val="0"/>
          <w:szCs w:val="21"/>
        </w:rPr>
        <w:t>𝑛</w:t>
      </w:r>
      <w:r w:rsidRPr="00FF18B5">
        <w:rPr>
          <w:rFonts w:ascii="Cambria Math" w:eastAsia="宋体" w:hAnsi="Cambria Math" w:cs="Arial"/>
          <w:color w:val="000000"/>
          <w:kern w:val="0"/>
          <w:szCs w:val="21"/>
          <w:vertAlign w:val="superscript"/>
        </w:rPr>
        <w:t>𝑔</w:t>
      </w:r>
      <w:r w:rsidRPr="00FF18B5">
        <w:rPr>
          <w:rFonts w:ascii="Cambria Math" w:eastAsia="宋体" w:hAnsi="Cambria Math" w:cs="Arial"/>
          <w:color w:val="000000"/>
          <w:kern w:val="0"/>
          <w:szCs w:val="21"/>
          <w:vertAlign w:val="subscript"/>
        </w:rPr>
        <w:t>𝑖</w:t>
      </w:r>
      <w:r w:rsidRPr="00FF18B5">
        <w:rPr>
          <w:rFonts w:ascii="Arial" w:eastAsia="宋体" w:hAnsi="Arial" w:cs="Arial"/>
          <w:color w:val="000000"/>
          <w:kern w:val="0"/>
          <w:szCs w:val="21"/>
          <w:vertAlign w:val="subscript"/>
        </w:rPr>
        <w:t>,</w:t>
      </w:r>
      <w:r w:rsidRPr="00FF18B5">
        <w:rPr>
          <w:rFonts w:ascii="Cambria Math" w:eastAsia="宋体" w:hAnsi="Cambria Math" w:cs="Arial"/>
          <w:color w:val="000000"/>
          <w:kern w:val="0"/>
          <w:szCs w:val="21"/>
          <w:vertAlign w:val="subscript"/>
        </w:rPr>
        <w:t>𝑗</w:t>
      </w:r>
      <w:r w:rsidRPr="00FF18B5">
        <w:rPr>
          <w:rFonts w:ascii="Arial" w:eastAsia="宋体" w:hAnsi="Arial" w:cs="Arial"/>
          <w:color w:val="000000"/>
          <w:kern w:val="0"/>
          <w:szCs w:val="21"/>
          <w:vertAlign w:val="subscript"/>
        </w:rPr>
        <w:t>,P</w:t>
      </w:r>
      <w:r w:rsidRPr="00FF18B5">
        <w:rPr>
          <w:rFonts w:ascii="Arial" w:eastAsia="宋体" w:hAnsi="Arial" w:cs="Arial"/>
          <w:color w:val="000000"/>
          <w:kern w:val="0"/>
          <w:szCs w:val="21"/>
        </w:rPr>
        <w:t>) ,   note the </w:t>
      </w:r>
      <w:r w:rsidRPr="00FF18B5">
        <w:rPr>
          <w:rFonts w:ascii="Arial" w:eastAsia="宋体" w:hAnsi="Arial" w:cs="Arial"/>
          <w:b/>
          <w:bCs/>
          <w:color w:val="000000"/>
          <w:kern w:val="0"/>
          <w:szCs w:val="21"/>
        </w:rPr>
        <w:t>M</w:t>
      </w:r>
      <w:r w:rsidRPr="00FF18B5">
        <w:rPr>
          <w:rFonts w:ascii="Arial" w:eastAsia="宋体" w:hAnsi="Arial" w:cs="Arial"/>
          <w:color w:val="000000"/>
          <w:kern w:val="0"/>
          <w:szCs w:val="21"/>
        </w:rPr>
        <w:t> and </w:t>
      </w:r>
      <w:r w:rsidRPr="00FF18B5">
        <w:rPr>
          <w:rFonts w:ascii="Arial" w:eastAsia="宋体" w:hAnsi="Arial" w:cs="Arial"/>
          <w:b/>
          <w:bCs/>
          <w:color w:val="000000"/>
          <w:kern w:val="0"/>
          <w:szCs w:val="21"/>
        </w:rPr>
        <w:t>P</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3)      In line 10 of page 4:</w:t>
      </w:r>
    </w:p>
    <w:p w:rsidR="00FF18B5" w:rsidRPr="00FF18B5" w:rsidRDefault="00FF18B5" w:rsidP="00FF18B5">
      <w:pPr>
        <w:widowControl/>
        <w:spacing w:before="100" w:beforeAutospacing="1" w:after="100" w:afterAutospacing="1"/>
        <w:jc w:val="left"/>
        <w:rPr>
          <w:rFonts w:ascii="Arial" w:eastAsia="宋体" w:hAnsi="Arial" w:cs="Arial"/>
          <w:kern w:val="0"/>
          <w:szCs w:val="21"/>
        </w:rPr>
      </w:pPr>
      <w:r w:rsidRPr="00FF18B5">
        <w:rPr>
          <w:rFonts w:ascii="Arial" w:eastAsia="宋体" w:hAnsi="Arial" w:cs="Arial"/>
          <w:color w:val="000000"/>
          <w:kern w:val="0"/>
          <w:szCs w:val="21"/>
        </w:rPr>
        <w:t>the lower the variability &lt;had to be to result in&gt; an ‘AI’ call.  I guess to it could be changed to &lt;had to result in&gt; </w:t>
      </w:r>
    </w:p>
    <w:p w:rsidR="00FF18B5" w:rsidRPr="00FF18B5" w:rsidRDefault="00FF18B5" w:rsidP="00FF18B5">
      <w:pPr>
        <w:widowControl/>
        <w:spacing w:before="100" w:beforeAutospacing="1" w:after="100" w:afterAutospacing="1"/>
        <w:ind w:left="360" w:hanging="360"/>
        <w:jc w:val="left"/>
        <w:rPr>
          <w:rFonts w:ascii="Arial" w:eastAsia="宋体" w:hAnsi="Arial" w:cs="Arial"/>
          <w:kern w:val="0"/>
          <w:szCs w:val="21"/>
        </w:rPr>
      </w:pPr>
      <w:r w:rsidRPr="00FF18B5">
        <w:rPr>
          <w:rFonts w:ascii="Arial" w:eastAsia="宋体" w:hAnsi="Arial" w:cs="Arial"/>
          <w:color w:val="000000"/>
          <w:kern w:val="0"/>
          <w:szCs w:val="21"/>
        </w:rPr>
        <w:t>4)      All plots should be vector graph</w:t>
      </w:r>
      <w:r w:rsidR="00FE7E37">
        <w:rPr>
          <w:rFonts w:ascii="Arial" w:eastAsia="宋体" w:hAnsi="Arial" w:cs="Arial" w:hint="eastAsia"/>
          <w:color w:val="000000"/>
          <w:kern w:val="0"/>
          <w:szCs w:val="21"/>
        </w:rPr>
        <w:t>s</w:t>
      </w:r>
      <w:r w:rsidRPr="00FF18B5">
        <w:rPr>
          <w:rFonts w:ascii="Arial" w:eastAsia="宋体" w:hAnsi="Arial" w:cs="Arial"/>
          <w:color w:val="000000"/>
          <w:kern w:val="0"/>
          <w:szCs w:val="21"/>
        </w:rPr>
        <w:t>, such as SVG format, as bitmap graph results in very poor quality, I cannot see details in Figures 1, 3 and quite a few supplementary Figures.</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lastRenderedPageBreak/>
        <w:t>5)      In line 50-60 of page 5:</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Authors used </w:t>
      </w:r>
      <w:r w:rsidR="002A4102">
        <w:rPr>
          <w:rFonts w:ascii="Arial" w:eastAsia="宋体" w:hAnsi="Arial" w:cs="Arial" w:hint="eastAsia"/>
          <w:color w:val="000000"/>
          <w:kern w:val="0"/>
          <w:szCs w:val="21"/>
        </w:rPr>
        <w:t xml:space="preserve">repeatedly </w:t>
      </w:r>
      <w:r w:rsidRPr="00FF18B5">
        <w:rPr>
          <w:rFonts w:ascii="Arial" w:eastAsia="宋体" w:hAnsi="Arial" w:cs="Arial"/>
          <w:color w:val="000000"/>
          <w:kern w:val="0"/>
          <w:szCs w:val="21"/>
        </w:rPr>
        <w:t xml:space="preserve">“respectively” in this paragraph, </w:t>
      </w:r>
      <w:r w:rsidR="002A4102">
        <w:rPr>
          <w:rFonts w:ascii="Arial" w:eastAsia="宋体" w:hAnsi="Arial" w:cs="Arial" w:hint="eastAsia"/>
          <w:color w:val="000000"/>
          <w:kern w:val="0"/>
          <w:szCs w:val="21"/>
        </w:rPr>
        <w:t>it</w:t>
      </w:r>
      <w:r w:rsidR="002A4102">
        <w:rPr>
          <w:rFonts w:ascii="Arial" w:eastAsia="宋体" w:hAnsi="Arial" w:cs="Arial"/>
          <w:color w:val="000000"/>
          <w:kern w:val="0"/>
          <w:szCs w:val="21"/>
        </w:rPr>
        <w:t>’</w:t>
      </w:r>
      <w:r w:rsidR="002A4102">
        <w:rPr>
          <w:rFonts w:ascii="Arial" w:eastAsia="宋体" w:hAnsi="Arial" w:cs="Arial" w:hint="eastAsia"/>
          <w:color w:val="000000"/>
          <w:kern w:val="0"/>
          <w:szCs w:val="21"/>
        </w:rPr>
        <w:t>s a bit confusing.</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6)      In Figure 2 in Page 5:</w:t>
      </w:r>
    </w:p>
    <w:p w:rsidR="00FF18B5" w:rsidRPr="00FF18B5" w:rsidRDefault="00FF18B5" w:rsidP="00FF18B5">
      <w:pPr>
        <w:widowControl/>
        <w:spacing w:before="100" w:beforeAutospacing="1" w:after="100" w:afterAutospacing="1"/>
        <w:jc w:val="left"/>
        <w:rPr>
          <w:rFonts w:ascii="Arial" w:eastAsia="宋体" w:hAnsi="Arial" w:cs="Arial"/>
          <w:color w:val="000000"/>
          <w:kern w:val="0"/>
          <w:szCs w:val="21"/>
        </w:rPr>
      </w:pPr>
      <w:r w:rsidRPr="00FF18B5">
        <w:rPr>
          <w:rFonts w:ascii="Arial" w:eastAsia="宋体" w:hAnsi="Arial" w:cs="Arial"/>
          <w:color w:val="000000"/>
          <w:kern w:val="0"/>
          <w:szCs w:val="21"/>
        </w:rPr>
        <w:t>“AI-AI” and “AI-BA”  might need to explain, such as “the AI-AI pair in legend”</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7)      </w:t>
      </w:r>
      <w:r w:rsidR="002A4102">
        <w:rPr>
          <w:rFonts w:ascii="Arial" w:eastAsia="宋体" w:hAnsi="Arial" w:cs="Arial"/>
          <w:color w:val="000000"/>
          <w:kern w:val="0"/>
          <w:szCs w:val="21"/>
        </w:rPr>
        <w:t xml:space="preserve">Authors used </w:t>
      </w:r>
      <w:r w:rsidR="002A4102">
        <w:rPr>
          <w:rFonts w:ascii="Arial" w:eastAsia="宋体" w:hAnsi="Arial" w:cs="Arial" w:hint="eastAsia"/>
          <w:color w:val="000000"/>
          <w:kern w:val="0"/>
          <w:szCs w:val="21"/>
        </w:rPr>
        <w:t xml:space="preserve">repeatly </w:t>
      </w:r>
      <w:r w:rsidRPr="00FF18B5">
        <w:rPr>
          <w:rFonts w:ascii="Arial" w:eastAsia="宋体" w:hAnsi="Arial" w:cs="Arial"/>
          <w:color w:val="000000"/>
          <w:kern w:val="0"/>
          <w:szCs w:val="21"/>
        </w:rPr>
        <w:t xml:space="preserve"> “all in all”, this is not an academic style, I suggest it could be changed to some other expression, such as “in summary”, “in short”, “in conclusion”</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8)      In the Supplementary_Table_S1.xlsx, the line 6 (start with Crowley) have mistakes: the scale is “cf. Zou</w:t>
      </w:r>
      <w:r w:rsidR="00984C7E">
        <w:rPr>
          <w:rFonts w:ascii="Arial" w:eastAsia="宋体" w:hAnsi="Arial" w:cs="Arial"/>
          <w:color w:val="000000"/>
          <w:kern w:val="0"/>
          <w:szCs w:val="21"/>
        </w:rPr>
        <w:t xml:space="preserve">”, and all data </w:t>
      </w:r>
      <w:r w:rsidR="00984C7E">
        <w:rPr>
          <w:rFonts w:ascii="Arial" w:eastAsia="宋体" w:hAnsi="Arial" w:cs="Arial" w:hint="eastAsia"/>
          <w:color w:val="000000"/>
          <w:kern w:val="0"/>
          <w:szCs w:val="21"/>
        </w:rPr>
        <w:t>after</w:t>
      </w:r>
      <w:r w:rsidRPr="00FF18B5">
        <w:rPr>
          <w:rFonts w:ascii="Arial" w:eastAsia="宋体" w:hAnsi="Arial" w:cs="Arial"/>
          <w:color w:val="000000"/>
          <w:kern w:val="0"/>
          <w:szCs w:val="21"/>
        </w:rPr>
        <w:t xml:space="preserve"> </w:t>
      </w:r>
      <w:r w:rsidR="00984C7E">
        <w:rPr>
          <w:rFonts w:ascii="Arial" w:eastAsia="宋体" w:hAnsi="Arial" w:cs="Arial" w:hint="eastAsia"/>
          <w:color w:val="000000"/>
          <w:kern w:val="0"/>
          <w:szCs w:val="21"/>
        </w:rPr>
        <w:t xml:space="preserve">the </w:t>
      </w:r>
      <w:r w:rsidRPr="00FF18B5">
        <w:rPr>
          <w:rFonts w:ascii="Arial" w:eastAsia="宋体" w:hAnsi="Arial" w:cs="Arial"/>
          <w:color w:val="000000"/>
          <w:kern w:val="0"/>
          <w:szCs w:val="21"/>
        </w:rPr>
        <w:t>column “modelling” are missing.</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9)      In the “Supplementary_methods_figures.docx”,  the section -- Simulation details -- Generating read numbers, </w:t>
      </w:r>
      <w:r w:rsidRPr="00FF18B5">
        <w:rPr>
          <w:rFonts w:ascii="Arial" w:eastAsia="宋体" w:hAnsi="Arial" w:cs="Arial"/>
          <w:i/>
          <w:iCs/>
          <w:color w:val="000000"/>
          <w:kern w:val="0"/>
          <w:szCs w:val="21"/>
        </w:rPr>
        <w:t>seqdepth</w:t>
      </w:r>
      <w:r w:rsidRPr="00FF18B5">
        <w:rPr>
          <w:rFonts w:ascii="Arial" w:eastAsia="宋体" w:hAnsi="Arial" w:cs="Arial"/>
          <w:color w:val="000000"/>
          <w:kern w:val="0"/>
          <w:szCs w:val="21"/>
        </w:rPr>
        <w:t> = 5.10^</w:t>
      </w:r>
      <w:r w:rsidRPr="00FF18B5">
        <w:rPr>
          <w:rFonts w:ascii="Arial" w:eastAsia="宋体" w:hAnsi="Arial" w:cs="Arial"/>
          <w:color w:val="000000"/>
          <w:kern w:val="0"/>
          <w:szCs w:val="21"/>
          <w:vertAlign w:val="superscript"/>
        </w:rPr>
        <w:t>6</w:t>
      </w:r>
      <w:r w:rsidRPr="00FF18B5">
        <w:rPr>
          <w:rFonts w:ascii="Arial" w:eastAsia="宋体" w:hAnsi="Arial" w:cs="Arial"/>
          <w:color w:val="000000"/>
          <w:kern w:val="0"/>
          <w:szCs w:val="21"/>
        </w:rPr>
        <w:t>, it looks</w:t>
      </w:r>
      <w:r w:rsidR="002A4102">
        <w:rPr>
          <w:rFonts w:ascii="Arial" w:eastAsia="宋体" w:hAnsi="Arial" w:cs="Arial" w:hint="eastAsia"/>
          <w:color w:val="000000"/>
          <w:kern w:val="0"/>
          <w:szCs w:val="21"/>
        </w:rPr>
        <w:t xml:space="preserve"> like</w:t>
      </w:r>
      <w:r w:rsidRPr="00FF18B5">
        <w:rPr>
          <w:rFonts w:ascii="Arial" w:eastAsia="宋体" w:hAnsi="Arial" w:cs="Arial"/>
          <w:color w:val="000000"/>
          <w:kern w:val="0"/>
          <w:szCs w:val="21"/>
        </w:rPr>
        <w:t xml:space="preserve"> a typo. The depth is impossible to be that high. In the section--Mapping Methods, “Mapping was performed using</w:t>
      </w:r>
      <w:r w:rsidR="00984C7E">
        <w:rPr>
          <w:rFonts w:ascii="Arial" w:eastAsia="宋体" w:hAnsi="Arial" w:cs="Arial" w:hint="eastAsia"/>
          <w:color w:val="000000"/>
          <w:kern w:val="0"/>
          <w:szCs w:val="21"/>
        </w:rPr>
        <w:t xml:space="preserve"> regular align software</w:t>
      </w:r>
      <w:r w:rsidRPr="00FF18B5">
        <w:rPr>
          <w:rFonts w:ascii="Arial" w:eastAsia="宋体" w:hAnsi="Arial" w:cs="Arial"/>
          <w:color w:val="000000"/>
          <w:kern w:val="0"/>
          <w:szCs w:val="21"/>
        </w:rPr>
        <w:t>.  It’s not enough, the software name and version should be clearly demonstrated.</w:t>
      </w:r>
      <w:r w:rsidR="00984C7E">
        <w:rPr>
          <w:rFonts w:ascii="Arial" w:eastAsia="宋体" w:hAnsi="Arial" w:cs="Arial" w:hint="eastAsia"/>
          <w:color w:val="000000"/>
          <w:kern w:val="0"/>
          <w:szCs w:val="21"/>
        </w:rPr>
        <w:t xml:space="preserve"> </w:t>
      </w:r>
    </w:p>
    <w:p w:rsidR="00FF18B5" w:rsidRPr="00FF18B5" w:rsidRDefault="00FF18B5" w:rsidP="00FF18B5">
      <w:pPr>
        <w:widowControl/>
        <w:spacing w:before="100" w:beforeAutospacing="1" w:after="100" w:afterAutospacing="1"/>
        <w:ind w:left="360" w:hanging="360"/>
        <w:jc w:val="left"/>
        <w:rPr>
          <w:rFonts w:ascii="Arial" w:eastAsia="宋体" w:hAnsi="Arial" w:cs="Arial"/>
          <w:color w:val="000000"/>
          <w:kern w:val="0"/>
          <w:szCs w:val="21"/>
        </w:rPr>
      </w:pPr>
      <w:r w:rsidRPr="00FF18B5">
        <w:rPr>
          <w:rFonts w:ascii="Arial" w:eastAsia="宋体" w:hAnsi="Arial" w:cs="Arial"/>
          <w:color w:val="000000"/>
          <w:kern w:val="0"/>
          <w:szCs w:val="21"/>
        </w:rPr>
        <w:t>10)   The perl scripts mentioned in the “Supplementary_methods_figures.docx” might need to be supplied for reviewer and researcher.</w:t>
      </w:r>
    </w:p>
    <w:p w:rsidR="00F44A86" w:rsidRPr="00FF18B5" w:rsidRDefault="00F44A86" w:rsidP="00686D0C">
      <w:pPr>
        <w:pStyle w:val="a3"/>
        <w:ind w:left="360" w:firstLineChars="0" w:firstLine="0"/>
        <w:jc w:val="left"/>
        <w:rPr>
          <w:rFonts w:ascii="Arial" w:hAnsi="Arial" w:cs="Arial"/>
          <w:szCs w:val="21"/>
        </w:rPr>
      </w:pPr>
    </w:p>
    <w:sectPr w:rsidR="00F44A86" w:rsidRPr="00FF18B5" w:rsidSect="00D10FF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A48E6"/>
    <w:multiLevelType w:val="hybridMultilevel"/>
    <w:tmpl w:val="BBDC5CB8"/>
    <w:lvl w:ilvl="0" w:tplc="CD8058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06B0982"/>
    <w:multiLevelType w:val="multilevel"/>
    <w:tmpl w:val="106B0982"/>
    <w:lvl w:ilvl="0">
      <w:start w:val="1"/>
      <w:numFmt w:val="decimal"/>
      <w:lvlText w:val="%1."/>
      <w:lvlJc w:val="left"/>
      <w:pPr>
        <w:ind w:left="720" w:hanging="360"/>
      </w:pPr>
      <w:rPr>
        <w:rFonts w:eastAsia="Arial" w:cs="Arial" w:hint="default"/>
      </w:rPr>
    </w:lvl>
    <w:lvl w:ilvl="1">
      <w:start w:val="1"/>
      <w:numFmt w:val="decimal"/>
      <w:isLgl/>
      <w:lvlText w:val="%1.%2"/>
      <w:lvlJc w:val="left"/>
      <w:pPr>
        <w:ind w:left="780" w:hanging="42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440" w:hanging="108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2160" w:hanging="1800"/>
      </w:pPr>
      <w:rPr>
        <w:rFonts w:eastAsia="Times New Roman" w:hint="default"/>
      </w:rPr>
    </w:lvl>
    <w:lvl w:ilvl="8">
      <w:start w:val="1"/>
      <w:numFmt w:val="decimal"/>
      <w:isLgl/>
      <w:lvlText w:val="%1.%2.%3.%4.%5.%6.%7.%8.%9"/>
      <w:lvlJc w:val="left"/>
      <w:pPr>
        <w:ind w:left="2520" w:hanging="2160"/>
      </w:pPr>
      <w:rPr>
        <w:rFonts w:eastAsia="Times New Roman"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B512C3"/>
    <w:rsid w:val="000B2224"/>
    <w:rsid w:val="000F6D3E"/>
    <w:rsid w:val="002A4102"/>
    <w:rsid w:val="0044426B"/>
    <w:rsid w:val="006061BA"/>
    <w:rsid w:val="00686D0C"/>
    <w:rsid w:val="008472B7"/>
    <w:rsid w:val="008A6CEB"/>
    <w:rsid w:val="00903D34"/>
    <w:rsid w:val="00984C7E"/>
    <w:rsid w:val="009F5F3D"/>
    <w:rsid w:val="00B512C3"/>
    <w:rsid w:val="00C7300F"/>
    <w:rsid w:val="00D10FFC"/>
    <w:rsid w:val="00DC590E"/>
    <w:rsid w:val="00DE21A5"/>
    <w:rsid w:val="00F05E47"/>
    <w:rsid w:val="00F12DA9"/>
    <w:rsid w:val="00F44A86"/>
    <w:rsid w:val="00FB40A8"/>
    <w:rsid w:val="00FE7E37"/>
    <w:rsid w:val="00FF18B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512C3"/>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B2224"/>
    <w:pPr>
      <w:ind w:firstLineChars="200" w:firstLine="420"/>
    </w:pPr>
  </w:style>
  <w:style w:type="character" w:customStyle="1" w:styleId="mceitemhidden">
    <w:name w:val="mceitemhidden"/>
    <w:basedOn w:val="a0"/>
    <w:rsid w:val="00FF18B5"/>
  </w:style>
  <w:style w:type="character" w:customStyle="1" w:styleId="hiddenspellerror">
    <w:name w:val="hiddenspellerror"/>
    <w:basedOn w:val="a0"/>
    <w:rsid w:val="00FF18B5"/>
  </w:style>
  <w:style w:type="character" w:customStyle="1" w:styleId="hiddengrammarerror">
    <w:name w:val="hiddengrammarerror"/>
    <w:basedOn w:val="a0"/>
    <w:rsid w:val="00FF18B5"/>
  </w:style>
  <w:style w:type="character" w:customStyle="1" w:styleId="hiddensuggestion">
    <w:name w:val="hiddensuggestion"/>
    <w:basedOn w:val="a0"/>
    <w:rsid w:val="00FF18B5"/>
  </w:style>
</w:styles>
</file>

<file path=word/webSettings.xml><?xml version="1.0" encoding="utf-8"?>
<w:webSettings xmlns:r="http://schemas.openxmlformats.org/officeDocument/2006/relationships" xmlns:w="http://schemas.openxmlformats.org/wordprocessingml/2006/main">
  <w:divs>
    <w:div w:id="507840108">
      <w:bodyDiv w:val="1"/>
      <w:marLeft w:val="0"/>
      <w:marRight w:val="0"/>
      <w:marTop w:val="0"/>
      <w:marBottom w:val="0"/>
      <w:divBdr>
        <w:top w:val="none" w:sz="0" w:space="0" w:color="auto"/>
        <w:left w:val="none" w:sz="0" w:space="0" w:color="auto"/>
        <w:bottom w:val="none" w:sz="0" w:space="0" w:color="auto"/>
        <w:right w:val="none" w:sz="0" w:space="0" w:color="auto"/>
      </w:divBdr>
    </w:div>
    <w:div w:id="128596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484</Words>
  <Characters>2762</Characters>
  <Application>Microsoft Office Word</Application>
  <DocSecurity>0</DocSecurity>
  <Lines>23</Lines>
  <Paragraphs>6</Paragraphs>
  <ScaleCrop>false</ScaleCrop>
  <Company/>
  <LinksUpToDate>false</LinksUpToDate>
  <CharactersWithSpaces>3240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2019-01-29T05:57:00Z</dcterms:created>
  <dcterms:modified xsi:type="dcterms:W3CDTF">2019-01-29T05:57:00Z</dcterms:modified>
</cp:coreProperties>
</file>