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98" w:rightFromText="198" w:vertAnchor="page" w:horzAnchor="margin" w:tblpY="11461"/>
        <w:tblW w:w="2410" w:type="dxa"/>
        <w:tblLayout w:type="fixed"/>
        <w:tblCellMar>
          <w:left w:w="0" w:type="dxa"/>
          <w:right w:w="0" w:type="dxa"/>
        </w:tblCellMar>
        <w:tblLook w:val="04A0" w:firstRow="1" w:lastRow="0" w:firstColumn="1" w:lastColumn="0" w:noHBand="0" w:noVBand="1"/>
      </w:tblPr>
      <w:tblGrid>
        <w:gridCol w:w="2410"/>
      </w:tblGrid>
      <w:tr w:rsidR="007D39A8" w:rsidRPr="007839E8" w14:paraId="2B3147DB" w14:textId="77777777" w:rsidTr="000D20E3">
        <w:tc>
          <w:tcPr>
            <w:tcW w:w="2410" w:type="dxa"/>
          </w:tcPr>
          <w:p w14:paraId="7E597E98" w14:textId="77777777" w:rsidR="007D39A8" w:rsidRPr="007839E8" w:rsidRDefault="007D39A8" w:rsidP="000D20E3">
            <w:pPr>
              <w:pStyle w:val="MDPI15academiceditor"/>
              <w:spacing w:before="0" w:after="120"/>
            </w:pPr>
            <w:r w:rsidRPr="007839E8">
              <w:t>Academic Editor: [To be assigned]</w:t>
            </w:r>
          </w:p>
          <w:p w14:paraId="4A5A8448" w14:textId="77777777" w:rsidR="007D39A8" w:rsidRPr="007839E8" w:rsidRDefault="007D39A8" w:rsidP="000D20E3">
            <w:pPr>
              <w:pStyle w:val="MDPI14history"/>
              <w:spacing w:before="120"/>
            </w:pPr>
            <w:r w:rsidRPr="007839E8">
              <w:t>Received: [To be assigned]</w:t>
            </w:r>
          </w:p>
          <w:p w14:paraId="0D9189C3" w14:textId="77777777" w:rsidR="007D39A8" w:rsidRPr="007839E8" w:rsidRDefault="007D39A8" w:rsidP="000D20E3">
            <w:pPr>
              <w:pStyle w:val="MDPI14history"/>
            </w:pPr>
            <w:r w:rsidRPr="007839E8">
              <w:t>Revised: [To be assigned]</w:t>
            </w:r>
          </w:p>
          <w:p w14:paraId="235EBBE2" w14:textId="77777777" w:rsidR="007D39A8" w:rsidRPr="007839E8" w:rsidRDefault="007D39A8" w:rsidP="000D20E3">
            <w:pPr>
              <w:pStyle w:val="MDPI14history"/>
            </w:pPr>
            <w:r w:rsidRPr="007839E8">
              <w:t>Accepted: [To be assigned]</w:t>
            </w:r>
          </w:p>
          <w:p w14:paraId="045A8FDE" w14:textId="77777777" w:rsidR="007D39A8" w:rsidRPr="007839E8" w:rsidRDefault="007D39A8" w:rsidP="000D20E3">
            <w:pPr>
              <w:pStyle w:val="MDPI14history"/>
              <w:spacing w:after="120"/>
            </w:pPr>
            <w:r w:rsidRPr="007839E8">
              <w:t>Published: [To be assigned]</w:t>
            </w:r>
          </w:p>
          <w:p w14:paraId="214DE50F" w14:textId="77777777" w:rsidR="007D39A8" w:rsidRPr="007839E8" w:rsidRDefault="007D39A8" w:rsidP="000D20E3">
            <w:pPr>
              <w:pStyle w:val="MDPI61citation"/>
              <w:rPr>
                <w:lang w:bidi="en-US"/>
              </w:rPr>
            </w:pPr>
            <w:r w:rsidRPr="007839E8">
              <w:rPr>
                <w:b/>
                <w:lang w:bidi="en-US"/>
              </w:rPr>
              <w:t>Citation: To be assigned by the publisher.</w:t>
            </w:r>
            <w:r w:rsidRPr="007839E8">
              <w:rPr>
                <w:lang w:bidi="en-US"/>
              </w:rPr>
            </w:r>
          </w:p>
          <w:p w14:paraId="445926C6" w14:textId="77777777" w:rsidR="007D39A8" w:rsidRPr="007839E8" w:rsidRDefault="007D39A8" w:rsidP="000D20E3">
            <w:pPr>
              <w:pStyle w:val="MDPI72copyright"/>
              <w:rPr>
                <w:rFonts w:eastAsia="等线"/>
                <w:noProof w:val="0"/>
                <w:lang w:val="en-US" w:bidi="en-US"/>
              </w:rPr>
            </w:pPr>
            <w:r w:rsidRPr="007839E8">
              <w:rPr>
                <w:rFonts w:eastAsia="等线"/>
                <w:b/>
                <w:noProof w:val="0"/>
                <w:lang w:val="en-US" w:bidi="en-US"/>
              </w:rPr>
              <w:t>Copyright: © 2026 by the authors. Submitted for possible open access publication under the terms of the Creative Commons Attribution (CC BY) license.</w:t>
            </w:r>
            <w:r w:rsidRPr="007839E8">
              <w:rPr>
                <w:rFonts w:eastAsia="等线"/>
                <w:noProof w:val="0"/>
                <w:lang w:val="en-US" w:bidi="en-US"/>
              </w:rPr>
            </w:r>
          </w:p>
        </w:tc>
      </w:tr>
    </w:tbl>
    <w:p>
      <w:pPr>
        <w:pStyle w:val="MDPI11articletype"/>
        <w:widowControl/>
      </w:pPr>
      <w:r>
        <w:t>Article</w:t>
      </w:r>
    </w:p>
    <w:p>
      <w:pPr>
        <w:pStyle w:val="MDPI12title"/>
        <w:widowControl/>
        <w:suppressAutoHyphens w:val="1"/>
      </w:pPr>
      <w:r>
        <w:t>Bandwise Stability and Redundancy Selection for Near-Infrared Prediction of Total C21 Steroidal Glycoside Equivalents in Baishouwu</w:t>
      </w:r>
    </w:p>
    <w:p>
      <w:pPr>
        <w:pStyle w:val="MDPI13authornames"/>
        <w:widowControl/>
      </w:pPr>
      <w:r>
        <w:t>Cheng Guo</w:t>
      </w:r>
      <w:r>
        <w:rPr>
          <w:vertAlign w:val="superscript"/>
        </w:rPr>
        <w:t xml:space="preserve"> 1</w:t>
      </w:r>
      <w:r>
        <w:t xml:space="preserve">, </w:t>
      </w:r>
      <w:r>
        <w:t>Chen Qiu</w:t>
      </w:r>
      <w:r>
        <w:rPr>
          <w:vertAlign w:val="superscript"/>
        </w:rPr>
        <w:t xml:space="preserve"> 1</w:t>
      </w:r>
      <w:r>
        <w:t xml:space="preserve">, </w:t>
      </w:r>
      <w:r>
        <w:t>Yang Qian</w:t>
      </w:r>
      <w:r>
        <w:rPr>
          <w:vertAlign w:val="superscript"/>
        </w:rPr>
        <w:t xml:space="preserve"> 1</w:t>
      </w:r>
      <w:r>
        <w:t xml:space="preserve">, </w:t>
      </w:r>
      <w:r>
        <w:t>Hongle An</w:t>
      </w:r>
      <w:r>
        <w:rPr>
          <w:vertAlign w:val="superscript"/>
        </w:rPr>
        <w:t xml:space="preserve"> 2,*</w:t>
      </w:r>
      <w:r>
        <w:t xml:space="preserve">, </w:t>
      </w:r>
      <w:r>
        <w:t>Mingguang Zhang</w:t>
      </w:r>
      <w:r>
        <w:rPr>
          <w:vertAlign w:val="superscript"/>
        </w:rPr>
        <w:t xml:space="preserve"> 1</w:t>
      </w:r>
      <w:r>
        <w:t xml:space="preserve">, </w:t>
      </w:r>
      <w:r>
        <w:t>Baolin Zhu</w:t>
      </w:r>
      <w:r>
        <w:rPr>
          <w:vertAlign w:val="superscript"/>
        </w:rPr>
        <w:t xml:space="preserve"> 3,4,*</w:t>
      </w:r>
      <w:r>
        <w:t xml:space="preserve"> and </w:t>
      </w:r>
      <w:r>
        <w:t>Cuiyan Han</w:t>
      </w:r>
      <w:r>
        <w:rPr>
          <w:vertAlign w:val="superscript"/>
        </w:rPr>
        <w:t xml:space="preserve"> 1,*</w:t>
      </w:r>
    </w:p>
    <w:p>
      <w:pPr>
        <w:pStyle w:val="MDPI16affiliation"/>
        <w:widowControl/>
        <w:tabs>
          <w:tab w:pos="2867" w:val="left"/>
        </w:tabs>
        <w:spacing w:after="40"/>
        <w:ind w:left="2867" w:hanging="259"/>
      </w:pPr>
      <w:r>
        <w:rPr>
          <w:sz w:val="16"/>
          <w:vertAlign w:val="superscript"/>
        </w:rPr>
        <w:t>1</w:t>
      </w:r>
      <w:r>
        <w:rPr>
          <w:sz w:val="16"/>
        </w:rPr>
        <w:tab/>
        <w:t>School of Pharmacy, Jiangsu Medical College, Jiangsu 224005, PR China</w:t>
      </w:r>
    </w:p>
    <w:p>
      <w:pPr>
        <w:pStyle w:val="MDPI16affiliation"/>
        <w:widowControl/>
        <w:tabs>
          <w:tab w:pos="2867" w:val="left"/>
        </w:tabs>
        <w:spacing w:after="40"/>
        <w:ind w:left="2867" w:hanging="259"/>
      </w:pPr>
      <w:r>
        <w:rPr>
          <w:sz w:val="16"/>
          <w:vertAlign w:val="superscript"/>
        </w:rPr>
        <w:t>2</w:t>
      </w:r>
      <w:r>
        <w:rPr>
          <w:sz w:val="16"/>
        </w:rPr>
        <w:tab/>
        <w:t>Key Laboratory of Magnetic Molecules and Magnetic Information Materials (Ministry of Education), College of Chemistry and Chemical Engineering, Shanxi Normal University, Taiyuan 030006, PR China</w:t>
      </w:r>
    </w:p>
    <w:p>
      <w:pPr>
        <w:pStyle w:val="MDPI16affiliation"/>
        <w:widowControl/>
        <w:tabs>
          <w:tab w:pos="2867" w:val="left"/>
        </w:tabs>
        <w:spacing w:after="40"/>
        <w:ind w:left="2867" w:hanging="259"/>
      </w:pPr>
      <w:r>
        <w:rPr>
          <w:sz w:val="16"/>
          <w:vertAlign w:val="superscript"/>
        </w:rPr>
        <w:t>3</w:t>
      </w:r>
      <w:r>
        <w:rPr>
          <w:sz w:val="16"/>
        </w:rPr>
        <w:tab/>
        <w:t>College of Chemistry, Nankai University, Tianjin 300071, China</w:t>
      </w:r>
    </w:p>
    <w:p>
      <w:pPr>
        <w:pStyle w:val="MDPI16affiliation"/>
        <w:widowControl/>
        <w:tabs>
          <w:tab w:pos="2867" w:val="left"/>
        </w:tabs>
        <w:spacing w:after="40"/>
        <w:ind w:left="2867" w:hanging="259"/>
      </w:pPr>
      <w:r>
        <w:rPr>
          <w:sz w:val="16"/>
          <w:vertAlign w:val="superscript"/>
        </w:rPr>
        <w:t>4</w:t>
      </w:r>
      <w:r>
        <w:rPr>
          <w:sz w:val="16"/>
        </w:rPr>
        <w:tab/>
        <w:t>National Demonstration Center for Experimental Chemistry Education, Nankai University, Tianjin 300071, China</w:t>
      </w:r>
    </w:p>
    <w:p>
      <w:pPr>
        <w:pStyle w:val="MDPI16affiliation"/>
        <w:widowControl/>
        <w:suppressAutoHyphens w:val="1"/>
        <w:spacing w:after="120"/>
      </w:pPr>
      <w:r>
        <w:rPr>
          <w:sz w:val="16"/>
        </w:rPr>
        <w:t>* Correspondence: honglean@sxnu.edu.cn (H.A.); zhubaolin@nankai.edu.cn (B.Z.);</w:t>
        <w:br/>
        <w:t>hancuiyan@jsmc.edu.cn (C.H.)</w:t>
      </w:r>
    </w:p>
    <w:p>
      <w:pPr>
        <w:pStyle w:val="MDPI21heading1"/>
        <w:keepNext/>
        <w:widowControl/>
        <w:spacing w:before="120"/>
      </w:pPr>
      <w:r>
        <w:t>Abstract</w:t>
      </w:r>
    </w:p>
    <w:p>
      <w:pPr>
        <w:pStyle w:val="MDPI17abstract"/>
        <w:widowControl/>
        <w:spacing w:before="0"/>
      </w:pPr>
      <w:r>
        <w:t xml:space="preserve">Near-infrared (NIR) spectroscopy offers a rapid approach to botanical compositional analysis, but overlapping and correlated spectral variables can complicate the development of compact calibration models. This study proposes bandwise stability and redundancy selection (BSRS), which combines resampled PLS coefficient reliability, sign consistency, local spectral support and a correlation penalty. The method was evaluated using 84 Baishouwu samples, each represented by 141 spectral variables over 1348.28–2551.98 nm and a source-assigned total C21 steroidal glycoside equivalent content. Sample partitioning based on joint X–y distances (SPXY) assigned 63 samples to calibration and 21 to prediction. Five preprocessing methods were compared with untreated spectra, followed by comparisons of full-spectrum PLS, UVE, MC-UVE, RT, an adapted C-value method and BSRS. The second derivative gave the lowest full-spectrum calibration RMSECV. BSRS gave the lowest variable-selection RMSECV, 3.457 mg </w:t>
      </w:r>
      <w:r>
        <w:t>g</w:t>
      </w:r>
      <w:r>
        <w:rPr>
          <w:vertAlign w:val="superscript"/>
        </w:rPr>
        <w:t>−1</w:t>
      </w:r>
      <w:r>
        <w:t xml:space="preserve">, retaining eight variables and reducing the spectral dimension by 94.3%. Its prediction RMSEP was 2.806 mg </w:t>
      </w:r>
      <w:r>
        <w:t>g</w:t>
      </w:r>
      <w:r>
        <w:rPr>
          <w:vertAlign w:val="superscript"/>
        </w:rPr>
        <w:t>−1</w:t>
      </w:r>
      <w:r>
        <w:t xml:space="preserve"> with R²p of 0.876, compared with 2.897 mg </w:t>
      </w:r>
      <w:r>
        <w:t>g</w:t>
      </w:r>
      <w:r>
        <w:rPr>
          <w:vertAlign w:val="superscript"/>
        </w:rPr>
        <w:t>−1</w:t>
      </w:r>
      <w:r>
        <w:t xml:space="preserve"> for full-spectrum PLS. RT gave the lowest observed prediction RMSEP, 2.746 mg </w:t>
      </w:r>
      <w:r>
        <w:t>g</w:t>
      </w:r>
      <w:r>
        <w:rPr>
          <w:vertAlign w:val="superscript"/>
        </w:rPr>
        <w:t>−1</w:t>
      </w:r>
      <w:r>
        <w:t>. The results identify the balance between model compactness and prediction performance under the fixed SPXY partition and provide a reproducible procedure for selecting informative spectral variables.</w:t>
      </w:r>
    </w:p>
    <w:p>
      <w:pPr>
        <w:pStyle w:val="MDPI18keywords"/>
        <w:widowControl/>
      </w:pPr>
      <w:r>
        <w:rPr>
          <w:b/>
        </w:rPr>
        <w:t xml:space="preserve">Keywords: </w:t>
      </w:r>
      <w:r>
        <w:t>near-infrared spectroscopy; Baishouwu; C21 steroidal glycosides; variable selection; partial least squares; coefficient stability</w:t>
      </w:r>
    </w:p>
    <w:p>
      <w:pPr>
        <w:pStyle w:val="MDPI19line"/>
        <w:widowControl/>
      </w:pPr>
    </w:p>
    <w:p>
      <w:pPr>
        <w:pStyle w:val="MDPI21heading1"/>
        <w:keepNext/>
        <w:widowControl/>
      </w:pPr>
      <w:r>
        <w:t>1. Introduction</w:t>
      </w:r>
    </w:p>
    <w:p>
      <w:pPr>
        <w:pStyle w:val="MDPI31text"/>
        <w:widowControl/>
      </w:pPr>
      <w:r>
        <w:t xml:space="preserve">Baishouwu is used in traditional preparations and food-related products, and its composition varies with botanical source, cultivation and processing. C21 steroidal glycosides are a diverse group of constituents reported from </w:t>
      </w:r>
      <w:r>
        <w:rPr>
          <w:i/>
        </w:rPr>
        <w:t>Cynanchum auriculatum</w:t>
      </w:r>
      <w:r>
        <w:t xml:space="preserve"> </w:t>
      </w:r>
      <w:r>
        <w:rPr>
          <w:color w:val="075A78"/>
        </w:rPr>
        <w:t>[1–3]</w:t>
      </w:r>
      <w:r>
        <w:t>. Their total assay response provides a compositional indicator for quality assessment. When the assay is calibrated against one reference compound, however, the result represents an equivalent content rather than the sum of individually determined glycosides.</w:t>
      </w:r>
    </w:p>
    <w:p>
      <w:pPr>
        <w:pStyle w:val="MDPI31text"/>
        <w:widowControl/>
      </w:pPr>
      <w:r>
        <w:t xml:space="preserve">Near-infrared (NIR) spectroscopy is widely investigated for the quantitative analysis of food and agricultural materials because measurements are rapid and require limited sample preparation </w:t>
      </w:r>
      <w:r>
        <w:rPr>
          <w:color w:val="075A78"/>
        </w:rPr>
        <w:t>[4,5]</w:t>
      </w:r>
      <w:r>
        <w:t xml:space="preserve">. Miniaturized instruments further support measurements outside centralized laboratories </w:t>
      </w:r>
      <w:r>
        <w:rPr>
          <w:color w:val="075A78"/>
        </w:rPr>
        <w:t>[6]</w:t>
      </w:r>
      <w:r>
        <w:t xml:space="preserve">. NIR spectra contain overlapping overtone and combination bands together with variation in moisture, particle size and the surrounding matrix. Multivariate calibration is therefore required to relate the recorded response to the constituent of interest </w:t>
      </w:r>
      <w:r>
        <w:rPr>
          <w:color w:val="075A78"/>
        </w:rPr>
        <w:t>[7,8]</w:t>
      </w:r>
      <w:r>
        <w:t>.</w:t>
      </w:r>
    </w:p>
    <w:p>
      <w:pPr>
        <w:pStyle w:val="MDPI31text"/>
        <w:widowControl/>
      </w:pPr>
      <w:r>
        <w:t xml:space="preserve">Partial least squares (PLS) is commonly used for correlated spectral data, but a model may contain predictors that contribute little useful information. Preprocessing can reduce scatter effects or emphasize spectral structure, while variable selection can produce a more compact predictor set </w:t>
      </w:r>
      <w:r>
        <w:rPr>
          <w:color w:val="075A78"/>
        </w:rPr>
        <w:t>[9,10]</w:t>
      </w:r>
      <w:r>
        <w:t xml:space="preserve">. Existing approaches include coefficient reliability, response randomization and optimization-based subset searches. Their relative performance depends on the data and validation procedure </w:t>
      </w:r>
      <w:r>
        <w:rPr>
          <w:color w:val="075A78"/>
        </w:rPr>
        <w:t>[11,12]</w:t>
      </w:r>
      <w:r>
        <w:t xml:space="preserve">. Kousar et al. recently combined discretized beluga whale optimization with PLS for complex NIR datasets </w:t>
      </w:r>
      <w:r>
        <w:rPr>
          <w:color w:val="075A78"/>
        </w:rPr>
        <w:t>[13]</w:t>
      </w:r>
      <w:r>
        <w:t>, illustrating the continued interest in spectral subset design.</w:t>
      </w:r>
    </w:p>
    <w:p>
      <w:pPr>
        <w:pStyle w:val="MDPI31text"/>
        <w:widowControl/>
      </w:pPr>
      <w:r>
        <w:t>This study develops bandwise stability and redundancy selection (BSRS) for predicting total C21 steroidal glycoside equivalents in Baishouwu. BSRS combines resampled PLS coefficient reliability with sign agreement, support from adjacent spectral variables and a soft redundancy penalty. An SPXY partition was used to establish calibration and prediction subsets. Five preprocessing methods were compared, after which BSRS was evaluated against UVE, MC-UVE, RT and an adapted C-value method. The selected wavelengths and component ablations were examined to relate model compactness to the proposed scoring mechanism.</w:t>
      </w:r>
    </w:p>
    <w:p>
      <w:pPr>
        <w:pStyle w:val="MDPI21heading1"/>
        <w:keepNext/>
        <w:widowControl/>
      </w:pPr>
      <w:r>
        <w:t>2. Theory and Algorithms</w:t>
      </w:r>
    </w:p>
    <w:p>
      <w:pPr>
        <w:pStyle w:val="MDPI22heading2"/>
        <w:keepNext/>
        <w:widowControl/>
      </w:pPr>
      <w:r>
        <w:t>2.1. Partial least squares regression</w:t>
      </w:r>
    </w:p>
    <w:p>
      <w:pPr>
        <w:pStyle w:val="MDPI31text"/>
        <w:widowControl/>
      </w:pPr>
      <w:r>
        <w:t xml:space="preserve">PLS constructs latent variables (LVs) that relate a matrix of spectral variables to the reference response </w:t>
      </w:r>
      <w:r>
        <w:rPr>
          <w:color w:val="075A78"/>
        </w:rPr>
        <w:t>[10]</w:t>
      </w:r>
      <w:r>
        <w:t>. Too few LVs may omit useful covariance, whereas excessive complexity can fit variation that does not support prediction. The present PLS1 implementation mean-centered spectral variables and responses without variable autoscaling. One to ten LVs were considered, subject to training sample and variable dimensions. Preprocessing was selected from full-spectrum PLS by the minimum fivefold calibration RMSECV; the same selected transformation was then used for all variable-selection comparisons.</w:t>
      </w:r>
    </w:p>
    <w:p>
      <w:pPr>
        <w:pStyle w:val="MDPI31text"/>
        <w:widowControl/>
      </w:pPr>
      <w:r>
        <w:t>Coefficient paths were calculated using the mean-centered PLS1 algorithm. The LV count used to construct resampled coefficient scores was obtained from the preceding full-spectrum calibration stage. It was distinct from the final LV count tuned for a selected subset.</w:t>
      </w:r>
    </w:p>
    <w:p>
      <w:pPr>
        <w:pStyle w:val="MDPI22heading2"/>
        <w:keepNext/>
        <w:widowControl/>
      </w:pPr>
      <w:r>
        <w:t>2.2. Comparative variable-selection methods</w:t>
      </w:r>
    </w:p>
    <w:p>
      <w:pPr>
        <w:pStyle w:val="MDPI31text"/>
        <w:widowControl/>
      </w:pPr>
      <w:r>
        <w:t xml:space="preserve">UVE evaluates the reliability of PLS coefficients across leave-one-sample-out fits </w:t>
      </w:r>
      <w:r>
        <w:rPr>
          <w:color w:val="075A78"/>
        </w:rPr>
        <w:t>[14]</w:t>
      </w:r>
      <w:r>
        <w:t xml:space="preserve">. MC-UVE replaces these fits with repeated subsamples of the training set </w:t>
      </w:r>
      <w:r>
        <w:rPr>
          <w:color w:val="075A78"/>
        </w:rPr>
        <w:t>[15]</w:t>
      </w:r>
      <w:r>
        <w:t xml:space="preserve">. Here, MC-UVE used 100 subsamples targeting 80% of training rows without replacement. Independent Gaussian noise variables were appended at </w:t>
      </w:r>
      <w:r>
        <w:t>10</w:t>
      </w:r>
      <w:r>
        <w:rPr>
          <w:vertAlign w:val="superscript"/>
        </w:rPr>
        <w:t>−6</w:t>
      </w:r>
      <w:r>
        <w:t xml:space="preserve"> times the global training spectral standard deviation. To compare the methods under the same subset-size search, the real spectral variables were ranked by coefficient reliability and the retained prefix size was selected by calibration cross validation. These implementations are denoted UVE rank and MC-UVE rank to distinguish the ranking adaptation from the original elimination rules.</w:t>
      </w:r>
    </w:p>
    <w:p>
      <w:pPr>
        <w:pStyle w:val="MDPI31text"/>
        <w:widowControl/>
      </w:pPr>
      <w:r>
        <w:t xml:space="preserve">RT compared observed PLS coefficient magnitudes with those obtained from 199 response permutations </w:t>
      </w:r>
      <w:r>
        <w:rPr>
          <w:color w:val="075A78"/>
        </w:rPr>
        <w:t>[16]</w:t>
      </w:r>
      <w:r>
        <w:t xml:space="preserve">. The finite-sample tail probability was </w:t>
      </w:r>
      <m:oMath>
        <m:sSub>
          <m:e>
            <m:r>
              <m:t xml:space="preserve">p</m:t>
            </m:r>
          </m:e>
          <m:sub>
            <m:r>
              <m:t xml:space="preserve">j</m:t>
            </m:r>
          </m:sub>
        </m:sSub>
      </m:oMath>
      <w:r>
        <w:t xml:space="preserve"> = (1 + number of permuted magnitudes at least as large as the observed magnitude)/200. Predictors were ordered by increasing probability, with observed magnitude resolving ties. RT was used as a ranking procedure, without a multiple-testing discovery claim.</w:t>
      </w:r>
    </w:p>
    <w:p>
      <w:pPr>
        <w:pStyle w:val="MDPI31text"/>
        <w:widowControl/>
      </w:pPr>
      <w:r>
        <w:t xml:space="preserve">The C-value method quantified the error contribution of randomly included predictors. A binary matrix F represented 2p subsets, each containing approximately 70% of the p predictors. Threefold internal validation generated a vector e of optimized PLS RMSECV values. Contribution coefficients were calculated as C = </w:t>
      </w:r>
      <w:r>
        <w:t>F</w:t>
      </w:r>
      <w:r>
        <w:rPr>
          <w:vertAlign w:val="superscript"/>
        </w:rPr>
        <w:t>+</w:t>
      </w:r>
      <w:r>
        <w:t xml:space="preserve">e, where + denotes the Moore–Penrose pseudoinverse, and lower values received higher priority. This implementation preserved the supplied error-contribution mechanism but used a reduced random design and a common prefix search; it is therefore termed C-value adapted. Complete settings and code accompany the manuscript </w:t>
      </w:r>
      <w:r>
        <w:rPr>
          <w:color w:val="075A78"/>
        </w:rPr>
        <w:t>[17]</w:t>
      </w:r>
      <w:r>
        <w:t>.</w:t>
      </w:r>
    </w:p>
    <w:p>
      <w:pPr>
        <w:pStyle w:val="MDPI22heading2"/>
        <w:keepNext/>
        <w:widowControl/>
      </w:pPr>
      <w:r>
        <w:t>2.3. Bandwise stability and redundancy selection</w:t>
      </w:r>
    </w:p>
    <w:p>
      <w:pPr>
        <w:pStyle w:val="MDPI31text"/>
        <w:widowControl/>
      </w:pPr>
      <w:r>
        <w:t xml:space="preserve">BSRS combines reproducible coefficient contributions, support from adjacent spectral variables and limited duplication of selected information. Resampling motivates the reliability criterion </w:t>
      </w:r>
      <w:r>
        <w:rPr>
          <w:color w:val="075A78"/>
        </w:rPr>
        <w:t>[18,19]</w:t>
      </w:r>
      <w:r>
        <w:t>. The resulting score is a heuristic utility, rather than a hypothesis test with false-discovery guarantees. Figure 1 summarizes the ranking and calibration sequence.</w:t>
      </w:r>
    </w:p>
    <w:p>
      <w:pPr>
        <w:pStyle w:val="MDPI52figure"/>
        <w:keepNext/>
        <w:widowControl/>
        <w:ind w:left="2608" w:firstLine="0"/>
        <w:jc w:val="center"/>
      </w:pPr>
      <w:r>
        <w:drawing>
          <wp:inline xmlns:a="http://schemas.openxmlformats.org/drawingml/2006/main" xmlns:pic="http://schemas.openxmlformats.org/drawingml/2006/picture">
            <wp:extent cx="4572000" cy="3721395"/>
            <wp:docPr id="1" name="Picture 1" descr="Flowcharts of (a) the calibration and prediction procedure and (b) bandwise stability and redundancy selection (BSRS). The 84 spectra contain 141 variables. SPXY assigns 63 samples to calibration and 21 to prediction. Reliability is estimated from 100 subsamples; variable budgets and latent-variable counts are selected using fivefold calibration cross-validation."/>
            <wp:cNvGraphicFramePr>
              <a:graphicFrameLocks noChangeAspect="1"/>
            </wp:cNvGraphicFramePr>
            <a:graphic>
              <a:graphicData uri="http://schemas.openxmlformats.org/drawingml/2006/picture">
                <pic:pic>
                  <pic:nvPicPr>
                    <pic:cNvPr id="0" name="Figure_1.png"/>
                    <pic:cNvPicPr/>
                  </pic:nvPicPr>
                  <pic:blipFill>
                    <a:blip r:embed="rId18"/>
                    <a:stretch>
                      <a:fillRect/>
                    </a:stretch>
                  </pic:blipFill>
                  <pic:spPr>
                    <a:xfrm>
                      <a:off x="0" y="0"/>
                      <a:ext cx="4572000" cy="3721395"/>
                    </a:xfrm>
                    <a:prstGeom prst="rect"/>
                  </pic:spPr>
                </pic:pic>
              </a:graphicData>
            </a:graphic>
          </wp:inline>
        </w:drawing>
      </w:r>
    </w:p>
    <w:p>
      <w:pPr>
        <w:pStyle w:val="MDPI51figurecaption"/>
        <w:keepLines/>
        <w:widowControl/>
        <w:ind w:left="2608" w:firstLine="0"/>
      </w:pPr>
      <w:r>
        <w:rPr>
          <w:b/>
        </w:rPr>
        <w:t xml:space="preserve">Figure 1. </w:t>
      </w:r>
      <w:r>
        <w:t>Flowcharts of (a) the calibration and prediction procedure and (b) bandwise stability and redundancy selection (BSRS). The 84 spectra contain 141 variables. SPXY assigns 63 samples to calibration and 21 to prediction. Reliability is estimated from 100 subsamples; variable budgets and latent-variable counts are selected using fivefold calibration cross-validation.</w:t>
      </w:r>
    </w:p>
    <w:p>
      <w:pPr>
        <w:pStyle w:val="MDPI31text"/>
        <w:keepNext/>
        <w:widowControl/>
      </w:pPr>
      <w:r>
        <w:t xml:space="preserve">Let X contain n training rows and p preprocessed variables, and let y contain their reference responses. For resample b, </w:t>
      </w:r>
      <m:oMath>
        <m:sSub>
          <m:e>
            <m:r>
              <m:t xml:space="preserve">n</m:t>
            </m:r>
          </m:e>
          <m:sub>
            <m:r>
              <m:t xml:space="preserve">b</m:t>
            </m:r>
          </m:sub>
        </m:sSub>
      </m:oMath>
      <w:r>
        <w:t xml:space="preserve"> = max[L₀ + 3, ceil(0.8n)] rows were drawn without replacement. PLS1 was fitted after centering within the subset, with at most L₀ components. L₀ was selected during the preceding full-spectrum calibration stage. The coefficient vector was reconstructed from the weight matrix </w:t>
      </w:r>
      <m:oMath>
        <m:sSub>
          <m:e>
            <m:r>
              <m:t xml:space="preserve">W</m:t>
            </m:r>
          </m:e>
          <m:sub>
            <m:r>
              <m:t xml:space="preserve">b</m:t>
            </m:r>
          </m:sub>
        </m:sSub>
      </m:oMath>
      <w:r>
        <w:t xml:space="preserve">, variable loading matrix </w:t>
      </w:r>
      <m:oMath>
        <m:sSub>
          <m:e>
            <m:r>
              <m:t xml:space="preserve">P</m:t>
            </m:r>
          </m:e>
          <m:sub>
            <m:r>
              <m:t xml:space="preserve">b</m:t>
            </m:r>
          </m:sub>
        </m:sSub>
      </m:oMath>
      <w:r>
        <w:t xml:space="preserve"> and response loading vector </w:t>
      </w:r>
      <m:oMath>
        <m:sSub>
          <m:e>
            <m:r>
              <m:t xml:space="preserve">c</m:t>
            </m:r>
          </m:e>
          <m:sub>
            <m:r>
              <m:t xml:space="preserve">b</m:t>
            </m:r>
          </m:sub>
        </m:sSub>
      </m:oMath>
      <w:r>
        <w:t>; + denotes the Moore–Penrose pseudoinverse.</w:t>
      </w:r>
    </w:p>
    <w:p>
      <w:pPr>
        <w:pStyle w:val="MDPI31text"/>
        <w:keepLines/>
        <w:widowControl/>
        <w:tabs>
          <w:tab w:pos="6523" w:val="center"/>
          <w:tab w:pos="10454" w:val="right"/>
        </w:tabs>
        <w:spacing w:before="100" w:after="140"/>
        <w:ind w:firstLine="0" w:left="2608"/>
        <w:jc w:val="left"/>
      </w:pPr>
      <w:r>
        <w:tab/>
      </w:r>
      <m:oMath>
        <m:sSup>
          <m:e>
            <m:r>
              <m:t xml:space="preserve">β</m:t>
            </m:r>
          </m:e>
          <m:sup>
            <m:d>
              <m:dPr>
                <m:begChr m:val="("/>
                <m:endChr m:val=")"/>
              </m:dPr>
              <m:e>
                <m:r>
                  <m:t xml:space="preserve">b</m:t>
                </m:r>
              </m:e>
            </m:d>
          </m:sup>
        </m:sSup>
        <m:r>
          <m:rPr>
            <m:sty m:val="p"/>
          </m:rPr>
          <m:t xml:space="preserve"> = </m:t>
        </m:r>
        <m:sSub>
          <m:e>
            <m:r>
              <m:t xml:space="preserve">W</m:t>
            </m:r>
          </m:e>
          <m:sub>
            <m:r>
              <m:t xml:space="preserve">b</m:t>
            </m:r>
          </m:sub>
        </m:sSub>
        <m:sSup>
          <m:e>
            <m:d>
              <m:dPr>
                <m:begChr m:val="("/>
                <m:endChr m:val=")"/>
              </m:dPr>
              <m:e>
                <m:sSup>
                  <m:e>
                    <m:sSub>
                      <m:e>
                        <m:r>
                          <m:t xml:space="preserve">P</m:t>
                        </m:r>
                      </m:e>
                      <m:sub>
                        <m:r>
                          <m:t xml:space="preserve">b</m:t>
                        </m:r>
                      </m:sub>
                    </m:sSub>
                  </m:e>
                  <m:sup>
                    <m:r>
                      <m:t xml:space="preserve">T</m:t>
                    </m:r>
                  </m:sup>
                </m:sSup>
                <m:sSub>
                  <m:e>
                    <m:r>
                      <m:t xml:space="preserve">W</m:t>
                    </m:r>
                  </m:e>
                  <m:sub>
                    <m:r>
                      <m:t xml:space="preserve">b</m:t>
                    </m:r>
                  </m:sub>
                </m:sSub>
              </m:e>
            </m:d>
          </m:e>
          <m:sup>
            <m:r>
              <m:rPr>
                <m:sty m:val="p"/>
              </m:rPr>
              <m:t xml:space="preserve">+</m:t>
            </m:r>
          </m:sup>
        </m:sSup>
        <m:sSub>
          <m:e>
            <m:r>
              <m:t xml:space="preserve">c</m:t>
            </m:r>
          </m:e>
          <m:sub>
            <m:r>
              <m:t xml:space="preserve">b</m:t>
            </m:r>
          </m:sub>
        </m:sSub>
      </m:oMath>
      <w:r>
        <w:rPr>
          <w:sz w:val="20"/>
        </w:rPr>
        <w:tab/>
        <w:t>(1)</w:t>
      </w:r>
    </w:p>
    <w:p>
      <w:pPr>
        <w:pStyle w:val="MDPI31text"/>
        <w:keepNext/>
        <w:widowControl/>
      </w:pPr>
      <w:r>
        <w:t xml:space="preserve">With B = 100 resamples, </w:t>
      </w:r>
      <m:oMath>
        <m:sSubSup>
          <m:e>
            <m:r>
              <m:t xml:space="preserve">β</m:t>
            </m:r>
          </m:e>
          <m:sub>
            <m:r>
              <m:t xml:space="preserve">j</m:t>
            </m:r>
          </m:sub>
          <m:sup>
            <m:d>
              <m:dPr>
                <m:begChr m:val="("/>
                <m:endChr m:val=")"/>
              </m:dPr>
              <m:e>
                <m:r>
                  <m:t xml:space="preserve">b</m:t>
                </m:r>
              </m:e>
            </m:d>
          </m:sup>
        </m:sSubSup>
      </m:oMath>
      <w:r>
        <w:t xml:space="preserve"> is the coefficient for variable j in resample b. Its empirical mean </w:t>
      </w:r>
      <m:oMath>
        <m:sSub>
          <m:e>
            <m:r>
              <m:t xml:space="preserve">μ</m:t>
            </m:r>
          </m:e>
          <m:sub>
            <m:r>
              <m:t xml:space="preserve">j</m:t>
            </m:r>
          </m:sub>
        </m:sSub>
      </m:oMath>
      <w:r>
        <w:t xml:space="preserve"> represents the central coefficient contribution, and </w:t>
      </w:r>
      <m:oMath>
        <m:sSub>
          <m:e>
            <m:r>
              <m:t xml:space="preserve">σ</m:t>
            </m:r>
          </m:e>
          <m:sub>
            <m:r>
              <m:t xml:space="preserve">j</m:t>
            </m:r>
          </m:sub>
        </m:sSub>
      </m:oMath>
      <w:r>
        <w:t xml:space="preserve"> represents between-subset dispersion. The sample variance uses denominator B − 1.</w:t>
      </w:r>
    </w:p>
    <w:p>
      <w:pPr>
        <w:pStyle w:val="MDPI31text"/>
        <w:keepLines/>
        <w:widowControl/>
        <w:tabs>
          <w:tab w:pos="6523" w:val="center"/>
          <w:tab w:pos="10454" w:val="right"/>
        </w:tabs>
        <w:spacing w:before="100" w:after="140"/>
        <w:ind w:firstLine="0" w:left="2608"/>
        <w:jc w:val="left"/>
      </w:pPr>
      <w:r>
        <w:tab/>
      </w:r>
      <m:oMath>
        <m:sSub>
          <m:e>
            <m:r>
              <m:t xml:space="preserve">μ</m:t>
            </m:r>
          </m:e>
          <m:sub>
            <m:r>
              <m:t xml:space="preserve">j</m:t>
            </m:r>
          </m:sub>
        </m:sSub>
        <m:r>
          <m:rPr>
            <m:sty m:val="p"/>
          </m:rPr>
          <m:t xml:space="preserve"> = </m:t>
        </m:r>
        <m:f>
          <m:num>
            <m:nary>
              <m:naryPr>
                <m:chr m:val="∑"/>
                <m:limLoc m:val="undOvr"/>
              </m:naryPr>
              <m:sub>
                <m:r>
                  <m:t xml:space="preserve">b</m:t>
                </m:r>
                <m:r>
                  <m:rPr>
                    <m:sty m:val="p"/>
                  </m:rPr>
                  <m:t xml:space="preserve"> = </m:t>
                </m:r>
                <m:r>
                  <m:t xml:space="preserve">1</m:t>
                </m:r>
              </m:sub>
              <m:sup>
                <m:r>
                  <m:t xml:space="preserve">B</m:t>
                </m:r>
              </m:sup>
              <m:e>
                <m:sSubSup>
                  <m:e>
                    <m:r>
                      <m:t xml:space="preserve">β</m:t>
                    </m:r>
                  </m:e>
                  <m:sub>
                    <m:r>
                      <m:t xml:space="preserve">j</m:t>
                    </m:r>
                  </m:sub>
                  <m:sup>
                    <m:d>
                      <m:dPr>
                        <m:begChr m:val="("/>
                        <m:endChr m:val=")"/>
                      </m:dPr>
                      <m:e>
                        <m:r>
                          <m:t xml:space="preserve">b</m:t>
                        </m:r>
                      </m:e>
                    </m:d>
                  </m:sup>
                </m:sSubSup>
              </m:e>
            </m:nary>
          </m:num>
          <m:den>
            <m:r>
              <m:t xml:space="preserve">B</m:t>
            </m:r>
          </m:den>
        </m:f>
        <m:r>
          <m:rPr>
            <m:sty m:val="p"/>
          </m:rPr>
          <m:t xml:space="preserve">,     </m:t>
        </m:r>
        <m:sSup>
          <m:e>
            <m:sSub>
              <m:e>
                <m:r>
                  <m:t xml:space="preserve">σ</m:t>
                </m:r>
              </m:e>
              <m:sub>
                <m:r>
                  <m:t xml:space="preserve">j</m:t>
                </m:r>
              </m:sub>
            </m:sSub>
          </m:e>
          <m:sup>
            <m:r>
              <m:t xml:space="preserve">2</m:t>
            </m:r>
          </m:sup>
        </m:sSup>
        <m:r>
          <m:rPr>
            <m:sty m:val="p"/>
          </m:rPr>
          <m:t xml:space="preserve"> = </m:t>
        </m:r>
        <m:f>
          <m:num>
            <m:nary>
              <m:naryPr>
                <m:chr m:val="∑"/>
                <m:limLoc m:val="undOvr"/>
              </m:naryPr>
              <m:sub>
                <m:r>
                  <m:t xml:space="preserve">b</m:t>
                </m:r>
                <m:r>
                  <m:rPr>
                    <m:sty m:val="p"/>
                  </m:rPr>
                  <m:t xml:space="preserve"> = </m:t>
                </m:r>
                <m:r>
                  <m:t xml:space="preserve">1</m:t>
                </m:r>
              </m:sub>
              <m:sup>
                <m:r>
                  <m:t xml:space="preserve">B</m:t>
                </m:r>
              </m:sup>
              <m:e>
                <m:sSup>
                  <m:e>
                    <m:d>
                      <m:dPr>
                        <m:begChr m:val="("/>
                        <m:endChr m:val=")"/>
                      </m:dPr>
                      <m:e>
                        <m:sSubSup>
                          <m:e>
                            <m:r>
                              <m:t xml:space="preserve">β</m:t>
                            </m:r>
                          </m:e>
                          <m:sub>
                            <m:r>
                              <m:t xml:space="preserve">j</m:t>
                            </m:r>
                          </m:sub>
                          <m:sup>
                            <m:d>
                              <m:dPr>
                                <m:begChr m:val="("/>
                                <m:endChr m:val=")"/>
                              </m:dPr>
                              <m:e>
                                <m:r>
                                  <m:t xml:space="preserve">b</m:t>
                                </m:r>
                              </m:e>
                            </m:d>
                          </m:sup>
                        </m:sSubSup>
                        <m:r>
                          <m:rPr>
                            <m:sty m:val="p"/>
                          </m:rPr>
                          <m:t xml:space="preserve"> − </m:t>
                        </m:r>
                        <m:sSub>
                          <m:e>
                            <m:r>
                              <m:t xml:space="preserve">μ</m:t>
                            </m:r>
                          </m:e>
                          <m:sub>
                            <m:r>
                              <m:t xml:space="preserve">j</m:t>
                            </m:r>
                          </m:sub>
                        </m:sSub>
                      </m:e>
                    </m:d>
                  </m:e>
                  <m:sup>
                    <m:r>
                      <m:t xml:space="preserve">2</m:t>
                    </m:r>
                  </m:sup>
                </m:sSup>
              </m:e>
            </m:nary>
          </m:num>
          <m:den>
            <m:r>
              <m:t xml:space="preserve">B</m:t>
            </m:r>
            <m:r>
              <m:rPr>
                <m:sty m:val="p"/>
              </m:rPr>
              <m:t xml:space="preserve"> − </m:t>
            </m:r>
            <m:r>
              <m:t xml:space="preserve">1</m:t>
            </m:r>
          </m:den>
        </m:f>
      </m:oMath>
      <w:r>
        <w:rPr>
          <w:sz w:val="20"/>
        </w:rPr>
        <w:tab/>
        <w:t>(2)</w:t>
      </w:r>
    </w:p>
    <w:p>
      <w:pPr>
        <w:pStyle w:val="MDPI31text"/>
        <w:keepNext/>
        <w:widowControl/>
      </w:pPr>
      <w:r>
        <w:t xml:space="preserve">Reliability is the absolute mean divided by the sample standard deviation, with a numerical floor ε = </w:t>
      </w:r>
      <w:r>
        <w:t>10</w:t>
      </w:r>
      <w:r>
        <w:rPr>
          <w:vertAlign w:val="superscript"/>
        </w:rPr>
        <w:t>−14</w:t>
      </w:r>
      <w:r>
        <w:t>.</w:t>
      </w:r>
    </w:p>
    <w:p>
      <w:pPr>
        <w:pStyle w:val="MDPI31text"/>
        <w:keepLines/>
        <w:widowControl/>
        <w:tabs>
          <w:tab w:pos="6523" w:val="center"/>
          <w:tab w:pos="10454" w:val="right"/>
        </w:tabs>
        <w:spacing w:before="100" w:after="140"/>
        <w:ind w:firstLine="0" w:left="2608"/>
        <w:jc w:val="left"/>
      </w:pPr>
      <w:r>
        <w:tab/>
      </w:r>
      <m:oMath>
        <m:sSub>
          <m:e>
            <m:r>
              <m:t xml:space="preserve">r</m:t>
            </m:r>
          </m:e>
          <m:sub>
            <m:r>
              <m:t xml:space="preserve">j</m:t>
            </m:r>
          </m:sub>
        </m:sSub>
        <m:r>
          <m:rPr>
            <m:sty m:val="p"/>
          </m:rPr>
          <m:t xml:space="preserve"> = </m:t>
        </m:r>
        <m:f>
          <m:num>
            <m:d>
              <m:dPr>
                <m:begChr m:val="|"/>
                <m:endChr m:val="|"/>
              </m:dPr>
              <m:e>
                <m:sSub>
                  <m:e>
                    <m:r>
                      <m:t xml:space="preserve">μ</m:t>
                    </m:r>
                  </m:e>
                  <m:sub>
                    <m:r>
                      <m:t xml:space="preserve">j</m:t>
                    </m:r>
                  </m:sub>
                </m:sSub>
              </m:e>
            </m:d>
          </m:num>
          <m:den>
            <m:r>
              <m:rPr>
                <m:sty m:val="p"/>
              </m:rPr>
              <m:t xml:space="preserve">max</m:t>
            </m:r>
            <m:d>
              <m:dPr>
                <m:begChr m:val="("/>
                <m:endChr m:val=")"/>
              </m:dPr>
              <m:e>
                <m:sSub>
                  <m:e>
                    <m:r>
                      <m:t xml:space="preserve">σ</m:t>
                    </m:r>
                  </m:e>
                  <m:sub>
                    <m:r>
                      <m:t xml:space="preserve">j</m:t>
                    </m:r>
                  </m:sub>
                </m:sSub>
                <m:r>
                  <m:rPr>
                    <m:sty m:val="p"/>
                  </m:rPr>
                  <m:t xml:space="preserve">, </m:t>
                </m:r>
                <m:r>
                  <m:t xml:space="preserve">ε</m:t>
                </m:r>
              </m:e>
            </m:d>
          </m:den>
        </m:f>
        <m:r>
          <m:rPr>
            <m:sty m:val="p"/>
          </m:rPr>
          <m:t xml:space="preserve">,   </m:t>
        </m:r>
        <m:r>
          <m:t xml:space="preserve">ε</m:t>
        </m:r>
        <m:r>
          <m:rPr>
            <m:sty m:val="p"/>
          </m:rPr>
          <m:t xml:space="preserve"> = </m:t>
        </m:r>
        <m:sSup>
          <m:e>
            <m:r>
              <m:t xml:space="preserve">10</m:t>
            </m:r>
          </m:e>
          <m:sup>
            <m:r>
              <m:t xml:space="preserve">−14</m:t>
            </m:r>
          </m:sup>
        </m:sSup>
      </m:oMath>
      <w:r>
        <w:rPr>
          <w:sz w:val="20"/>
        </w:rPr>
        <w:tab/>
        <w:t>(3)</w:t>
      </w:r>
    </w:p>
    <w:p>
      <w:pPr>
        <w:pStyle w:val="MDPI31text"/>
        <w:keepNext/>
        <w:widowControl/>
      </w:pPr>
      <w:r>
        <w:t xml:space="preserve">This denominator is not a standard error, and </w:t>
      </w:r>
      <m:oMath>
        <m:sSub>
          <m:e>
            <m:r>
              <m:t xml:space="preserve">r</m:t>
            </m:r>
          </m:e>
          <m:sub>
            <m:r>
              <m:t xml:space="preserve">j</m:t>
            </m:r>
          </m:sub>
        </m:sSub>
      </m:oMath>
      <w:r>
        <w:t xml:space="preserve"> is not interpreted as a t statistic. Directional consistency is assessed separately. Let </w:t>
      </w:r>
      <m:oMath>
        <m:sSubSup>
          <m:e>
            <m:r>
              <m:t xml:space="preserve">p</m:t>
            </m:r>
          </m:e>
          <m:sub>
            <m:r>
              <m:t xml:space="preserve">j</m:t>
            </m:r>
          </m:sub>
          <m:sup>
            <m:r>
              <m:rPr>
                <m:sty m:val="p"/>
              </m:rPr>
              <m:t xml:space="preserve">+</m:t>
            </m:r>
          </m:sup>
        </m:sSubSup>
      </m:oMath>
      <w:r>
        <w:t xml:space="preserve"> and </w:t>
      </w:r>
      <m:oMath>
        <m:sSubSup>
          <m:e>
            <m:r>
              <m:t xml:space="preserve">p</m:t>
            </m:r>
          </m:e>
          <m:sub>
            <m:r>
              <m:t xml:space="preserve">j</m:t>
            </m:r>
          </m:sub>
          <m:sup>
            <m:r>
              <m:rPr>
                <m:sty m:val="p"/>
              </m:rPr>
              <m:t xml:space="preserve">−</m:t>
            </m:r>
          </m:sup>
        </m:sSubSup>
      </m:oMath>
      <w:r>
        <w:t xml:space="preserve"> denote the observed proportions of positive and negative coefficients; an exactly zero coefficient has sign zero.</w:t>
      </w:r>
    </w:p>
    <w:p>
      <w:pPr>
        <w:pStyle w:val="MDPI31text"/>
        <w:keepLines/>
        <w:widowControl/>
        <w:tabs>
          <w:tab w:pos="6523" w:val="center"/>
          <w:tab w:pos="10454" w:val="right"/>
        </w:tabs>
        <w:spacing w:before="100" w:after="140"/>
        <w:ind w:firstLine="0" w:left="2608"/>
        <w:jc w:val="left"/>
      </w:pPr>
      <w:r>
        <w:tab/>
      </w:r>
      <m:oMath>
        <m:sSub>
          <m:e>
            <m:r>
              <m:t xml:space="preserve">s</m:t>
            </m:r>
          </m:e>
          <m:sub>
            <m:r>
              <m:t xml:space="preserve">j</m:t>
            </m:r>
          </m:sub>
        </m:sSub>
        <m:r>
          <m:rPr>
            <m:sty m:val="p"/>
          </m:rPr>
          <m:t xml:space="preserve"> = </m:t>
        </m:r>
        <m:d>
          <m:dPr>
            <m:begChr m:val="|"/>
            <m:endChr m:val="|"/>
          </m:dPr>
          <m:e>
            <m:f>
              <m:num>
                <m:nary>
                  <m:naryPr>
                    <m:chr m:val="∑"/>
                    <m:limLoc m:val="undOvr"/>
                  </m:naryPr>
                  <m:sub>
                    <m:r>
                      <m:t xml:space="preserve">b</m:t>
                    </m:r>
                    <m:r>
                      <m:rPr>
                        <m:sty m:val="p"/>
                      </m:rPr>
                      <m:t xml:space="preserve"> = </m:t>
                    </m:r>
                    <m:r>
                      <m:t xml:space="preserve">1</m:t>
                    </m:r>
                  </m:sub>
                  <m:sup>
                    <m:r>
                      <m:t xml:space="preserve">B</m:t>
                    </m:r>
                  </m:sup>
                  <m:e>
                    <m:r>
                      <m:rPr>
                        <m:sty m:val="p"/>
                      </m:rPr>
                      <m:t xml:space="preserve">sign</m:t>
                    </m:r>
                    <m:d>
                      <m:dPr>
                        <m:begChr m:val="("/>
                        <m:endChr m:val=")"/>
                      </m:dPr>
                      <m:e>
                        <m:sSubSup>
                          <m:e>
                            <m:r>
                              <m:t xml:space="preserve">β</m:t>
                            </m:r>
                          </m:e>
                          <m:sub>
                            <m:r>
                              <m:t xml:space="preserve">j</m:t>
                            </m:r>
                          </m:sub>
                          <m:sup>
                            <m:d>
                              <m:dPr>
                                <m:begChr m:val="("/>
                                <m:endChr m:val=")"/>
                              </m:dPr>
                              <m:e>
                                <m:r>
                                  <m:t xml:space="preserve">b</m:t>
                                </m:r>
                              </m:e>
                            </m:d>
                          </m:sup>
                        </m:sSubSup>
                      </m:e>
                    </m:d>
                  </m:e>
                </m:nary>
              </m:num>
              <m:den>
                <m:r>
                  <m:t xml:space="preserve">B</m:t>
                </m:r>
              </m:den>
            </m:f>
          </m:e>
        </m:d>
        <m:r>
          <m:rPr>
            <m:sty m:val="p"/>
          </m:rPr>
          <m:t xml:space="preserve"> = </m:t>
        </m:r>
        <m:d>
          <m:dPr>
            <m:begChr m:val="|"/>
            <m:endChr m:val="|"/>
          </m:dPr>
          <m:e>
            <m:sSubSup>
              <m:e>
                <m:r>
                  <m:t xml:space="preserve">p</m:t>
                </m:r>
              </m:e>
              <m:sub>
                <m:r>
                  <m:t xml:space="preserve">j</m:t>
                </m:r>
              </m:sub>
              <m:sup>
                <m:r>
                  <m:rPr>
                    <m:sty m:val="p"/>
                  </m:rPr>
                  <m:t xml:space="preserve">+</m:t>
                </m:r>
              </m:sup>
            </m:sSubSup>
            <m:r>
              <m:rPr>
                <m:sty m:val="p"/>
              </m:rPr>
              <m:t xml:space="preserve"> − </m:t>
            </m:r>
            <m:sSubSup>
              <m:e>
                <m:r>
                  <m:t xml:space="preserve">p</m:t>
                </m:r>
              </m:e>
              <m:sub>
                <m:r>
                  <m:t xml:space="preserve">j</m:t>
                </m:r>
              </m:sub>
              <m:sup>
                <m:r>
                  <m:rPr>
                    <m:sty m:val="p"/>
                  </m:rPr>
                  <m:t xml:space="preserve">−</m:t>
                </m:r>
              </m:sup>
            </m:sSubSup>
          </m:e>
        </m:d>
      </m:oMath>
      <w:r>
        <w:rPr>
          <w:sz w:val="20"/>
        </w:rPr>
        <w:tab/>
        <w:t>(4)</w:t>
      </w:r>
    </w:p>
    <w:p>
      <w:pPr>
        <w:pStyle w:val="MDPI31text"/>
        <w:keepNext/>
        <w:widowControl/>
      </w:pPr>
      <w:r>
        <w:t xml:space="preserve">The score </w:t>
      </w:r>
      <m:oMath>
        <m:sSub>
          <m:e>
            <m:r>
              <m:t xml:space="preserve">s</m:t>
            </m:r>
          </m:e>
          <m:sub>
            <m:r>
              <m:t xml:space="preserve">j</m:t>
            </m:r>
          </m:sub>
        </m:sSub>
      </m:oMath>
      <w:r>
        <w:t xml:space="preserve"> is between zero and one. It equals |2</w:t>
      </w:r>
      <m:oMath>
        <m:sSubSup>
          <m:e>
            <m:r>
              <m:t xml:space="preserve">p</m:t>
            </m:r>
          </m:e>
          <m:sub>
            <m:r>
              <m:t xml:space="preserve">j</m:t>
            </m:r>
          </m:sub>
          <m:sup>
            <m:r>
              <m:rPr>
                <m:sty m:val="p"/>
              </m:rPr>
              <m:t xml:space="preserve">+</m:t>
            </m:r>
          </m:sup>
        </m:sSubSup>
      </m:oMath>
      <w:r>
        <w:t xml:space="preserve"> − 1| only when no coefficient is zero. Since reliability and sign agreement arise from the same coefficient samples, their product is not treated as independent evidence. Initial importance combines them through a concave transformation:</w:t>
      </w:r>
    </w:p>
    <w:p>
      <w:pPr>
        <w:pStyle w:val="MDPI31text"/>
        <w:keepLines/>
        <w:widowControl/>
        <w:tabs>
          <w:tab w:pos="6523" w:val="center"/>
          <w:tab w:pos="10454" w:val="right"/>
        </w:tabs>
        <w:spacing w:before="100" w:after="140"/>
        <w:ind w:firstLine="0" w:left="2608"/>
        <w:jc w:val="left"/>
      </w:pPr>
      <w:r>
        <w:tab/>
      </w:r>
      <m:oMath>
        <m:sSub>
          <m:e>
            <m:r>
              <m:t xml:space="preserve">q</m:t>
            </m:r>
          </m:e>
          <m:sub>
            <m:r>
              <m:t xml:space="preserve">j</m:t>
            </m:r>
          </m:sub>
        </m:sSub>
        <m:r>
          <m:rPr>
            <m:sty m:val="p"/>
          </m:rPr>
          <m:t xml:space="preserve"> = </m:t>
        </m:r>
        <m:r>
          <m:rPr>
            <m:sty m:val="p"/>
          </m:rPr>
          <m:t xml:space="preserve">log</m:t>
        </m:r>
        <m:d>
          <m:dPr>
            <m:begChr m:val="("/>
            <m:endChr m:val=")"/>
          </m:dPr>
          <m:e>
            <m:r>
              <m:t xml:space="preserve">1</m:t>
            </m:r>
            <m:r>
              <m:rPr>
                <m:sty m:val="p"/>
              </m:rPr>
              <m:t xml:space="preserve"> + </m:t>
            </m:r>
            <m:sSub>
              <m:e>
                <m:r>
                  <m:t xml:space="preserve">r</m:t>
                </m:r>
              </m:e>
              <m:sub>
                <m:r>
                  <m:t xml:space="preserve">j</m:t>
                </m:r>
              </m:sub>
            </m:sSub>
          </m:e>
        </m:d>
        <m:sSub>
          <m:e>
            <m:r>
              <m:t xml:space="preserve">s</m:t>
            </m:r>
          </m:e>
          <m:sub>
            <m:r>
              <m:t xml:space="preserve">j</m:t>
            </m:r>
          </m:sub>
        </m:sSub>
        <m:r>
          <m:rPr>
            <m:sty m:val="p"/>
          </m:rPr>
          <m:t xml:space="preserve">,   0 ≤ </m:t>
        </m:r>
        <m:sSub>
          <m:e>
            <m:r>
              <m:t xml:space="preserve">q</m:t>
            </m:r>
          </m:e>
          <m:sub>
            <m:r>
              <m:t xml:space="preserve">j</m:t>
            </m:r>
          </m:sub>
        </m:sSub>
        <m:r>
          <m:rPr>
            <m:sty m:val="p"/>
          </m:rPr>
          <m:t xml:space="preserve"> ≤ log</m:t>
        </m:r>
        <m:d>
          <m:dPr>
            <m:begChr m:val="("/>
            <m:endChr m:val=")"/>
          </m:dPr>
          <m:e>
            <m:r>
              <m:t xml:space="preserve">1</m:t>
            </m:r>
            <m:r>
              <m:rPr>
                <m:sty m:val="p"/>
              </m:rPr>
              <m:t xml:space="preserve"> + </m:t>
            </m:r>
            <m:sSub>
              <m:e>
                <m:r>
                  <m:t xml:space="preserve">r</m:t>
                </m:r>
              </m:e>
              <m:sub>
                <m:r>
                  <m:t xml:space="preserve">j</m:t>
                </m:r>
              </m:sub>
            </m:sSub>
          </m:e>
        </m:d>
      </m:oMath>
      <w:r>
        <w:rPr>
          <w:sz w:val="20"/>
        </w:rPr>
        <w:tab/>
        <w:t>(5)</w:t>
      </w:r>
    </w:p>
    <w:p>
      <w:pPr>
        <w:pStyle w:val="MDPI31text"/>
        <w:widowControl/>
      </w:pPr>
      <w:r>
        <w:t>The natural logarithm limits the marginal influence of very large reliability ratios. Importance decreases when coefficients have a small mean relative to dispersion or frequently change sign. It does not directly measure chemical specificity or expected prediction improvement.</w:t>
      </w:r>
    </w:p>
    <w:p>
      <w:pPr>
        <w:pStyle w:val="MDPI31text"/>
        <w:keepNext/>
        <w:widowControl/>
      </w:pPr>
      <w:r>
        <w:t>Neighboring variables are incorporated by fitting a local constant to five adjacent importance values. Let ρ(j + ℓ) reflect indices outside the spectrum into the valid grid. Setting the derivative of the local squared-error objective to zero gives five times the fitted constant equal to the sum of the scores:</w:t>
      </w:r>
    </w:p>
    <w:p>
      <w:pPr>
        <w:pStyle w:val="MDPI31text"/>
        <w:keepLines/>
        <w:widowControl/>
        <w:tabs>
          <w:tab w:pos="6523" w:val="center"/>
          <w:tab w:pos="10454" w:val="right"/>
        </w:tabs>
        <w:spacing w:before="100" w:after="140"/>
        <w:ind w:firstLine="0" w:left="2608"/>
        <w:jc w:val="left"/>
      </w:pPr>
      <w:r>
        <w:tab/>
      </w:r>
      <m:oMath>
        <m:acc>
          <m:accPr>
            <m:chr m:val="̅"/>
          </m:accPr>
          <m:e>
            <m:sSub>
              <m:e>
                <m:r>
                  <m:t xml:space="preserve">q</m:t>
                </m:r>
              </m:e>
              <m:sub>
                <m:r>
                  <m:t xml:space="preserve">j</m:t>
                </m:r>
              </m:sub>
            </m:sSub>
          </m:e>
        </m:acc>
        <m:r>
          <m:rPr>
            <m:sty m:val="p"/>
          </m:rPr>
          <m:t xml:space="preserve"> = </m:t>
        </m:r>
        <m:limLow>
          <m:e>
            <m:r>
              <m:rPr>
                <m:sty m:val="p"/>
              </m:rPr>
              <m:t xml:space="preserve">arg min</m:t>
            </m:r>
          </m:e>
          <m:lim>
            <m:r>
              <m:t xml:space="preserve">a</m:t>
            </m:r>
          </m:lim>
        </m:limLow>
        <m:nary>
          <m:naryPr>
            <m:chr m:val="∑"/>
            <m:limLoc m:val="undOvr"/>
          </m:naryPr>
          <m:sub>
            <m:r>
              <m:t xml:space="preserve">ℓ</m:t>
            </m:r>
            <m:r>
              <m:rPr>
                <m:sty m:val="p"/>
              </m:rPr>
              <m:t xml:space="preserve"> = </m:t>
            </m:r>
            <m:r>
              <m:t xml:space="preserve">−2</m:t>
            </m:r>
          </m:sub>
          <m:sup>
            <m:r>
              <m:t xml:space="preserve">2</m:t>
            </m:r>
          </m:sup>
          <m:e>
            <m:sSup>
              <m:e>
                <m:d>
                  <m:dPr>
                    <m:begChr m:val="("/>
                    <m:endChr m:val=")"/>
                  </m:dPr>
                  <m:e>
                    <m:sSub>
                      <m:e>
                        <m:r>
                          <m:t xml:space="preserve">q</m:t>
                        </m:r>
                      </m:e>
                      <m:sub>
                        <m:r>
                          <m:t xml:space="preserve">ρ</m:t>
                        </m:r>
                        <m:d>
                          <m:dPr>
                            <m:begChr m:val="("/>
                            <m:endChr m:val=")"/>
                          </m:dPr>
                          <m:e>
                            <m:r>
                              <m:t xml:space="preserve">j</m:t>
                            </m:r>
                            <m:r>
                              <m:rPr>
                                <m:sty m:val="p"/>
                              </m:rPr>
                              <m:t xml:space="preserve"> + </m:t>
                            </m:r>
                            <m:r>
                              <m:t xml:space="preserve">ℓ</m:t>
                            </m:r>
                          </m:e>
                        </m:d>
                      </m:sub>
                    </m:sSub>
                    <m:r>
                      <m:rPr>
                        <m:sty m:val="p"/>
                      </m:rPr>
                      <m:t xml:space="preserve"> − </m:t>
                    </m:r>
                    <m:r>
                      <m:t xml:space="preserve">a</m:t>
                    </m:r>
                  </m:e>
                </m:d>
              </m:e>
              <m:sup>
                <m:r>
                  <m:t xml:space="preserve">2</m:t>
                </m:r>
              </m:sup>
            </m:sSup>
          </m:e>
        </m:nary>
        <m:r>
          <m:rPr>
            <m:sty m:val="p"/>
          </m:rPr>
          <m:t xml:space="preserve"> = </m:t>
        </m:r>
        <m:f>
          <m:num>
            <m:nary>
              <m:naryPr>
                <m:chr m:val="∑"/>
                <m:limLoc m:val="undOvr"/>
              </m:naryPr>
              <m:sub>
                <m:r>
                  <m:t xml:space="preserve">ℓ</m:t>
                </m:r>
                <m:r>
                  <m:rPr>
                    <m:sty m:val="p"/>
                  </m:rPr>
                  <m:t xml:space="preserve"> = </m:t>
                </m:r>
                <m:r>
                  <m:t xml:space="preserve">−2</m:t>
                </m:r>
              </m:sub>
              <m:sup>
                <m:r>
                  <m:t xml:space="preserve">2</m:t>
                </m:r>
              </m:sup>
              <m:e>
                <m:sSub>
                  <m:e>
                    <m:r>
                      <m:t xml:space="preserve">q</m:t>
                    </m:r>
                  </m:e>
                  <m:sub>
                    <m:r>
                      <m:t xml:space="preserve">ρ</m:t>
                    </m:r>
                    <m:d>
                      <m:dPr>
                        <m:begChr m:val="("/>
                        <m:endChr m:val=")"/>
                      </m:dPr>
                      <m:e>
                        <m:r>
                          <m:t xml:space="preserve">j</m:t>
                        </m:r>
                        <m:r>
                          <m:rPr>
                            <m:sty m:val="p"/>
                          </m:rPr>
                          <m:t xml:space="preserve"> + </m:t>
                        </m:r>
                        <m:r>
                          <m:t xml:space="preserve">ℓ</m:t>
                        </m:r>
                      </m:e>
                    </m:d>
                  </m:sub>
                </m:sSub>
              </m:e>
            </m:nary>
          </m:num>
          <m:den>
            <m:r>
              <m:t xml:space="preserve">5</m:t>
            </m:r>
          </m:den>
        </m:f>
      </m:oMath>
      <w:r>
        <w:rPr>
          <w:sz w:val="20"/>
        </w:rPr>
        <w:tab/>
        <w:t>(6)</w:t>
      </w:r>
    </w:p>
    <w:p>
      <w:pPr>
        <w:pStyle w:val="MDPI31text"/>
        <w:widowControl/>
      </w:pPr>
      <w:r>
        <w:t xml:space="preserve">The solution is the five-point arithmetic mean. Reflected boundary extension does not repeat the edge value; the first point is </w:t>
      </w:r>
      <m:oMath>
        <m:acc>
          <m:accPr>
            <m:chr m:val="̅"/>
          </m:accPr>
          <m:e>
            <m:sSub>
              <m:e>
                <m:r>
                  <m:t xml:space="preserve">q</m:t>
                </m:r>
              </m:e>
              <m:sub>
                <m:r>
                  <m:t xml:space="preserve">1</m:t>
                </m:r>
              </m:sub>
            </m:sSub>
          </m:e>
        </m:acc>
      </m:oMath>
      <w:r>
        <w:t xml:space="preserve"> = (</w:t>
      </w:r>
      <m:oMath>
        <m:sSub>
          <m:e>
            <m:r>
              <m:t xml:space="preserve">q</m:t>
            </m:r>
          </m:e>
          <m:sub>
            <m:r>
              <m:t xml:space="preserve">1</m:t>
            </m:r>
          </m:sub>
        </m:sSub>
      </m:oMath>
      <w:r>
        <w:t xml:space="preserve"> + 2</w:t>
      </w:r>
      <m:oMath>
        <m:sSub>
          <m:e>
            <m:r>
              <m:t xml:space="preserve">q</m:t>
            </m:r>
          </m:e>
          <m:sub>
            <m:r>
              <m:t xml:space="preserve">2</m:t>
            </m:r>
          </m:sub>
        </m:sSub>
      </m:oMath>
      <w:r>
        <w:t xml:space="preserve"> + 2</w:t>
      </w:r>
      <m:oMath>
        <m:sSub>
          <m:e>
            <m:r>
              <m:t xml:space="preserve">q</m:t>
            </m:r>
          </m:e>
          <m:sub>
            <m:r>
              <m:t xml:space="preserve">3</m:t>
            </m:r>
          </m:sub>
        </m:sSub>
      </m:oMath>
      <w:r>
        <w:t>)/5. This is a local constant least-squares solution, not a global spectral regularization model. For interpolated preprocessing, adjacency refers to the uniform 141-position working grid.</w:t>
      </w:r>
    </w:p>
    <w:p>
      <w:pPr>
        <w:pStyle w:val="MDPI31text"/>
        <w:keepNext/>
        <w:widowControl/>
      </w:pPr>
      <w:r>
        <w:t xml:space="preserve">Redundancy is calculated from centered training columns normalized by their Euclidean norms, with a </w:t>
      </w:r>
      <w:r>
        <w:t>10</w:t>
      </w:r>
      <w:r>
        <w:rPr>
          <w:vertAlign w:val="superscript"/>
        </w:rPr>
        <w:t>−12</w:t>
      </w:r>
      <w:r>
        <w:t xml:space="preserve"> numerical floor. For nonconstant columns whose norms exceed the floor, their inner product is the sample correlation:</w:t>
      </w:r>
    </w:p>
    <w:p>
      <w:pPr>
        <w:pStyle w:val="MDPI31text"/>
        <w:keepLines/>
        <w:widowControl/>
        <w:tabs>
          <w:tab w:pos="6523" w:val="center"/>
          <w:tab w:pos="10454" w:val="right"/>
        </w:tabs>
        <w:spacing w:before="100" w:after="140"/>
        <w:ind w:firstLine="0" w:left="2608"/>
        <w:jc w:val="left"/>
      </w:pPr>
      <w:r>
        <w:tab/>
      </w:r>
      <m:oMath>
        <m:sSub>
          <m:e>
            <m:r>
              <m:t xml:space="preserve">z</m:t>
            </m:r>
          </m:e>
          <m:sub>
            <m:r>
              <m:t xml:space="preserve">j</m:t>
            </m:r>
          </m:sub>
        </m:sSub>
        <m:r>
          <m:rPr>
            <m:sty m:val="p"/>
          </m:rPr>
          <m:t xml:space="preserve"> = </m:t>
        </m:r>
        <m:f>
          <m:num>
            <m:sSub>
              <m:e>
                <m:r>
                  <m:t xml:space="preserve">x</m:t>
                </m:r>
              </m:e>
              <m:sub>
                <m:r>
                  <m:t xml:space="preserve">j</m:t>
                </m:r>
              </m:sub>
            </m:sSub>
            <m:r>
              <m:rPr>
                <m:sty m:val="p"/>
              </m:rPr>
              <m:t xml:space="preserve"> − </m:t>
            </m:r>
            <m:acc>
              <m:accPr>
                <m:chr m:val="̅"/>
              </m:accPr>
              <m:e>
                <m:sSub>
                  <m:e>
                    <m:r>
                      <m:t xml:space="preserve">x</m:t>
                    </m:r>
                  </m:e>
                  <m:sub>
                    <m:r>
                      <m:t xml:space="preserve">j</m:t>
                    </m:r>
                  </m:sub>
                </m:sSub>
              </m:e>
            </m:acc>
            <m:r>
              <m:t xml:space="preserve">1</m:t>
            </m:r>
          </m:num>
          <m:den>
            <m:r>
              <m:rPr>
                <m:sty m:val="p"/>
              </m:rPr>
              <m:t xml:space="preserve">max</m:t>
            </m:r>
            <m:d>
              <m:dPr>
                <m:begChr m:val="("/>
                <m:endChr m:val=")"/>
              </m:dPr>
              <m:e>
                <m:d>
                  <m:dPr>
                    <m:begChr m:val="‖"/>
                    <m:endChr m:val="‖"/>
                  </m:dPr>
                  <m:e>
                    <m:sSub>
                      <m:e>
                        <m:r>
                          <m:t xml:space="preserve">x</m:t>
                        </m:r>
                      </m:e>
                      <m:sub>
                        <m:r>
                          <m:t xml:space="preserve">j</m:t>
                        </m:r>
                      </m:sub>
                    </m:sSub>
                    <m:r>
                      <m:rPr>
                        <m:sty m:val="p"/>
                      </m:rPr>
                      <m:t xml:space="preserve"> − </m:t>
                    </m:r>
                    <m:acc>
                      <m:accPr>
                        <m:chr m:val="̅"/>
                      </m:accPr>
                      <m:e>
                        <m:sSub>
                          <m:e>
                            <m:r>
                              <m:t xml:space="preserve">x</m:t>
                            </m:r>
                          </m:e>
                          <m:sub>
                            <m:r>
                              <m:t xml:space="preserve">j</m:t>
                            </m:r>
                          </m:sub>
                        </m:sSub>
                      </m:e>
                    </m:acc>
                    <m:r>
                      <m:t xml:space="preserve">1</m:t>
                    </m:r>
                  </m:e>
                </m:d>
                <m:r>
                  <m:rPr>
                    <m:sty m:val="p"/>
                  </m:rPr>
                  <m:t xml:space="preserve">, </m:t>
                </m:r>
                <m:sSup>
                  <m:e>
                    <m:r>
                      <m:t xml:space="preserve">10</m:t>
                    </m:r>
                  </m:e>
                  <m:sup>
                    <m:r>
                      <m:t xml:space="preserve">−12</m:t>
                    </m:r>
                  </m:sup>
                </m:sSup>
              </m:e>
            </m:d>
          </m:den>
        </m:f>
        <m:r>
          <m:rPr>
            <m:sty m:val="p"/>
          </m:rPr>
          <m:t xml:space="preserve">,   </m:t>
        </m:r>
        <m:sSub>
          <m:e>
            <m:r>
              <m:t xml:space="preserve">c</m:t>
            </m:r>
          </m:e>
          <m:sub>
            <m:r>
              <m:t xml:space="preserve">jk</m:t>
            </m:r>
          </m:sub>
        </m:sSub>
        <m:r>
          <m:rPr>
            <m:sty m:val="p"/>
          </m:rPr>
          <m:t xml:space="preserve"> = </m:t>
        </m:r>
        <m:sSup>
          <m:e>
            <m:sSub>
              <m:e>
                <m:r>
                  <m:t xml:space="preserve">z</m:t>
                </m:r>
              </m:e>
              <m:sub>
                <m:r>
                  <m:t xml:space="preserve">j</m:t>
                </m:r>
              </m:sub>
            </m:sSub>
          </m:e>
          <m:sup>
            <m:r>
              <m:t xml:space="preserve">T</m:t>
            </m:r>
          </m:sup>
        </m:sSup>
        <m:sSub>
          <m:e>
            <m:r>
              <m:t xml:space="preserve">z</m:t>
            </m:r>
          </m:e>
          <m:sub>
            <m:r>
              <m:t xml:space="preserve">k</m:t>
            </m:r>
          </m:sub>
        </m:sSub>
      </m:oMath>
      <w:r>
        <w:rPr>
          <w:sz w:val="20"/>
        </w:rPr>
        <w:tab/>
        <w:t>(7)</w:t>
      </w:r>
    </w:p>
    <w:p>
      <w:pPr>
        <w:pStyle w:val="MDPI31text"/>
        <w:keepNext/>
        <w:widowControl/>
      </w:pPr>
      <w:r>
        <w:t xml:space="preserve">For unit-norm columns </w:t>
      </w:r>
      <m:oMath>
        <m:sSub>
          <m:e>
            <m:r>
              <m:t xml:space="preserve">z</m:t>
            </m:r>
          </m:e>
          <m:sub>
            <m:r>
              <m:t xml:space="preserve">j</m:t>
            </m:r>
          </m:sub>
        </m:sSub>
      </m:oMath>
      <w:r>
        <w:t xml:space="preserve"> and </w:t>
      </w:r>
      <m:oMath>
        <m:sSub>
          <m:e>
            <m:r>
              <m:t xml:space="preserve">z</m:t>
            </m:r>
          </m:e>
          <m:sub>
            <m:r>
              <m:t xml:space="preserve">k</m:t>
            </m:r>
          </m:sub>
        </m:sSub>
      </m:oMath>
      <w:r>
        <w:t>, projection onto one variable gives the following squared residual:</w:t>
      </w:r>
    </w:p>
    <w:p>
      <w:pPr>
        <w:pStyle w:val="MDPI31text"/>
        <w:keepLines/>
        <w:widowControl/>
        <w:tabs>
          <w:tab w:pos="6523" w:val="center"/>
          <w:tab w:pos="10454" w:val="right"/>
        </w:tabs>
        <w:spacing w:before="100" w:after="140"/>
        <w:ind w:firstLine="0" w:left="2608"/>
        <w:jc w:val="left"/>
      </w:pPr>
      <w:r>
        <w:tab/>
      </w:r>
      <m:oMath>
        <m:sSup>
          <m:e>
            <m:d>
              <m:dPr>
                <m:begChr m:val="‖"/>
                <m:endChr m:val="‖"/>
              </m:dPr>
              <m:e>
                <m:d>
                  <m:dPr>
                    <m:begChr m:val="("/>
                    <m:endChr m:val=")"/>
                  </m:dPr>
                  <m:e>
                    <m:r>
                      <m:t xml:space="preserve">I</m:t>
                    </m:r>
                    <m:r>
                      <m:rPr>
                        <m:sty m:val="p"/>
                      </m:rPr>
                      <m:t xml:space="preserve"> − </m:t>
                    </m:r>
                    <m:sSub>
                      <m:e>
                        <m:r>
                          <m:t xml:space="preserve">z</m:t>
                        </m:r>
                      </m:e>
                      <m:sub>
                        <m:r>
                          <m:t xml:space="preserve">k</m:t>
                        </m:r>
                      </m:sub>
                    </m:sSub>
                    <m:sSup>
                      <m:e>
                        <m:sSub>
                          <m:e>
                            <m:r>
                              <m:t xml:space="preserve">z</m:t>
                            </m:r>
                          </m:e>
                          <m:sub>
                            <m:r>
                              <m:t xml:space="preserve">k</m:t>
                            </m:r>
                          </m:sub>
                        </m:sSub>
                      </m:e>
                      <m:sup>
                        <m:r>
                          <m:t xml:space="preserve">T</m:t>
                        </m:r>
                      </m:sup>
                    </m:sSup>
                  </m:e>
                </m:d>
                <m:sSub>
                  <m:e>
                    <m:r>
                      <m:t xml:space="preserve">z</m:t>
                    </m:r>
                  </m:e>
                  <m:sub>
                    <m:r>
                      <m:t xml:space="preserve">j</m:t>
                    </m:r>
                  </m:sub>
                </m:sSub>
              </m:e>
            </m:d>
          </m:e>
          <m:sup>
            <m:r>
              <m:t xml:space="preserve">2</m:t>
            </m:r>
          </m:sup>
        </m:sSup>
        <m:r>
          <m:rPr>
            <m:sty m:val="p"/>
          </m:rPr>
          <m:t xml:space="preserve"> = </m:t>
        </m:r>
        <m:r>
          <m:t xml:space="preserve">1</m:t>
        </m:r>
        <m:r>
          <m:rPr>
            <m:sty m:val="p"/>
          </m:rPr>
          <m:t xml:space="preserve"> − </m:t>
        </m:r>
        <m:sSup>
          <m:e>
            <m:sSub>
              <m:e>
                <m:r>
                  <m:t xml:space="preserve">c</m:t>
                </m:r>
              </m:e>
              <m:sub>
                <m:r>
                  <m:t xml:space="preserve">jk</m:t>
                </m:r>
              </m:sub>
            </m:sSub>
          </m:e>
          <m:sup>
            <m:r>
              <m:t xml:space="preserve">2</m:t>
            </m:r>
          </m:sup>
        </m:sSup>
      </m:oMath>
      <w:r>
        <w:rPr>
          <w:sz w:val="20"/>
        </w:rPr>
        <w:tab/>
        <w:t>(8)</w:t>
      </w:r>
    </w:p>
    <w:p>
      <w:pPr>
        <w:pStyle w:val="MDPI31text"/>
        <w:keepNext/>
        <w:widowControl/>
      </w:pPr>
      <w:r>
        <w:t xml:space="preserve">Thus </w:t>
      </w:r>
      <m:oMath>
        <m:sSub>
          <m:e>
            <m:r>
              <m:t xml:space="preserve">c</m:t>
            </m:r>
          </m:e>
          <m:sub>
            <m:r>
              <m:t xml:space="preserve">jk</m:t>
            </m:r>
          </m:sub>
        </m:sSub>
      </m:oMath>
      <w:r>
        <w:t>² is the fraction of normalized variation explained by that single variable. It does not equal the joint explained variation of the entire selected set. BSRS uses the maximum absolute correlation with selected variables as a bounded redundancy proxy:</w:t>
      </w:r>
    </w:p>
    <w:p>
      <w:pPr>
        <w:pStyle w:val="MDPI31text"/>
        <w:keepLines/>
        <w:widowControl/>
        <w:tabs>
          <w:tab w:pos="6523" w:val="center"/>
          <w:tab w:pos="10454" w:val="right"/>
        </w:tabs>
        <w:spacing w:before="100" w:after="140"/>
        <w:ind w:firstLine="0" w:left="2608"/>
        <w:jc w:val="left"/>
      </w:pPr>
      <w:r>
        <w:tab/>
      </w:r>
      <m:oMath>
        <m:sSub>
          <m:e>
            <m:r>
              <m:t xml:space="preserve">d</m:t>
            </m:r>
          </m:e>
          <m:sub>
            <m:r>
              <m:t xml:space="preserve">j</m:t>
            </m:r>
          </m:sub>
        </m:sSub>
        <m:d>
          <m:dPr>
            <m:begChr m:val="("/>
            <m:endChr m:val=")"/>
          </m:dPr>
          <m:e>
            <m:r>
              <m:t xml:space="preserve">S</m:t>
            </m:r>
          </m:e>
        </m:d>
        <m:r>
          <m:rPr>
            <m:sty m:val="p"/>
          </m:rPr>
          <m:t xml:space="preserve"> = </m:t>
        </m:r>
        <m:limLow>
          <m:e>
            <m:r>
              <m:rPr>
                <m:sty m:val="p"/>
              </m:rPr>
              <m:t xml:space="preserve">max</m:t>
            </m:r>
          </m:e>
          <m:lim>
            <m:r>
              <m:t xml:space="preserve">k</m:t>
            </m:r>
            <m:r>
              <m:rPr>
                <m:sty m:val="p"/>
              </m:rPr>
              <m:t xml:space="preserve"> ∈ </m:t>
            </m:r>
            <m:r>
              <m:t xml:space="preserve">S</m:t>
            </m:r>
          </m:lim>
        </m:limLow>
        <m:d>
          <m:dPr>
            <m:begChr m:val="|"/>
            <m:endChr m:val="|"/>
          </m:dPr>
          <m:e>
            <m:sSub>
              <m:e>
                <m:r>
                  <m:t xml:space="preserve">c</m:t>
                </m:r>
              </m:e>
              <m:sub>
                <m:r>
                  <m:t xml:space="preserve">jk</m:t>
                </m:r>
              </m:sub>
            </m:sSub>
          </m:e>
        </m:d>
        <m:r>
          <m:rPr>
            <m:sty m:val="p"/>
          </m:rPr>
          <m:t xml:space="preserve">,   </m:t>
        </m:r>
        <m:sSub>
          <m:e>
            <m:r>
              <m:t xml:space="preserve">d</m:t>
            </m:r>
          </m:e>
          <m:sub>
            <m:r>
              <m:t xml:space="preserve">j</m:t>
            </m:r>
          </m:sub>
        </m:sSub>
        <m:d>
          <m:dPr>
            <m:begChr m:val="("/>
            <m:endChr m:val=")"/>
          </m:dPr>
          <m:e>
            <m:r>
              <m:rPr>
                <m:sty m:val="p"/>
              </m:rPr>
              <m:t xml:space="preserve">∅</m:t>
            </m:r>
          </m:e>
        </m:d>
        <m:r>
          <m:rPr>
            <m:sty m:val="p"/>
          </m:rPr>
          <m:t xml:space="preserve"> = </m:t>
        </m:r>
        <m:r>
          <m:t xml:space="preserve">0</m:t>
        </m:r>
      </m:oMath>
      <w:r>
        <w:rPr>
          <w:sz w:val="20"/>
        </w:rPr>
        <w:tab/>
        <w:t>(9)</w:t>
      </w:r>
    </w:p>
    <w:p>
      <w:pPr>
        <w:pStyle w:val="MDPI31text"/>
        <w:keepNext/>
        <w:widowControl/>
      </w:pPr>
      <w:r>
        <w:t>The locally averaged importance is divided by a correlation-inflated cost, with λ fixed at 2:</w:t>
      </w:r>
    </w:p>
    <w:p>
      <w:pPr>
        <w:pStyle w:val="MDPI31text"/>
        <w:keepLines/>
        <w:widowControl/>
        <w:tabs>
          <w:tab w:pos="6523" w:val="center"/>
          <w:tab w:pos="10454" w:val="right"/>
        </w:tabs>
        <w:spacing w:before="100" w:after="140"/>
        <w:ind w:firstLine="0" w:left="2608"/>
        <w:jc w:val="left"/>
      </w:pPr>
      <w:r>
        <w:tab/>
      </w:r>
      <m:oMath>
        <m:sSub>
          <m:e>
            <m:r>
              <m:t xml:space="preserve">m</m:t>
            </m:r>
          </m:e>
          <m:sub>
            <m:r>
              <m:t xml:space="preserve">j</m:t>
            </m:r>
          </m:sub>
        </m:sSub>
        <m:d>
          <m:dPr>
            <m:begChr m:val="("/>
            <m:endChr m:val=")"/>
          </m:dPr>
          <m:e>
            <m:r>
              <m:t xml:space="preserve">S</m:t>
            </m:r>
          </m:e>
        </m:d>
        <m:r>
          <m:rPr>
            <m:sty m:val="p"/>
          </m:rPr>
          <m:t xml:space="preserve"> = </m:t>
        </m:r>
        <m:f>
          <m:num>
            <m:acc>
              <m:accPr>
                <m:chr m:val="̅"/>
              </m:accPr>
              <m:e>
                <m:sSub>
                  <m:e>
                    <m:r>
                      <m:t xml:space="preserve">q</m:t>
                    </m:r>
                  </m:e>
                  <m:sub>
                    <m:r>
                      <m:t xml:space="preserve">j</m:t>
                    </m:r>
                  </m:sub>
                </m:sSub>
              </m:e>
            </m:acc>
          </m:num>
          <m:den>
            <m:r>
              <m:t xml:space="preserve">1</m:t>
            </m:r>
            <m:r>
              <m:rPr>
                <m:sty m:val="p"/>
              </m:rPr>
              <m:t xml:space="preserve"> + </m:t>
            </m:r>
            <m:r>
              <m:t xml:space="preserve">λ</m:t>
            </m:r>
            <m:sSup>
              <m:e>
                <m:d>
                  <m:dPr>
                    <m:begChr m:val="("/>
                    <m:endChr m:val=")"/>
                  </m:dPr>
                  <m:e>
                    <m:sSub>
                      <m:e>
                        <m:r>
                          <m:t xml:space="preserve">d</m:t>
                        </m:r>
                      </m:e>
                      <m:sub>
                        <m:r>
                          <m:t xml:space="preserve">j</m:t>
                        </m:r>
                      </m:sub>
                    </m:sSub>
                    <m:d>
                      <m:dPr>
                        <m:begChr m:val="("/>
                        <m:endChr m:val=")"/>
                      </m:dPr>
                      <m:e>
                        <m:r>
                          <m:t xml:space="preserve">S</m:t>
                        </m:r>
                      </m:e>
                    </m:d>
                  </m:e>
                </m:d>
              </m:e>
              <m:sup>
                <m:r>
                  <m:t xml:space="preserve">2</m:t>
                </m:r>
              </m:sup>
            </m:sSup>
          </m:den>
        </m:f>
        <m:r>
          <m:rPr>
            <m:sty m:val="p"/>
          </m:rPr>
          <m:t xml:space="preserve">,   </m:t>
        </m:r>
        <m:r>
          <m:t xml:space="preserve">λ</m:t>
        </m:r>
        <m:r>
          <m:rPr>
            <m:sty m:val="p"/>
          </m:rPr>
          <m:t xml:space="preserve"> = </m:t>
        </m:r>
        <m:r>
          <m:t xml:space="preserve">2</m:t>
        </m:r>
      </m:oMath>
      <w:r>
        <w:rPr>
          <w:sz w:val="20"/>
        </w:rPr>
        <w:tab/>
        <w:t>(10)</w:t>
      </w:r>
    </w:p>
    <w:p>
      <w:pPr>
        <w:pStyle w:val="MDPI31text"/>
        <w:keepNext/>
        <w:widowControl/>
      </w:pPr>
      <w:r>
        <w:t xml:space="preserve">The unit baseline retains full importance for an uncorrelated candidate. When 0 ≤ </w:t>
      </w:r>
      <m:oMath>
        <m:sSub>
          <m:e>
            <m:r>
              <m:t xml:space="preserve">d</m:t>
            </m:r>
          </m:e>
          <m:sub>
            <m:r>
              <m:t xml:space="preserve">j</m:t>
            </m:r>
          </m:sub>
        </m:sSub>
      </m:oMath>
      <w:r>
        <w:t xml:space="preserve"> ≤ 1, the merit is between </w:t>
      </w:r>
      <m:oMath>
        <m:acc>
          <m:accPr>
            <m:chr m:val="̅"/>
          </m:accPr>
          <m:e>
            <m:sSub>
              <m:e>
                <m:r>
                  <m:t xml:space="preserve">q</m:t>
                </m:r>
              </m:e>
              <m:sub>
                <m:r>
                  <m:t xml:space="preserve">j</m:t>
                </m:r>
              </m:sub>
            </m:sSub>
          </m:e>
        </m:acc>
      </m:oMath>
      <w:r>
        <w:t xml:space="preserve">/3 and </w:t>
      </w:r>
      <m:oMath>
        <m:acc>
          <m:accPr>
            <m:chr m:val="̅"/>
          </m:accPr>
          <m:e>
            <m:sSub>
              <m:e>
                <m:r>
                  <m:t xml:space="preserve">q</m:t>
                </m:r>
              </m:e>
              <m:sub>
                <m:r>
                  <m:t xml:space="preserve">j</m:t>
                </m:r>
              </m:sub>
            </m:sSub>
          </m:e>
        </m:acc>
      </m:oMath>
      <w:r>
        <w:t>, so even perfect correlation does not force exclusion. Starting from S₀ = ∅, the next variable maximizes the merit among unselected variables:</w:t>
      </w:r>
    </w:p>
    <w:p>
      <w:pPr>
        <w:pStyle w:val="MDPI31text"/>
        <w:keepLines/>
        <w:widowControl/>
        <w:tabs>
          <w:tab w:pos="6523" w:val="center"/>
          <w:tab w:pos="10454" w:val="right"/>
        </w:tabs>
        <w:spacing w:before="100" w:after="140"/>
        <w:ind w:firstLine="0" w:left="2608"/>
        <w:jc w:val="left"/>
      </w:pPr>
      <w:r>
        <w:tab/>
      </w:r>
      <m:oMath>
        <m:sSub>
          <m:e>
            <m:r>
              <m:t xml:space="preserve">j</m:t>
            </m:r>
          </m:e>
          <m:sub>
            <m:r>
              <m:t xml:space="preserve">t</m:t>
            </m:r>
          </m:sub>
        </m:sSub>
        <m:r>
          <m:rPr>
            <m:sty m:val="p"/>
          </m:rPr>
          <m:t xml:space="preserve"> = </m:t>
        </m:r>
        <m:limLow>
          <m:e>
            <m:r>
              <m:rPr>
                <m:sty m:val="p"/>
              </m:rPr>
              <m:t xml:space="preserve">arg max</m:t>
            </m:r>
          </m:e>
          <m:lim>
            <m:r>
              <m:t xml:space="preserve">j</m:t>
            </m:r>
            <m:r>
              <m:rPr>
                <m:sty m:val="p"/>
              </m:rPr>
              <m:t xml:space="preserve"> ∉ </m:t>
            </m:r>
            <m:sSub>
              <m:e>
                <m:r>
                  <m:t xml:space="preserve">S</m:t>
                </m:r>
              </m:e>
              <m:sub>
                <m:r>
                  <m:t xml:space="preserve">t</m:t>
                </m:r>
                <m:r>
                  <m:rPr>
                    <m:sty m:val="p"/>
                  </m:rPr>
                  <m:t xml:space="preserve"> − </m:t>
                </m:r>
                <m:r>
                  <m:t xml:space="preserve">1</m:t>
                </m:r>
              </m:sub>
            </m:sSub>
          </m:lim>
        </m:limLow>
        <m:r>
          <m:rPr>
            <m:sty m:val="p"/>
          </m:rPr>
          <m:t xml:space="preserve"> </m:t>
        </m:r>
        <m:sSub>
          <m:e>
            <m:r>
              <m:t xml:space="preserve">m</m:t>
            </m:r>
          </m:e>
          <m:sub>
            <m:r>
              <m:t xml:space="preserve">j</m:t>
            </m:r>
          </m:sub>
        </m:sSub>
        <m:d>
          <m:dPr>
            <m:begChr m:val="("/>
            <m:endChr m:val=")"/>
          </m:dPr>
          <m:e>
            <m:sSub>
              <m:e>
                <m:r>
                  <m:t xml:space="preserve">S</m:t>
                </m:r>
              </m:e>
              <m:sub>
                <m:r>
                  <m:t xml:space="preserve">t</m:t>
                </m:r>
                <m:r>
                  <m:rPr>
                    <m:sty m:val="p"/>
                  </m:rPr>
                  <m:t xml:space="preserve"> − </m:t>
                </m:r>
                <m:r>
                  <m:t xml:space="preserve">1</m:t>
                </m:r>
              </m:sub>
            </m:sSub>
          </m:e>
        </m:d>
        <m:r>
          <m:rPr>
            <m:sty m:val="p"/>
          </m:rPr>
          <m:t xml:space="preserve">,   </m:t>
        </m:r>
        <m:sSub>
          <m:e>
            <m:r>
              <m:t xml:space="preserve">S</m:t>
            </m:r>
          </m:e>
          <m:sub>
            <m:r>
              <m:t xml:space="preserve">t</m:t>
            </m:r>
          </m:sub>
        </m:sSub>
        <m:r>
          <m:rPr>
            <m:sty m:val="p"/>
          </m:rPr>
          <m:t xml:space="preserve"> = </m:t>
        </m:r>
        <m:sSub>
          <m:e>
            <m:r>
              <m:t xml:space="preserve">S</m:t>
            </m:r>
          </m:e>
          <m:sub>
            <m:r>
              <m:t xml:space="preserve">t</m:t>
            </m:r>
            <m:r>
              <m:rPr>
                <m:sty m:val="p"/>
              </m:rPr>
              <m:t xml:space="preserve"> − </m:t>
            </m:r>
            <m:r>
              <m:t xml:space="preserve">1</m:t>
            </m:r>
          </m:sub>
        </m:sSub>
        <m:r>
          <m:rPr>
            <m:sty m:val="p"/>
          </m:rPr>
          <m:t xml:space="preserve"> ∪ </m:t>
        </m:r>
        <m:d>
          <m:dPr>
            <m:begChr m:val="{"/>
            <m:endChr m:val="}"/>
          </m:dPr>
          <m:e>
            <m:sSub>
              <m:e>
                <m:r>
                  <m:t xml:space="preserve">j</m:t>
                </m:r>
              </m:e>
              <m:sub>
                <m:r>
                  <m:t xml:space="preserve">t</m:t>
                </m:r>
              </m:sub>
            </m:sSub>
          </m:e>
        </m:d>
      </m:oMath>
      <w:r>
        <w:rPr>
          <w:sz w:val="20"/>
        </w:rPr>
        <w:tab/>
        <w:t>(11)</w:t>
      </w:r>
    </w:p>
    <w:p>
      <w:pPr>
        <w:pStyle w:val="MDPI31text"/>
        <w:widowControl/>
      </w:pPr>
      <w:r>
        <w:t>After each addition, correlations with the new variable update the maximum redundancy of the remaining candidates. Repetition generates an ordered list of all p variables; equal merits are resolved by the first ascending wavelength index. This is a greedy ranking for a changing, set-dependent score, without a claim of globally optimal subset selection.</w:t>
      </w:r>
    </w:p>
    <w:p>
      <w:pPr>
        <w:pStyle w:val="MDPI31text"/>
        <w:keepNext/>
        <w:widowControl/>
      </w:pPr>
      <w:r>
        <w:t xml:space="preserve">The retained prefix size K and final LV count L are tuned jointly. Candidate sizes are the distinct values among 4, 8, 16, 32, 64, 128 and ceil(p/2) that are below p. For p = 141, these are 4, 8, 16, 32, 64, 71 and 128. L ranges from 1 to min(10, K), subject to training dimensions. With </w:t>
      </w:r>
      <m:oMath>
        <m:sSub>
          <m:e>
            <m:r>
              <m:t xml:space="preserve">V</m:t>
            </m:r>
          </m:e>
          <m:sub>
            <m:r>
              <m:t xml:space="preserve">f</m:t>
            </m:r>
          </m:sub>
        </m:sSub>
      </m:oMath>
      <w:r>
        <w:t xml:space="preserve"> the validation rows in fold f, the pooled criterion is:</w:t>
      </w:r>
    </w:p>
    <w:p>
      <w:pPr>
        <w:pStyle w:val="MDPI31text"/>
        <w:keepLines/>
        <w:widowControl/>
        <w:tabs>
          <w:tab w:pos="6523" w:val="center"/>
          <w:tab w:pos="10454" w:val="right"/>
        </w:tabs>
        <w:spacing w:before="100" w:after="140"/>
        <w:ind w:firstLine="0" w:left="2608"/>
        <w:jc w:val="left"/>
      </w:pPr>
      <w:r>
        <w:tab/>
      </w:r>
      <m:oMath>
        <m:d>
          <m:dPr>
            <m:begChr m:val="("/>
            <m:endChr m:val=")"/>
          </m:dPr>
          <m:e>
            <m:acc>
              <m:accPr>
                <m:chr m:val="̂"/>
              </m:accPr>
              <m:e>
                <m:r>
                  <m:t xml:space="preserve">K</m:t>
                </m:r>
              </m:e>
            </m:acc>
            <m:r>
              <m:rPr>
                <m:sty m:val="p"/>
              </m:rPr>
              <m:t xml:space="preserve">, </m:t>
            </m:r>
            <m:acc>
              <m:accPr>
                <m:chr m:val="̂"/>
              </m:accPr>
              <m:e>
                <m:r>
                  <m:t xml:space="preserve">L</m:t>
                </m:r>
              </m:e>
            </m:acc>
          </m:e>
        </m:d>
        <m:r>
          <m:rPr>
            <m:sty m:val="p"/>
          </m:rPr>
          <m:t xml:space="preserve"> = </m:t>
        </m:r>
        <m:limLow>
          <m:e>
            <m:r>
              <m:rPr>
                <m:sty m:val="p"/>
              </m:rPr>
              <m:t xml:space="preserve">arg min</m:t>
            </m:r>
          </m:e>
          <m:lim>
            <m:r>
              <m:t xml:space="preserve">K</m:t>
            </m:r>
            <m:r>
              <m:rPr>
                <m:sty m:val="p"/>
              </m:rPr>
              <m:t xml:space="preserve"> ∈ </m:t>
            </m:r>
            <m:r>
              <m:t xml:space="preserve">𝒦</m:t>
            </m:r>
            <m:r>
              <m:rPr>
                <m:sty m:val="p"/>
              </m:rPr>
              <m:t xml:space="preserve">, </m:t>
            </m:r>
            <m:r>
              <m:t xml:space="preserve">L</m:t>
            </m:r>
            <m:r>
              <m:rPr>
                <m:sty m:val="p"/>
              </m:rPr>
              <m:t xml:space="preserve"> ∈ </m:t>
            </m:r>
            <m:sSub>
              <m:e>
                <m:r>
                  <m:t xml:space="preserve">ℒ</m:t>
                </m:r>
              </m:e>
              <m:sub>
                <m:r>
                  <m:t xml:space="preserve">K</m:t>
                </m:r>
              </m:sub>
            </m:sSub>
          </m:lim>
        </m:limLow>
        <m:rad>
          <m:radPr>
            <m:degHide m:val="1"/>
          </m:radPr>
          <m:deg/>
          <m:e>
            <m:f>
              <m:num>
                <m:nary>
                  <m:naryPr>
                    <m:chr m:val="∑"/>
                    <m:limLoc m:val="undOvr"/>
                  </m:naryPr>
                  <m:sub>
                    <m:r>
                      <m:t xml:space="preserve">f</m:t>
                    </m:r>
                    <m:r>
                      <m:rPr>
                        <m:sty m:val="p"/>
                      </m:rPr>
                      <m:t xml:space="preserve"> = </m:t>
                    </m:r>
                    <m:r>
                      <m:t xml:space="preserve">1</m:t>
                    </m:r>
                  </m:sub>
                  <m:sup>
                    <m:r>
                      <m:t xml:space="preserve">5</m:t>
                    </m:r>
                  </m:sup>
                  <m:e>
                    <m:nary>
                      <m:naryPr>
                        <m:chr m:val="∑"/>
                        <m:limLoc m:val="undOvr"/>
                        <m:supHide m:val="1"/>
                      </m:naryPr>
                      <m:sub>
                        <m:r>
                          <m:t xml:space="preserve">i</m:t>
                        </m:r>
                        <m:r>
                          <m:rPr>
                            <m:sty m:val="p"/>
                          </m:rPr>
                          <m:t xml:space="preserve"> ∈ </m:t>
                        </m:r>
                        <m:sSub>
                          <m:e>
                            <m:r>
                              <m:t xml:space="preserve">V</m:t>
                            </m:r>
                          </m:e>
                          <m:sub>
                            <m:r>
                              <m:t xml:space="preserve">f</m:t>
                            </m:r>
                          </m:sub>
                        </m:sSub>
                      </m:sub>
                      <m:sup/>
                      <m:e>
                        <m:sSup>
                          <m:e>
                            <m:d>
                              <m:dPr>
                                <m:begChr m:val="("/>
                                <m:endChr m:val=")"/>
                              </m:dPr>
                              <m:e>
                                <m:sSub>
                                  <m:e>
                                    <m:r>
                                      <m:t xml:space="preserve">y</m:t>
                                    </m:r>
                                  </m:e>
                                  <m:sub>
                                    <m:r>
                                      <m:t xml:space="preserve">i</m:t>
                                    </m:r>
                                  </m:sub>
                                </m:sSub>
                                <m:r>
                                  <m:rPr>
                                    <m:sty m:val="p"/>
                                  </m:rPr>
                                  <m:t xml:space="preserve"> − </m:t>
                                </m:r>
                                <m:sSubSup>
                                  <m:e>
                                    <m:acc>
                                      <m:accPr>
                                        <m:chr m:val="̂"/>
                                      </m:accPr>
                                      <m:e>
                                        <m:r>
                                          <m:t xml:space="preserve">y</m:t>
                                        </m:r>
                                      </m:e>
                                    </m:acc>
                                  </m:e>
                                  <m:sub>
                                    <m:r>
                                      <m:t xml:space="preserve">i</m:t>
                                    </m:r>
                                  </m:sub>
                                  <m:sup>
                                    <m:d>
                                      <m:dPr>
                                        <m:begChr m:val="("/>
                                        <m:endChr m:val=")"/>
                                      </m:dPr>
                                      <m:e>
                                        <m:r>
                                          <m:t xml:space="preserve">f</m:t>
                                        </m:r>
                                      </m:e>
                                    </m:d>
                                  </m:sup>
                                </m:sSubSup>
                                <m:d>
                                  <m:dPr>
                                    <m:begChr m:val="("/>
                                    <m:endChr m:val=")"/>
                                  </m:dPr>
                                  <m:e>
                                    <m:r>
                                      <m:t xml:space="preserve">K</m:t>
                                    </m:r>
                                    <m:r>
                                      <m:rPr>
                                        <m:sty m:val="p"/>
                                      </m:rPr>
                                      <m:t xml:space="preserve">, </m:t>
                                    </m:r>
                                    <m:r>
                                      <m:t xml:space="preserve">L</m:t>
                                    </m:r>
                                  </m:e>
                                </m:d>
                              </m:e>
                            </m:d>
                          </m:e>
                          <m:sup>
                            <m:r>
                              <m:t xml:space="preserve">2</m:t>
                            </m:r>
                          </m:sup>
                        </m:sSup>
                      </m:e>
                    </m:nary>
                  </m:e>
                </m:nary>
              </m:num>
              <m:den>
                <m:sSub>
                  <m:e>
                    <m:r>
                      <m:t xml:space="preserve">n</m:t>
                    </m:r>
                  </m:e>
                  <m:sub>
                    <m:r>
                      <m:rPr>
                        <m:sty m:val="p"/>
                      </m:rPr>
                      <m:t xml:space="preserve">cal</m:t>
                    </m:r>
                  </m:sub>
                </m:sSub>
              </m:den>
            </m:f>
          </m:e>
        </m:rad>
      </m:oMath>
      <w:r>
        <w:rPr>
          <w:sz w:val="20"/>
        </w:rPr>
        <w:tab/>
        <w:t>(12)</w:t>
      </w:r>
    </w:p>
    <w:p>
      <w:pPr>
        <w:pStyle w:val="MDPI31text"/>
        <w:widowControl/>
      </w:pPr>
      <w:r>
        <w:t>Rankings, correlations and data-dependent preprocessing references are rebuilt within the CV training folds. L₀ is obtained from the preceding full-calibration preprocessing stage. The optimized RMSECV is used to select the prefix size and final LV count, while prediction performance is evaluated on the fixed SPXY prediction subset.</w:t>
      </w:r>
    </w:p>
    <w:p>
      <w:pPr>
        <w:pStyle w:val="MDPI31text"/>
        <w:keepNext/>
        <w:widowControl/>
      </w:pPr>
      <w:r>
        <w:t xml:space="preserve">After selecting K and L, the ranking is rebuilt on all 63 calibration samples and PLS is refitted. Let </w:t>
      </w:r>
      <m:oMath>
        <m:sSub>
          <m:e>
            <m:r>
              <m:t xml:space="preserve">φ</m:t>
            </m:r>
          </m:e>
          <m:sub>
            <m:r>
              <m:rPr>
                <m:sty m:val="p"/>
              </m:rPr>
              <m:t xml:space="preserve">cal</m:t>
            </m:r>
          </m:sub>
        </m:sSub>
      </m:oMath>
      <w:r>
        <w:t xml:space="preserve"> denote the frozen preprocessing transformation, and </w:t>
      </w:r>
      <m:oMath>
        <m:acc>
          <m:accPr>
            <m:chr m:val="̅"/>
          </m:accPr>
          <m:e>
            <m:sSub>
              <m:e>
                <m:r>
                  <m:t xml:space="preserve">X</m:t>
                </m:r>
              </m:e>
              <m:sub>
                <m:r>
                  <m:rPr>
                    <m:sty m:val="p"/>
                  </m:rPr>
                  <m:t xml:space="preserve">cal</m:t>
                </m:r>
                <m:r>
                  <m:rPr>
                    <m:sty m:val="p"/>
                  </m:rPr>
                  <m:t xml:space="preserve">, </m:t>
                </m:r>
                <m:r>
                  <m:t xml:space="preserve">S</m:t>
                </m:r>
              </m:sub>
            </m:sSub>
          </m:e>
        </m:acc>
      </m:oMath>
      <w:r>
        <w:t xml:space="preserve"> and </w:t>
      </w:r>
      <m:oMath>
        <m:acc>
          <m:accPr>
            <m:chr m:val="̅"/>
          </m:accPr>
          <m:e>
            <m:sSub>
              <m:e>
                <m:r>
                  <m:t xml:space="preserve">y</m:t>
                </m:r>
              </m:e>
              <m:sub>
                <m:r>
                  <m:rPr>
                    <m:sty m:val="p"/>
                  </m:rPr>
                  <m:t xml:space="preserve">cal</m:t>
                </m:r>
              </m:sub>
            </m:sSub>
          </m:e>
        </m:acc>
      </m:oMath>
      <w:r>
        <w:t xml:space="preserve"> the training means. Prediction uses these transformations, feature indices and coefficients:</w:t>
      </w:r>
    </w:p>
    <w:p>
      <w:pPr>
        <w:pStyle w:val="MDPI31text"/>
        <w:keepLines/>
        <w:widowControl/>
        <w:tabs>
          <w:tab w:pos="6523" w:val="center"/>
          <w:tab w:pos="10454" w:val="right"/>
        </w:tabs>
        <w:spacing w:before="100" w:after="140"/>
        <w:ind w:firstLine="0" w:left="2608"/>
        <w:jc w:val="left"/>
      </w:pPr>
      <w:r>
        <w:tab/>
      </w:r>
      <m:oMath>
        <m:acc>
          <m:accPr>
            <m:chr m:val="̂"/>
          </m:accPr>
          <m:e>
            <m:r>
              <m:t xml:space="preserve">y</m:t>
            </m:r>
          </m:e>
        </m:acc>
        <m:d>
          <m:dPr>
            <m:begChr m:val="("/>
            <m:endChr m:val=")"/>
          </m:dPr>
          <m:e>
            <m:r>
              <m:t xml:space="preserve">x</m:t>
            </m:r>
          </m:e>
        </m:d>
        <m:r>
          <m:rPr>
            <m:sty m:val="p"/>
          </m:rPr>
          <m:t xml:space="preserve"> = </m:t>
        </m:r>
        <m:acc>
          <m:accPr>
            <m:chr m:val="̅"/>
          </m:accPr>
          <m:e>
            <m:sSub>
              <m:e>
                <m:r>
                  <m:t xml:space="preserve">y</m:t>
                </m:r>
              </m:e>
              <m:sub>
                <m:r>
                  <m:rPr>
                    <m:sty m:val="p"/>
                  </m:rPr>
                  <m:t xml:space="preserve">cal</m:t>
                </m:r>
              </m:sub>
            </m:sSub>
          </m:e>
        </m:acc>
        <m:r>
          <m:rPr>
            <m:sty m:val="p"/>
          </m:rPr>
          <m:t xml:space="preserve"> + </m:t>
        </m:r>
        <m:sSup>
          <m:e>
            <m:d>
              <m:dPr>
                <m:begChr m:val="("/>
                <m:endChr m:val=")"/>
              </m:dPr>
              <m:e>
                <m:sSub>
                  <m:e>
                    <m:d>
                      <m:dPr>
                        <m:begChr m:val="("/>
                        <m:endChr m:val=")"/>
                      </m:dPr>
                      <m:e>
                        <m:sSub>
                          <m:e>
                            <m:r>
                              <m:t xml:space="preserve">φ</m:t>
                            </m:r>
                          </m:e>
                          <m:sub>
                            <m:r>
                              <m:rPr>
                                <m:sty m:val="p"/>
                              </m:rPr>
                              <m:t xml:space="preserve">cal</m:t>
                            </m:r>
                          </m:sub>
                        </m:sSub>
                        <m:d>
                          <m:dPr>
                            <m:begChr m:val="("/>
                            <m:endChr m:val=")"/>
                          </m:dPr>
                          <m:e>
                            <m:r>
                              <m:t xml:space="preserve">x</m:t>
                            </m:r>
                          </m:e>
                        </m:d>
                      </m:e>
                    </m:d>
                  </m:e>
                  <m:sub>
                    <m:r>
                      <m:t xml:space="preserve">S</m:t>
                    </m:r>
                  </m:sub>
                </m:sSub>
                <m:r>
                  <m:rPr>
                    <m:sty m:val="p"/>
                  </m:rPr>
                  <m:t xml:space="preserve"> − </m:t>
                </m:r>
                <m:acc>
                  <m:accPr>
                    <m:chr m:val="̅"/>
                  </m:accPr>
                  <m:e>
                    <m:sSub>
                      <m:e>
                        <m:r>
                          <m:t xml:space="preserve">X</m:t>
                        </m:r>
                      </m:e>
                      <m:sub>
                        <m:r>
                          <m:rPr>
                            <m:sty m:val="p"/>
                          </m:rPr>
                          <m:t xml:space="preserve">cal</m:t>
                        </m:r>
                        <m:r>
                          <m:rPr>
                            <m:sty m:val="p"/>
                          </m:rPr>
                          <m:t xml:space="preserve">, </m:t>
                        </m:r>
                        <m:r>
                          <m:t xml:space="preserve">S</m:t>
                        </m:r>
                      </m:sub>
                    </m:sSub>
                  </m:e>
                </m:acc>
              </m:e>
            </m:d>
          </m:e>
          <m:sup>
            <m:r>
              <m:t xml:space="preserve">T</m:t>
            </m:r>
          </m:sup>
        </m:sSup>
        <m:sSub>
          <m:e>
            <m:acc>
              <m:accPr>
                <m:chr m:val="̂"/>
              </m:accPr>
              <m:e>
                <m:r>
                  <m:t xml:space="preserve">β</m:t>
                </m:r>
              </m:e>
            </m:acc>
          </m:e>
          <m:sub>
            <m:r>
              <m:t xml:space="preserve">S</m:t>
            </m:r>
          </m:sub>
        </m:sSub>
      </m:oMath>
      <w:r>
        <w:rPr>
          <w:sz w:val="20"/>
        </w:rPr>
        <w:tab/>
        <w:t>(13)</w:t>
      </w:r>
    </w:p>
    <w:p>
      <w:pPr>
        <w:pStyle w:val="MDPI31text"/>
        <w:widowControl/>
      </w:pPr>
      <w:r>
        <w:t>No ranking is recalculated for prediction samples. Three prespecified ablations remove sign weighting, local smoothing or the redundancy penalty individually. Each variant tunes its own prefix size and LV count using calibration data. Supplementary Table S5 provides the computational settings.</w:t>
      </w:r>
    </w:p>
    <w:p>
      <w:pPr>
        <w:pStyle w:val="MDPI21heading1"/>
        <w:keepNext/>
        <w:widowControl/>
      </w:pPr>
      <w:r>
        <w:t>3. Experimental</w:t>
      </w:r>
    </w:p>
    <w:p>
      <w:pPr>
        <w:pStyle w:val="MDPI22heading2"/>
        <w:keepNext/>
        <w:widowControl/>
      </w:pPr>
      <w:r>
        <w:t>3.1. Samples and spectral acquisition</w:t>
      </w:r>
    </w:p>
    <w:p>
      <w:pPr>
        <w:pStyle w:val="MDPI31text"/>
        <w:widowControl/>
      </w:pPr>
      <w:r>
        <w:t>Baishouwu roots cultivated for 1–3 years were obtained from Yancheng Guolao Shouwu Technology Co., Ltd., ground, passed through a 1 mm sieve and stored in sealed containers. The experimental record describes diffuse-reflectance NIR measurements using a Si-ware instrument and a polytetrafluoroethylene white reference. Powder was placed in a sample cup and measured three times, with the cup rotated by 120° between readings. The readings were averaged. The nominal spectral range was 1350–2550 nm, with an acquisition time of 2 s and 16 scans.</w:t>
      </w:r>
    </w:p>
    <w:p>
      <w:pPr>
        <w:pStyle w:val="MDPI31text"/>
        <w:widowControl/>
      </w:pPr>
      <w:r>
        <w:t xml:space="preserve">The dataset comprised one averaged NIR spectrum per sample. [Confirm the authenticated species and voucher, supplier name, collection/storage dates and instrument model, and verify the acquisition details against the laboratory records.] The experimental record names </w:t>
      </w:r>
      <w:r>
        <w:rPr>
          <w:i/>
        </w:rPr>
        <w:t>Cynanchum auriculatum</w:t>
      </w:r>
      <w:r>
        <w:t xml:space="preserve"> in its main text and </w:t>
      </w:r>
      <w:r>
        <w:rPr>
          <w:i/>
        </w:rPr>
        <w:t>Cynanchum bungei</w:t>
      </w:r>
      <w:r>
        <w:t xml:space="preserve"> in its abstract; Baishouwu is therefore retained as the material designation pending authentication.</w:t>
      </w:r>
    </w:p>
    <w:p>
      <w:pPr>
        <w:pStyle w:val="MDPI22heading2"/>
        <w:keepNext/>
        <w:widowControl/>
      </w:pPr>
      <w:r>
        <w:t>3.2. Reference determination</w:t>
      </w:r>
    </w:p>
    <w:p>
      <w:pPr>
        <w:pStyle w:val="MDPI31text"/>
        <w:widowControl/>
      </w:pPr>
      <w:r>
        <w:t>C21 steroidal glycoside equivalents were determined by vanillin–sulfuric acid colorimetry. Three parallel 1.0 g powder portions were extracted separately with 15 mL of 80% ethanol in sealed 50 mL centrifuge tubes by sonication for 30 min. After cooling, each extract was filtered and the complete filtrate diluted to 25 mL. An aliquot of 0.08 mL was mixed with 0.42 mL of 80% ethanol and 0.5 mL of 8% vanillin in anhydrous ethanol. Then, 5 mL of 77% sulfuric acid was added in an ice bath. The mixture was held in ice for 15 min, mixed, heated at 70 °C for 15 min, cooled in ice for 15 min and left at room temperature for 30 min. Absorbance was measured at 478 nm.</w:t>
      </w:r>
    </w:p>
    <w:p>
      <w:pPr>
        <w:pStyle w:val="MDPI31text"/>
        <w:widowControl/>
      </w:pPr>
      <w:r>
        <w:t xml:space="preserve">The supplied responses were expressed in mg </w:t>
      </w:r>
      <w:r>
        <w:t>g</w:t>
      </w:r>
      <w:r>
        <w:rPr>
          <w:vertAlign w:val="superscript"/>
        </w:rPr>
        <w:t>−1</w:t>
      </w:r>
      <w:r>
        <w:t xml:space="preserve"> and used without adjustment. They are reported as source-assigned total glycoside equivalents because the reference standard identity and mass basis require confirmation. [Complete standard purity and supplier, reagent percentage conventions, blank composition, equipment models and the calibration/dilution calculation; verify recovery and assay precision.] The reference-standard preparation, assay calibration and dilution calculation require verification against the original laboratory records.</w:t>
      </w:r>
    </w:p>
    <w:p>
      <w:pPr>
        <w:pStyle w:val="MDPI22heading2"/>
        <w:keepNext/>
        <w:widowControl/>
      </w:pPr>
      <w:r>
        <w:t>3.3. Dataset and sample partition</w:t>
      </w:r>
    </w:p>
    <w:p>
      <w:pPr>
        <w:pStyle w:val="MDPI31text"/>
        <w:widowControl/>
      </w:pPr>
      <w:r>
        <w:t>The dataset contained 84 samples, each with 141 measured spectral variables and one reference response. Wavelengths ranged from 1348.28 to 2551.98 nm. Spectral columns were ordered by increasing wavelength, with their measurement–wavelength correspondence preserved. No sample was excluded, and the data contained no missing numerical values or duplicate complete spectra. Companion worksheets supplied sample identifiers and response units; the supplied spectral and response values were used without adjustment.</w:t>
      </w:r>
    </w:p>
    <w:p>
      <w:pPr>
        <w:pStyle w:val="MDPI31text"/>
        <w:widowControl/>
      </w:pPr>
      <w:r>
        <w:t xml:space="preserve">SPXY was used to assign 63 samples (75%) to calibration and the remaining 21 (25%) to prediction </w:t>
      </w:r>
      <w:r>
        <w:rPr>
          <w:color w:val="075A78"/>
        </w:rPr>
        <w:t>[20]</w:t>
      </w:r>
      <w:r>
        <w:t>. For each sample pair, the Euclidean distance across the 141 raw spectral variables and the absolute difference in the reference response were calculated. Each distance matrix was divided by its maximum value, and the normalized spectral and response distances were added. The most distant pair initiated the calibration set. Subsequent samples maximized their minimum joint distance to the current calibration samples until 63 samples had been selected. Ties were resolved by the original sample order.</w:t>
      </w:r>
    </w:p>
    <w:p>
      <w:pPr>
        <w:pStyle w:val="MDPI31text"/>
        <w:widowControl/>
      </w:pPr>
      <w:r>
        <w:t>The partition was fixed before model development. Spectral preprocessing, variable ranking, subset size and LV count were determined using the calibration samples. SPXY uses both spectra and reference responses to construct the partition; the prediction subset consequently represents withheld samples from the same cohort. PCA was fitted to raw calibration spectra and applied to prediction spectra solely to visualize their distribution.</w:t>
      </w:r>
    </w:p>
    <w:p>
      <w:pPr>
        <w:pStyle w:val="MDPI22heading2"/>
        <w:keepNext/>
        <w:widowControl/>
      </w:pPr>
      <w:r>
        <w:t>3.4. Spectral preprocessing</w:t>
      </w:r>
    </w:p>
    <w:p>
      <w:pPr>
        <w:pStyle w:val="MDPI31text"/>
        <w:widowControl/>
      </w:pPr>
      <w:r>
        <w:t xml:space="preserve">Untreated spectra were compared with MSC, SNV, CWT and first and second derivatives. MSC fitted each spectrum to the mean training spectrum and corrected its intercept and slope </w:t>
      </w:r>
      <w:r>
        <w:rPr>
          <w:color w:val="075A78"/>
        </w:rPr>
        <w:t>[21]</w:t>
      </w:r>
      <w:r>
        <w:t xml:space="preserve">; the reference mean was rebuilt within each training fold. SNV centered each spectrum and divided it by its sample standard deviation </w:t>
      </w:r>
      <w:r>
        <w:rPr>
          <w:color w:val="075A78"/>
        </w:rPr>
        <w:t>[22]</w:t>
      </w:r>
      <w:r>
        <w:t>.</w:t>
      </w:r>
    </w:p>
    <w:p>
      <w:pPr>
        <w:pStyle w:val="MDPI31text"/>
        <w:widowControl/>
      </w:pPr>
      <w:r>
        <w:t xml:space="preserve">Derivative and CWT preprocessing used interpolation to a uniform 141-position grid over the measured endpoints. Savitzky–Golay derivatives used a 15-point window, cubic polynomial, the actual wavelength spacing and mirrored boundaries </w:t>
      </w:r>
      <w:r>
        <w:rPr>
          <w:color w:val="075A78"/>
        </w:rPr>
        <w:t>[23]</w:t>
      </w:r>
      <w:r>
        <w:t xml:space="preserve">. CWT used a Mexican hat wavelet at scale 10, wavelet integration precision 10 and reflected boundary extension of 40 points at both ends; central coefficients were retained </w:t>
      </w:r>
      <w:r>
        <w:rPr>
          <w:color w:val="075A78"/>
        </w:rPr>
        <w:t>[24]</w:t>
      </w:r>
      <w:r>
        <w:t>. Selected positions and transformed plots use this working grid. Figure S1 compares the transformed spectra.</w:t>
      </w:r>
    </w:p>
    <w:p>
      <w:pPr>
        <w:pStyle w:val="MDPI22heading2"/>
        <w:keepNext/>
        <w:widowControl/>
      </w:pPr>
      <w:r>
        <w:t>3.5. Model validation and performance measures</w:t>
      </w:r>
    </w:p>
    <w:p>
      <w:pPr>
        <w:pStyle w:val="MDPI31text"/>
        <w:widowControl/>
      </w:pPr>
      <w:r>
        <w:t>The 21 prediction samples were withheld from preprocessing selection, variable ranking, prefix-size optimization and LV tuning after the SPXY partition was fixed. Fivefold calibration RMSECV determined model settings. All methods used the same sample assignments and calibration folds, and data-dependent preprocessing references and variable rankings were rebuilt within the corresponding CV training folds.</w:t>
      </w:r>
    </w:p>
    <w:p>
      <w:pPr>
        <w:pStyle w:val="MDPI31text"/>
        <w:widowControl/>
      </w:pPr>
      <w:r>
        <w:t xml:space="preserve">RMSEC, RMSECV and RMSEP were the square roots of mean squared residuals for fitted calibration, cross validation and prediction, respectively. R² was calculated as one minus the residual sum of squares divided by the within-set total sum of squares. MAE, signed bias, RPD and RPIQ were also reported. RPD divided the prediction-response sample standard deviation by RMSEP, while RPIQ used its interquartile range </w:t>
      </w:r>
      <w:r>
        <w:rPr>
          <w:color w:val="075A78"/>
        </w:rPr>
        <w:t>[25]</w:t>
      </w:r>
      <w:r>
        <w:t>.</w:t>
      </w:r>
    </w:p>
    <w:p>
      <w:pPr>
        <w:pStyle w:val="MDPI31text"/>
        <w:widowControl/>
      </w:pPr>
      <w:r>
        <w:t>Selection consistency was described by the mean pairwise Jaccard similarity among the five fold-selected variable sets. The statistic measures set overlap and is interpreted together with subset size. Three prespecified BSRS ablations removed sign weighting, local smoothing or the redundancy penalty individually, with each variant tuning its own retained prefix size and LV count on calibration data.</w:t>
      </w:r>
    </w:p>
    <w:p>
      <w:pPr>
        <w:pStyle w:val="MDPI21heading1"/>
        <w:keepNext/>
        <w:widowControl/>
      </w:pPr>
      <w:r>
        <w:t>4. Results and Discussion</w:t>
      </w:r>
    </w:p>
    <w:p>
      <w:pPr>
        <w:pStyle w:val="MDPI22heading2"/>
        <w:keepNext/>
        <w:widowControl/>
      </w:pPr>
      <w:r>
        <w:t>4.1. Spectra and SPXY sample partition</w:t>
      </w:r>
    </w:p>
    <w:p>
      <w:pPr>
        <w:pStyle w:val="MDPI31text"/>
        <w:widowControl/>
      </w:pPr>
      <w:r>
        <w:t xml:space="preserve">Figure 2 shows the sample-mean NIR spectra, and Table 1 summarizes the dataset. Each spectrum contains 141 measured variables over 1348.28–2551.98 nm. Overlapping spectral features and differences in the recorded response level support multivariate modeling of the botanical matrix. The recorded signal is expressed in arbitrary units because optical-conversion metadata were not supplied. Reference equivalent contents ranged from 11.14 to 45.13 mg </w:t>
      </w:r>
      <w:r>
        <w:t>g</w:t>
      </w:r>
      <w:r>
        <w:rPr>
          <w:vertAlign w:val="superscript"/>
        </w:rPr>
        <w:t>−1</w:t>
      </w:r>
      <w:r>
        <w:t>.</w:t>
      </w:r>
    </w:p>
    <w:p>
      <w:pPr>
        <w:pStyle w:val="MDPI41tablecaption"/>
        <w:keepNext/>
        <w:keepLines/>
        <w:widowControl/>
        <w:ind w:left="2608"/>
      </w:pPr>
      <w:r>
        <w:rPr>
          <w:b/>
        </w:rPr>
        <w:t xml:space="preserve">Table 1. </w:t>
      </w:r>
      <w:r>
        <w:t>Structure of the near-infrared spectral dataset.</w:t>
      </w:r>
    </w:p>
    <w:tbl>
      <w:tblPr>
        <w:tblStyle w:val="MDPI41threelinetable"/>
        <w:tblW w:type="auto" w:w="0"/>
        <w:jc w:val="left"/>
        <w:tblLayout w:type="fixed"/>
        <w:tblLook w:firstColumn="1" w:firstRow="1" w:lastColumn="0" w:lastRow="0" w:noHBand="0" w:noVBand="1" w:val="04A0"/>
        <w:tblInd w:w="2608" w:type="dxa"/>
        <w:tblBorders>
          <w:top w:val="single" w:sz="6" w:color="000000"/>
          <w:bottom w:val="single" w:sz="6" w:color="000000"/>
          <w:left w:val="nil" w:sz="6" w:color="000000"/>
          <w:right w:val="nil" w:sz="6" w:color="000000"/>
          <w:insideH w:val="nil" w:sz="6" w:color="000000"/>
          <w:insideV w:val="nil" w:sz="6" w:color="000000"/>
        </w:tblBorders>
      </w:tblPr>
      <w:tblGrid>
        <w:gridCol w:w="1296"/>
        <w:gridCol w:w="2160"/>
        <w:gridCol w:w="4392"/>
      </w:tblGrid>
      <w:tr>
        <w:trPr>
          <w:tblHeader/>
          <w:cantSplit/>
        </w:trPr>
        <w:tc>
          <w:tcPr>
            <w:tcW w:type="dxa" w:w="1296"/>
            <w:vAlign w:val="center"/>
            <w:tcBorders>
              <w:bottom w:val="single" w:sz="6"/>
            </w:tcBorders>
            <w:tcMar>
              <w:top w:w="35" w:type="dxa"/>
              <w:bottom w:w="35" w:type="dxa"/>
              <w:left w:w="35" w:type="dxa"/>
              <w:right w:w="35" w:type="dxa"/>
            </w:tcMar>
          </w:tcPr>
          <w:p>
            <w:pPr>
              <w:pStyle w:val="MDPI42tablebody"/>
              <w:spacing w:after="0" w:before="0"/>
              <w:ind w:left="0" w:firstLine="0"/>
              <w:jc w:val="center"/>
            </w:pPr>
            <w:r>
              <w:rPr>
                <w:b/>
                <w:sz w:val="20"/>
              </w:rPr>
              <w:t>Samples</w:t>
            </w:r>
          </w:p>
        </w:tc>
        <w:tc>
          <w:tcPr>
            <w:tcW w:type="dxa" w:w="2160"/>
            <w:vAlign w:val="center"/>
            <w:tcBorders>
              <w:bottom w:val="single" w:sz="6"/>
            </w:tcBorders>
            <w:tcMar>
              <w:top w:w="35" w:type="dxa"/>
              <w:bottom w:w="35" w:type="dxa"/>
              <w:left w:w="35" w:type="dxa"/>
              <w:right w:w="35" w:type="dxa"/>
            </w:tcMar>
          </w:tcPr>
          <w:p>
            <w:pPr>
              <w:pStyle w:val="MDPI42tablebody"/>
              <w:spacing w:after="0" w:before="0"/>
              <w:ind w:left="0" w:firstLine="0"/>
              <w:jc w:val="center"/>
            </w:pPr>
            <w:r>
              <w:rPr>
                <w:b/>
                <w:sz w:val="20"/>
              </w:rPr>
              <w:t>Spectral variables</w:t>
            </w:r>
          </w:p>
        </w:tc>
        <w:tc>
          <w:tcPr>
            <w:tcW w:type="dxa" w:w="4392"/>
            <w:vAlign w:val="center"/>
            <w:tcBorders>
              <w:bottom w:val="single" w:sz="6"/>
            </w:tcBorders>
            <w:tcMar>
              <w:top w:w="35" w:type="dxa"/>
              <w:bottom w:w="35" w:type="dxa"/>
              <w:left w:w="35" w:type="dxa"/>
              <w:right w:w="35" w:type="dxa"/>
            </w:tcMar>
          </w:tcPr>
          <w:p>
            <w:pPr>
              <w:pStyle w:val="MDPI42tablebody"/>
              <w:spacing w:after="0" w:before="0"/>
              <w:ind w:left="0" w:firstLine="0"/>
              <w:jc w:val="center"/>
            </w:pPr>
            <w:r>
              <w:rPr>
                <w:b/>
                <w:sz w:val="20"/>
              </w:rPr>
              <w:t>Wavelength range (nm)</w:t>
            </w:r>
          </w:p>
        </w:tc>
      </w:tr>
      <w:tr>
        <w:trPr>
          <w:cantSplit/>
        </w:trPr>
        <w:tc>
          <w:tcPr>
            <w:tcW w:type="dxa" w:w="1296"/>
            <w:vAlign w:val="center"/>
            <w:tcMar>
              <w:top w:w="35" w:type="dxa"/>
              <w:bottom w:w="35" w:type="dxa"/>
              <w:left w:w="35" w:type="dxa"/>
              <w:right w:w="35" w:type="dxa"/>
            </w:tcMar>
          </w:tcPr>
          <w:p>
            <w:pPr>
              <w:pStyle w:val="MDPI42tablebody"/>
              <w:spacing w:after="0" w:before="0"/>
              <w:ind w:left="0" w:firstLine="0"/>
              <w:jc w:val="center"/>
            </w:pPr>
            <w:r>
              <w:rPr>
                <w:b w:val="0"/>
                <w:sz w:val="20"/>
              </w:rPr>
              <w:t>84</w:t>
            </w:r>
          </w:p>
        </w:tc>
        <w:tc>
          <w:tcPr>
            <w:tcW w:type="dxa" w:w="2160"/>
            <w:vAlign w:val="center"/>
            <w:tcMar>
              <w:top w:w="35" w:type="dxa"/>
              <w:bottom w:w="35" w:type="dxa"/>
              <w:left w:w="35" w:type="dxa"/>
              <w:right w:w="35" w:type="dxa"/>
            </w:tcMar>
          </w:tcPr>
          <w:p>
            <w:pPr>
              <w:pStyle w:val="MDPI42tablebody"/>
              <w:spacing w:after="0" w:before="0"/>
              <w:ind w:left="0" w:firstLine="0"/>
              <w:jc w:val="center"/>
            </w:pPr>
            <w:r>
              <w:rPr>
                <w:b w:val="0"/>
                <w:sz w:val="20"/>
              </w:rPr>
              <w:t>141</w:t>
            </w:r>
          </w:p>
        </w:tc>
        <w:tc>
          <w:tcPr>
            <w:tcW w:type="dxa" w:w="4392"/>
            <w:vAlign w:val="center"/>
            <w:tcMar>
              <w:top w:w="35" w:type="dxa"/>
              <w:bottom w:w="35" w:type="dxa"/>
              <w:left w:w="35" w:type="dxa"/>
              <w:right w:w="35" w:type="dxa"/>
            </w:tcMar>
          </w:tcPr>
          <w:p>
            <w:pPr>
              <w:pStyle w:val="MDPI42tablebody"/>
              <w:spacing w:after="0" w:before="0"/>
              <w:ind w:left="0" w:firstLine="0"/>
              <w:jc w:val="center"/>
            </w:pPr>
            <w:r>
              <w:rPr>
                <w:b w:val="0"/>
                <w:sz w:val="20"/>
              </w:rPr>
              <w:t>1348.28–2551.98</w:t>
            </w:r>
          </w:p>
        </w:tc>
      </w:tr>
    </w:tbl>
    <w:p>
      <w:pPr>
        <w:pStyle w:val="MDPI52figure"/>
        <w:keepNext/>
        <w:widowControl/>
        <w:ind w:left="2608" w:firstLine="0"/>
        <w:jc w:val="center"/>
      </w:pPr>
      <w:r>
        <w:drawing>
          <wp:inline xmlns:a="http://schemas.openxmlformats.org/drawingml/2006/main" xmlns:pic="http://schemas.openxmlformats.org/drawingml/2006/picture">
            <wp:extent cx="4983480" cy="2270251"/>
            <wp:docPr id="2" name="Picture 2" descr="Raw spectral data: (a) spectra of all 84 samples, each containing 141 measured variables, and (b) reference C21 steroidal glycoside equivalent contents by sample index. Colors distinguish spectra; A.U. denotes the recorded optical response."/>
            <wp:cNvGraphicFramePr>
              <a:graphicFrameLocks noChangeAspect="1"/>
            </wp:cNvGraphicFramePr>
            <a:graphic>
              <a:graphicData uri="http://schemas.openxmlformats.org/drawingml/2006/picture">
                <pic:pic>
                  <pic:nvPicPr>
                    <pic:cNvPr id="0" name="Figure_2.png"/>
                    <pic:cNvPicPr/>
                  </pic:nvPicPr>
                  <pic:blipFill>
                    <a:blip r:embed="rId19"/>
                    <a:stretch>
                      <a:fillRect/>
                    </a:stretch>
                  </pic:blipFill>
                  <pic:spPr>
                    <a:xfrm>
                      <a:off x="0" y="0"/>
                      <a:ext cx="4983480" cy="2270251"/>
                    </a:xfrm>
                    <a:prstGeom prst="rect"/>
                  </pic:spPr>
                </pic:pic>
              </a:graphicData>
            </a:graphic>
          </wp:inline>
        </w:drawing>
      </w:r>
    </w:p>
    <w:p>
      <w:pPr>
        <w:pStyle w:val="MDPI51figurecaption"/>
        <w:keepLines/>
        <w:widowControl/>
        <w:ind w:left="2608" w:firstLine="0"/>
      </w:pPr>
      <w:r>
        <w:rPr>
          <w:b/>
        </w:rPr>
        <w:t xml:space="preserve">Figure 2. </w:t>
      </w:r>
      <w:r>
        <w:t>Raw spectral data: (a) spectra of all 84 samples, each containing 141 measured variables, and (b) reference C21 steroidal glycoside equivalent contents by sample index. Colors distinguish spectra; A.U. denotes the recorded optical response.</w:t>
      </w:r>
    </w:p>
    <w:p>
      <w:pPr>
        <w:pStyle w:val="MDPI31text"/>
        <w:widowControl/>
      </w:pPr>
      <w:r>
        <w:t xml:space="preserve">Figure 3 and Table 2 characterize the fixed SPXY partition. The calibration and prediction means were 24.537 and 23.656 mg </w:t>
      </w:r>
      <w:r>
        <w:t>g</w:t>
      </w:r>
      <w:r>
        <w:rPr>
          <w:vertAlign w:val="superscript"/>
        </w:rPr>
        <w:t>−1</w:t>
      </w:r>
      <w:r>
        <w:t xml:space="preserve">, with standard deviations of 8.847 and 8.156 mg </w:t>
      </w:r>
      <w:r>
        <w:t>g</w:t>
      </w:r>
      <w:r>
        <w:rPr>
          <w:vertAlign w:val="superscript"/>
        </w:rPr>
        <w:t>−1</w:t>
      </w:r>
      <w:r>
        <w:t xml:space="preserve">, respectively. Calibration contents covered 11.14–45.13 mg </w:t>
      </w:r>
      <w:r>
        <w:t>g</w:t>
      </w:r>
      <w:r>
        <w:rPr>
          <w:vertAlign w:val="superscript"/>
        </w:rPr>
        <w:t>−1</w:t>
      </w:r>
      <w:r>
        <w:t xml:space="preserve">, whereas prediction contents covered 11.66–38.09 mg </w:t>
      </w:r>
      <w:r>
        <w:t>g</w:t>
      </w:r>
      <w:r>
        <w:rPr>
          <w:vertAlign w:val="superscript"/>
        </w:rPr>
        <w:t>−1</w:t>
      </w:r>
      <w:r>
        <w:t>. The prediction response range was therefore contained within the calibration range. The spectral and response distances used by SPXY place samples spanning the available joint variation in the calibration subset. Table S1 lists the sample assignments used for every subsequent comparison.</w:t>
      </w:r>
    </w:p>
    <w:p>
      <w:pPr>
        <w:pStyle w:val="MDPI41tablecaption"/>
        <w:keepNext/>
        <w:keepLines/>
        <w:widowControl/>
        <w:ind w:left="2608"/>
      </w:pPr>
      <w:r>
        <w:rPr>
          <w:b/>
        </w:rPr>
        <w:t xml:space="preserve">Table 2. </w:t>
      </w:r>
      <w:r>
        <w:t xml:space="preserve">Reference-content distributions in the SPXY calibration and prediction sets. All values except n are in mg </w:t>
      </w:r>
      <w:r>
        <w:t>g</w:t>
      </w:r>
      <w:r>
        <w:rPr>
          <w:vertAlign w:val="superscript"/>
        </w:rPr>
        <w:t>−1</w:t>
      </w:r>
      <w:r>
        <w:t>.</w:t>
      </w:r>
    </w:p>
    <w:tbl>
      <w:tblPr>
        <w:tblStyle w:val="MDPI41threelinetable"/>
        <w:tblW w:type="auto" w:w="0"/>
        <w:jc w:val="left"/>
        <w:tblLayout w:type="fixed"/>
        <w:tblLook w:firstColumn="1" w:firstRow="1" w:lastColumn="0" w:lastRow="0" w:noHBand="0" w:noVBand="1" w:val="04A0"/>
        <w:tblInd w:w="2608" w:type="dxa"/>
        <w:tblBorders>
          <w:top w:val="single" w:sz="6" w:color="000000"/>
          <w:bottom w:val="single" w:sz="6" w:color="000000"/>
          <w:left w:val="nil" w:sz="6" w:color="000000"/>
          <w:right w:val="nil" w:sz="6" w:color="000000"/>
          <w:insideH w:val="nil" w:sz="6" w:color="000000"/>
          <w:insideV w:val="nil" w:sz="6" w:color="000000"/>
        </w:tblBorders>
      </w:tblPr>
      <w:tblGrid>
        <w:gridCol w:w="2088"/>
        <w:gridCol w:w="576"/>
        <w:gridCol w:w="1296"/>
        <w:gridCol w:w="1296"/>
        <w:gridCol w:w="1296"/>
        <w:gridCol w:w="1296"/>
      </w:tblGrid>
      <w:tr>
        <w:trPr>
          <w:tblHeader/>
          <w:cantSplit/>
        </w:trPr>
        <w:tc>
          <w:tcPr>
            <w:tcW w:type="dxa" w:w="2088"/>
            <w:vAlign w:val="center"/>
            <w:tcBorders>
              <w:bottom w:val="single" w:sz="6"/>
            </w:tcBorders>
            <w:tcMar>
              <w:top w:w="35" w:type="dxa"/>
              <w:bottom w:w="35" w:type="dxa"/>
              <w:left w:w="35" w:type="dxa"/>
              <w:right w:w="35" w:type="dxa"/>
            </w:tcMar>
          </w:tcPr>
          <w:p>
            <w:pPr>
              <w:pStyle w:val="MDPI42tablebody"/>
              <w:spacing w:after="0" w:before="0"/>
              <w:ind w:left="0" w:firstLine="0"/>
              <w:jc w:val="center"/>
            </w:pPr>
            <w:r>
              <w:rPr>
                <w:b/>
                <w:sz w:val="20"/>
              </w:rPr>
              <w:t>Set</w:t>
            </w:r>
          </w:p>
        </w:tc>
        <w:tc>
          <w:tcPr>
            <w:tcW w:type="dxa" w:w="576"/>
            <w:vAlign w:val="center"/>
            <w:tcBorders>
              <w:bottom w:val="single" w:sz="6"/>
            </w:tcBorders>
            <w:tcMar>
              <w:top w:w="35" w:type="dxa"/>
              <w:bottom w:w="35" w:type="dxa"/>
              <w:left w:w="35" w:type="dxa"/>
              <w:right w:w="35" w:type="dxa"/>
            </w:tcMar>
          </w:tcPr>
          <w:p>
            <w:pPr>
              <w:pStyle w:val="MDPI42tablebody"/>
              <w:spacing w:after="0" w:before="0"/>
              <w:ind w:left="0" w:firstLine="0"/>
              <w:jc w:val="center"/>
            </w:pPr>
            <w:r>
              <w:rPr>
                <w:b/>
                <w:sz w:val="20"/>
              </w:rPr>
              <w:t>n</w:t>
            </w:r>
          </w:p>
        </w:tc>
        <w:tc>
          <w:tcPr>
            <w:tcW w:type="dxa" w:w="1296"/>
            <w:vAlign w:val="center"/>
            <w:tcBorders>
              <w:bottom w:val="single" w:sz="6"/>
            </w:tcBorders>
            <w:tcMar>
              <w:top w:w="35" w:type="dxa"/>
              <w:bottom w:w="35" w:type="dxa"/>
              <w:left w:w="35" w:type="dxa"/>
              <w:right w:w="35" w:type="dxa"/>
            </w:tcMar>
          </w:tcPr>
          <w:p>
            <w:pPr>
              <w:pStyle w:val="MDPI42tablebody"/>
              <w:spacing w:after="0" w:before="0"/>
              <w:ind w:left="0" w:firstLine="0"/>
              <w:jc w:val="center"/>
            </w:pPr>
            <w:r>
              <w:rPr>
                <w:b/>
                <w:sz w:val="20"/>
              </w:rPr>
              <w:t>Minimum</w:t>
            </w:r>
          </w:p>
        </w:tc>
        <w:tc>
          <w:tcPr>
            <w:tcW w:type="dxa" w:w="1296"/>
            <w:vAlign w:val="center"/>
            <w:tcBorders>
              <w:bottom w:val="single" w:sz="6"/>
            </w:tcBorders>
            <w:tcMar>
              <w:top w:w="35" w:type="dxa"/>
              <w:bottom w:w="35" w:type="dxa"/>
              <w:left w:w="35" w:type="dxa"/>
              <w:right w:w="35" w:type="dxa"/>
            </w:tcMar>
          </w:tcPr>
          <w:p>
            <w:pPr>
              <w:pStyle w:val="MDPI42tablebody"/>
              <w:spacing w:after="0" w:before="0"/>
              <w:ind w:left="0" w:firstLine="0"/>
              <w:jc w:val="center"/>
            </w:pPr>
            <w:r>
              <w:rPr>
                <w:b/>
                <w:sz w:val="20"/>
              </w:rPr>
              <w:t>Maximum</w:t>
            </w:r>
          </w:p>
        </w:tc>
        <w:tc>
          <w:tcPr>
            <w:tcW w:type="dxa" w:w="1296"/>
            <w:vAlign w:val="center"/>
            <w:tcBorders>
              <w:bottom w:val="single" w:sz="6"/>
            </w:tcBorders>
            <w:tcMar>
              <w:top w:w="35" w:type="dxa"/>
              <w:bottom w:w="35" w:type="dxa"/>
              <w:left w:w="35" w:type="dxa"/>
              <w:right w:w="35" w:type="dxa"/>
            </w:tcMar>
          </w:tcPr>
          <w:p>
            <w:pPr>
              <w:pStyle w:val="MDPI42tablebody"/>
              <w:spacing w:after="0" w:before="0"/>
              <w:ind w:left="0" w:firstLine="0"/>
              <w:jc w:val="center"/>
            </w:pPr>
            <w:r>
              <w:rPr>
                <w:b/>
                <w:sz w:val="20"/>
              </w:rPr>
              <w:t>Mean</w:t>
            </w:r>
          </w:p>
        </w:tc>
        <w:tc>
          <w:tcPr>
            <w:tcW w:type="dxa" w:w="1296"/>
            <w:vAlign w:val="center"/>
            <w:tcBorders>
              <w:bottom w:val="single" w:sz="6"/>
            </w:tcBorders>
            <w:tcMar>
              <w:top w:w="35" w:type="dxa"/>
              <w:bottom w:w="35" w:type="dxa"/>
              <w:left w:w="35" w:type="dxa"/>
              <w:right w:w="35" w:type="dxa"/>
            </w:tcMar>
          </w:tcPr>
          <w:p>
            <w:pPr>
              <w:pStyle w:val="MDPI42tablebody"/>
              <w:spacing w:after="0" w:before="0"/>
              <w:ind w:left="0" w:firstLine="0"/>
              <w:jc w:val="center"/>
            </w:pPr>
            <w:r>
              <w:rPr>
                <w:b/>
                <w:sz w:val="20"/>
              </w:rPr>
              <w:t>SD</w:t>
            </w:r>
          </w:p>
        </w:tc>
      </w:tr>
      <w:tr>
        <w:trPr>
          <w:cantSplit/>
        </w:trPr>
        <w:tc>
          <w:tcPr>
            <w:tcW w:type="dxa" w:w="2088"/>
            <w:vAlign w:val="center"/>
            <w:tcMar>
              <w:top w:w="35" w:type="dxa"/>
              <w:bottom w:w="35" w:type="dxa"/>
              <w:left w:w="35" w:type="dxa"/>
              <w:right w:w="35" w:type="dxa"/>
            </w:tcMar>
          </w:tcPr>
          <w:p>
            <w:pPr>
              <w:pStyle w:val="MDPI42tablebody"/>
              <w:spacing w:after="0" w:before="0"/>
              <w:ind w:left="0" w:firstLine="0"/>
              <w:jc w:val="center"/>
            </w:pPr>
            <w:r>
              <w:rPr>
                <w:b w:val="0"/>
                <w:sz w:val="20"/>
              </w:rPr>
              <w:t>Calibration</w:t>
            </w:r>
          </w:p>
        </w:tc>
        <w:tc>
          <w:tcPr>
            <w:tcW w:type="dxa" w:w="576"/>
            <w:vAlign w:val="center"/>
            <w:tcMar>
              <w:top w:w="35" w:type="dxa"/>
              <w:bottom w:w="35" w:type="dxa"/>
              <w:left w:w="35" w:type="dxa"/>
              <w:right w:w="35" w:type="dxa"/>
            </w:tcMar>
          </w:tcPr>
          <w:p>
            <w:pPr>
              <w:pStyle w:val="MDPI42tablebody"/>
              <w:spacing w:after="0" w:before="0"/>
              <w:ind w:left="0" w:firstLine="0"/>
              <w:jc w:val="center"/>
            </w:pPr>
            <w:r>
              <w:rPr>
                <w:b w:val="0"/>
                <w:sz w:val="20"/>
              </w:rPr>
              <w:t>63</w:t>
            </w:r>
          </w:p>
        </w:tc>
        <w:tc>
          <w:tcPr>
            <w:tcW w:type="dxa" w:w="1296"/>
            <w:vAlign w:val="center"/>
            <w:tcMar>
              <w:top w:w="35" w:type="dxa"/>
              <w:bottom w:w="35" w:type="dxa"/>
              <w:left w:w="35" w:type="dxa"/>
              <w:right w:w="35" w:type="dxa"/>
            </w:tcMar>
          </w:tcPr>
          <w:p>
            <w:pPr>
              <w:pStyle w:val="MDPI42tablebody"/>
              <w:spacing w:after="0" w:before="0"/>
              <w:ind w:left="0" w:firstLine="0"/>
              <w:jc w:val="center"/>
            </w:pPr>
            <w:r>
              <w:rPr>
                <w:b w:val="0"/>
                <w:sz w:val="20"/>
              </w:rPr>
              <w:t>11.140</w:t>
            </w:r>
          </w:p>
        </w:tc>
        <w:tc>
          <w:tcPr>
            <w:tcW w:type="dxa" w:w="1296"/>
            <w:vAlign w:val="center"/>
            <w:tcMar>
              <w:top w:w="35" w:type="dxa"/>
              <w:bottom w:w="35" w:type="dxa"/>
              <w:left w:w="35" w:type="dxa"/>
              <w:right w:w="35" w:type="dxa"/>
            </w:tcMar>
          </w:tcPr>
          <w:p>
            <w:pPr>
              <w:pStyle w:val="MDPI42tablebody"/>
              <w:spacing w:after="0" w:before="0"/>
              <w:ind w:left="0" w:firstLine="0"/>
              <w:jc w:val="center"/>
            </w:pPr>
            <w:r>
              <w:rPr>
                <w:b w:val="0"/>
                <w:sz w:val="20"/>
              </w:rPr>
              <w:t>45.130</w:t>
            </w:r>
          </w:p>
        </w:tc>
        <w:tc>
          <w:tcPr>
            <w:tcW w:type="dxa" w:w="1296"/>
            <w:vAlign w:val="center"/>
            <w:tcMar>
              <w:top w:w="35" w:type="dxa"/>
              <w:bottom w:w="35" w:type="dxa"/>
              <w:left w:w="35" w:type="dxa"/>
              <w:right w:w="35" w:type="dxa"/>
            </w:tcMar>
          </w:tcPr>
          <w:p>
            <w:pPr>
              <w:pStyle w:val="MDPI42tablebody"/>
              <w:spacing w:after="0" w:before="0"/>
              <w:ind w:left="0" w:firstLine="0"/>
              <w:jc w:val="center"/>
            </w:pPr>
            <w:r>
              <w:rPr>
                <w:b w:val="0"/>
                <w:sz w:val="20"/>
              </w:rPr>
              <w:t>24.537</w:t>
            </w:r>
          </w:p>
        </w:tc>
        <w:tc>
          <w:tcPr>
            <w:tcW w:type="dxa" w:w="1296"/>
            <w:vAlign w:val="center"/>
            <w:tcMar>
              <w:top w:w="35" w:type="dxa"/>
              <w:bottom w:w="35" w:type="dxa"/>
              <w:left w:w="35" w:type="dxa"/>
              <w:right w:w="35" w:type="dxa"/>
            </w:tcMar>
          </w:tcPr>
          <w:p>
            <w:pPr>
              <w:pStyle w:val="MDPI42tablebody"/>
              <w:spacing w:after="0" w:before="0"/>
              <w:ind w:left="0" w:firstLine="0"/>
              <w:jc w:val="center"/>
            </w:pPr>
            <w:r>
              <w:rPr>
                <w:b w:val="0"/>
                <w:sz w:val="20"/>
              </w:rPr>
              <w:t>8.847</w:t>
            </w:r>
          </w:p>
        </w:tc>
      </w:tr>
      <w:tr>
        <w:trPr>
          <w:cantSplit/>
        </w:trPr>
        <w:tc>
          <w:tcPr>
            <w:tcW w:type="dxa" w:w="2088"/>
            <w:vAlign w:val="center"/>
            <w:tcMar>
              <w:top w:w="35" w:type="dxa"/>
              <w:bottom w:w="35" w:type="dxa"/>
              <w:left w:w="35" w:type="dxa"/>
              <w:right w:w="35" w:type="dxa"/>
            </w:tcMar>
          </w:tcPr>
          <w:p>
            <w:pPr>
              <w:pStyle w:val="MDPI42tablebody"/>
              <w:spacing w:after="0" w:before="0"/>
              <w:ind w:left="0" w:firstLine="0"/>
              <w:jc w:val="center"/>
            </w:pPr>
            <w:r>
              <w:rPr>
                <w:b w:val="0"/>
                <w:sz w:val="20"/>
              </w:rPr>
              <w:t>Prediction</w:t>
            </w:r>
          </w:p>
        </w:tc>
        <w:tc>
          <w:tcPr>
            <w:tcW w:type="dxa" w:w="576"/>
            <w:vAlign w:val="center"/>
            <w:tcMar>
              <w:top w:w="35" w:type="dxa"/>
              <w:bottom w:w="35" w:type="dxa"/>
              <w:left w:w="35" w:type="dxa"/>
              <w:right w:w="35" w:type="dxa"/>
            </w:tcMar>
          </w:tcPr>
          <w:p>
            <w:pPr>
              <w:pStyle w:val="MDPI42tablebody"/>
              <w:spacing w:after="0" w:before="0"/>
              <w:ind w:left="0" w:firstLine="0"/>
              <w:jc w:val="center"/>
            </w:pPr>
            <w:r>
              <w:rPr>
                <w:b w:val="0"/>
                <w:sz w:val="20"/>
              </w:rPr>
              <w:t>21</w:t>
            </w:r>
          </w:p>
        </w:tc>
        <w:tc>
          <w:tcPr>
            <w:tcW w:type="dxa" w:w="1296"/>
            <w:vAlign w:val="center"/>
            <w:tcMar>
              <w:top w:w="35" w:type="dxa"/>
              <w:bottom w:w="35" w:type="dxa"/>
              <w:left w:w="35" w:type="dxa"/>
              <w:right w:w="35" w:type="dxa"/>
            </w:tcMar>
          </w:tcPr>
          <w:p>
            <w:pPr>
              <w:pStyle w:val="MDPI42tablebody"/>
              <w:spacing w:after="0" w:before="0"/>
              <w:ind w:left="0" w:firstLine="0"/>
              <w:jc w:val="center"/>
            </w:pPr>
            <w:r>
              <w:rPr>
                <w:b w:val="0"/>
                <w:sz w:val="20"/>
              </w:rPr>
              <w:t>11.660</w:t>
            </w:r>
          </w:p>
        </w:tc>
        <w:tc>
          <w:tcPr>
            <w:tcW w:type="dxa" w:w="1296"/>
            <w:vAlign w:val="center"/>
            <w:tcMar>
              <w:top w:w="35" w:type="dxa"/>
              <w:bottom w:w="35" w:type="dxa"/>
              <w:left w:w="35" w:type="dxa"/>
              <w:right w:w="35" w:type="dxa"/>
            </w:tcMar>
          </w:tcPr>
          <w:p>
            <w:pPr>
              <w:pStyle w:val="MDPI42tablebody"/>
              <w:spacing w:after="0" w:before="0"/>
              <w:ind w:left="0" w:firstLine="0"/>
              <w:jc w:val="center"/>
            </w:pPr>
            <w:r>
              <w:rPr>
                <w:b w:val="0"/>
                <w:sz w:val="20"/>
              </w:rPr>
              <w:t>38.090</w:t>
            </w:r>
          </w:p>
        </w:tc>
        <w:tc>
          <w:tcPr>
            <w:tcW w:type="dxa" w:w="1296"/>
            <w:vAlign w:val="center"/>
            <w:tcMar>
              <w:top w:w="35" w:type="dxa"/>
              <w:bottom w:w="35" w:type="dxa"/>
              <w:left w:w="35" w:type="dxa"/>
              <w:right w:w="35" w:type="dxa"/>
            </w:tcMar>
          </w:tcPr>
          <w:p>
            <w:pPr>
              <w:pStyle w:val="MDPI42tablebody"/>
              <w:spacing w:after="0" w:before="0"/>
              <w:ind w:left="0" w:firstLine="0"/>
              <w:jc w:val="center"/>
            </w:pPr>
            <w:r>
              <w:rPr>
                <w:b w:val="0"/>
                <w:sz w:val="20"/>
              </w:rPr>
              <w:t>23.656</w:t>
            </w:r>
          </w:p>
        </w:tc>
        <w:tc>
          <w:tcPr>
            <w:tcW w:type="dxa" w:w="1296"/>
            <w:vAlign w:val="center"/>
            <w:tcMar>
              <w:top w:w="35" w:type="dxa"/>
              <w:bottom w:w="35" w:type="dxa"/>
              <w:left w:w="35" w:type="dxa"/>
              <w:right w:w="35" w:type="dxa"/>
            </w:tcMar>
          </w:tcPr>
          <w:p>
            <w:pPr>
              <w:pStyle w:val="MDPI42tablebody"/>
              <w:spacing w:after="0" w:before="0"/>
              <w:ind w:left="0" w:firstLine="0"/>
              <w:jc w:val="center"/>
            </w:pPr>
            <w:r>
              <w:rPr>
                <w:b w:val="0"/>
                <w:sz w:val="20"/>
              </w:rPr>
              <w:t>8.156</w:t>
            </w:r>
          </w:p>
        </w:tc>
      </w:tr>
    </w:tbl>
    <w:p>
      <w:pPr>
        <w:pStyle w:val="MDPI52figure"/>
        <w:keepNext/>
        <w:widowControl/>
        <w:ind w:left="2608" w:firstLine="0"/>
        <w:jc w:val="center"/>
      </w:pPr>
      <w:r>
        <w:drawing>
          <wp:inline xmlns:a="http://schemas.openxmlformats.org/drawingml/2006/main" xmlns:pic="http://schemas.openxmlformats.org/drawingml/2006/picture">
            <wp:extent cx="4983480" cy="3709924"/>
            <wp:docPr id="3" name="Picture 3" descr="Characteristics of the SPXY partition: (a) reference-content distributions, (b) density histograms, (c) principal-component scores and (d) reference-content ranges and means for the calibration (n = 63) and prediction (n = 21) sets. PCA is fitted to calibration spectra and used only to display the frozen partition; SPXY uses the normalized Euclidean spectral and reference-content distances across all 141 raw spectral variables."/>
            <wp:cNvGraphicFramePr>
              <a:graphicFrameLocks noChangeAspect="1"/>
            </wp:cNvGraphicFramePr>
            <a:graphic>
              <a:graphicData uri="http://schemas.openxmlformats.org/drawingml/2006/picture">
                <pic:pic>
                  <pic:nvPicPr>
                    <pic:cNvPr id="0" name="Figure_3.png"/>
                    <pic:cNvPicPr/>
                  </pic:nvPicPr>
                  <pic:blipFill>
                    <a:blip r:embed="rId20"/>
                    <a:stretch>
                      <a:fillRect/>
                    </a:stretch>
                  </pic:blipFill>
                  <pic:spPr>
                    <a:xfrm>
                      <a:off x="0" y="0"/>
                      <a:ext cx="4983480" cy="3709924"/>
                    </a:xfrm>
                    <a:prstGeom prst="rect"/>
                  </pic:spPr>
                </pic:pic>
              </a:graphicData>
            </a:graphic>
          </wp:inline>
        </w:drawing>
      </w:r>
    </w:p>
    <w:p>
      <w:pPr>
        <w:pStyle w:val="MDPI51figurecaption"/>
        <w:keepLines/>
        <w:widowControl/>
        <w:ind w:left="2608" w:firstLine="0"/>
      </w:pPr>
      <w:r>
        <w:rPr>
          <w:b/>
        </w:rPr>
        <w:t xml:space="preserve">Figure 3. </w:t>
      </w:r>
      <w:r>
        <w:t>Characteristics of the SPXY partition: (a) reference-content distributions, (b) density histograms, (c) principal-component scores and (d) reference-content ranges and means for the calibration (n = 63) and prediction (n = 21) sets. PCA is fitted to calibration spectra and used only to display the frozen partition; SPXY uses the normalized Euclidean spectral and reference-content distances across all 141 raw spectral variables.</w:t>
      </w:r>
    </w:p>
    <w:p>
      <w:pPr>
        <w:pStyle w:val="MDPI22heading2"/>
        <w:keepNext/>
        <w:widowControl/>
      </w:pPr>
      <w:r>
        <w:t>4.2. Preprocessing performance</w:t>
      </w:r>
    </w:p>
    <w:p>
      <w:pPr>
        <w:pStyle w:val="MDPI31text"/>
        <w:widowControl/>
      </w:pPr>
      <w:r>
        <w:t xml:space="preserve">Figure 4 and Table 3 compare full-spectrum PLS after the five preprocessing methods and with untreated spectra. The second derivative gave the lowest tuning RMSECV, 3.863 mg </w:t>
      </w:r>
      <w:r>
        <w:t>g</w:t>
      </w:r>
      <w:r>
        <w:rPr>
          <w:vertAlign w:val="superscript"/>
        </w:rPr>
        <w:t>−1</w:t>
      </w:r>
      <w:r>
        <w:t xml:space="preserve">, using five LVs. Untreated spectra required seven LVs and gave RMSECV of 4.234 mg </w:t>
      </w:r>
      <w:r>
        <w:t>g</w:t>
      </w:r>
      <w:r>
        <w:rPr>
          <w:vertAlign w:val="superscript"/>
        </w:rPr>
        <w:t>−1</w:t>
      </w:r>
      <w:r>
        <w:t xml:space="preserve">. D2 reduced this tuning error by 8.8% and gave RMSEP of 2.897 mg </w:t>
      </w:r>
      <w:r>
        <w:t>g</w:t>
      </w:r>
      <w:r>
        <w:rPr>
          <w:vertAlign w:val="superscript"/>
        </w:rPr>
        <w:t>−1</w:t>
      </w:r>
      <w:r>
        <w:t xml:space="preserve">, compared with 3.164 mg </w:t>
      </w:r>
      <w:r>
        <w:t>g</w:t>
      </w:r>
      <w:r>
        <w:rPr>
          <w:vertAlign w:val="superscript"/>
        </w:rPr>
        <w:t>−1</w:t>
      </w:r>
      <w:r>
        <w:t xml:space="preserve"> for untreated spectra.</w:t>
      </w:r>
    </w:p>
    <w:p>
      <w:pPr>
        <w:pStyle w:val="MDPI31text"/>
        <w:widowControl/>
      </w:pPr>
      <w:r>
        <w:t xml:space="preserve">MSC and SNV gave similar tuning errors, 3.966 and 3.965 mg </w:t>
      </w:r>
      <w:r>
        <w:t>g</w:t>
      </w:r>
      <w:r>
        <w:rPr>
          <w:vertAlign w:val="superscript"/>
        </w:rPr>
        <w:t>−1</w:t>
      </w:r>
      <w:r>
        <w:t xml:space="preserve">, and prediction errors of approximately 3.176 mg </w:t>
      </w:r>
      <w:r>
        <w:t>g</w:t>
      </w:r>
      <w:r>
        <w:rPr>
          <w:vertAlign w:val="superscript"/>
        </w:rPr>
        <w:t>−1</w:t>
      </w:r>
      <w:r>
        <w:t xml:space="preserve">. D1 gave RMSEP of 3.001 mg </w:t>
      </w:r>
      <w:r>
        <w:t>g</w:t>
      </w:r>
      <w:r>
        <w:rPr>
          <w:vertAlign w:val="superscript"/>
        </w:rPr>
        <w:t>−1</w:t>
      </w:r>
      <w:r>
        <w:t xml:space="preserve">, while CWT gave 3.313 mg </w:t>
      </w:r>
      <w:r>
        <w:t>g</w:t>
      </w:r>
      <w:r>
        <w:rPr>
          <w:vertAlign w:val="superscript"/>
        </w:rPr>
        <w:t>−1</w:t>
      </w:r>
      <w:r>
        <w:t>. The derivative transformation was thus more effective than the chosen scatter corrections and wavelet setting in the present full-spectrum comparison. The selected preprocessing was retained for every variable-selection comparison on the basis of its calibration RMSECV. The result applies to the specified parameter settings and SPXY partition.</w:t>
      </w:r>
    </w:p>
    <w:p>
      <w:pPr>
        <w:pStyle w:val="MDPI41tablecaption"/>
        <w:keepNext/>
        <w:keepLines/>
        <w:widowControl/>
        <w:ind w:left="2608"/>
      </w:pPr>
      <w:r>
        <w:rPr>
          <w:b/>
        </w:rPr>
        <w:t xml:space="preserve">Table 3. </w:t>
      </w:r>
      <w:r>
        <w:t>Full-spectrum PLS under each preprocessing condition. Model selection used calibration tuning RMSECV.</w:t>
      </w:r>
    </w:p>
    <w:tbl>
      <w:tblPr>
        <w:tblStyle w:val="MDPI41threelinetable"/>
        <w:tblW w:type="auto" w:w="0"/>
        <w:jc w:val="left"/>
        <w:tblLayout w:type="fixed"/>
        <w:tblLook w:firstColumn="1" w:firstRow="1" w:lastColumn="0" w:lastRow="0" w:noHBand="0" w:noVBand="1" w:val="04A0"/>
        <w:tblInd w:w="2608" w:type="dxa"/>
        <w:tblBorders>
          <w:top w:val="single" w:sz="6" w:color="000000"/>
          <w:bottom w:val="single" w:sz="6" w:color="000000"/>
          <w:left w:val="nil" w:sz="6" w:color="000000"/>
          <w:right w:val="nil" w:sz="6" w:color="000000"/>
          <w:insideH w:val="nil" w:sz="6" w:color="000000"/>
          <w:insideV w:val="nil" w:sz="6" w:color="000000"/>
        </w:tblBorders>
      </w:tblPr>
      <w:tblGrid>
        <w:gridCol w:w="1980"/>
        <w:gridCol w:w="587"/>
        <w:gridCol w:w="1467"/>
        <w:gridCol w:w="1467"/>
        <w:gridCol w:w="1174"/>
        <w:gridCol w:w="1174"/>
      </w:tblGrid>
      <w:tr>
        <w:trPr>
          <w:tblHeader/>
          <w:cantSplit/>
        </w:trPr>
        <w:tc>
          <w:tcPr>
            <w:tcW w:type="dxa" w:w="1980"/>
            <w:vAlign w:val="center"/>
            <w:tcBorders>
              <w:bottom w:val="single" w:sz="6"/>
            </w:tcBorders>
            <w:tcMar>
              <w:top w:w="35" w:type="dxa"/>
              <w:bottom w:w="35" w:type="dxa"/>
              <w:left w:w="35" w:type="dxa"/>
              <w:right w:w="35" w:type="dxa"/>
            </w:tcMar>
          </w:tcPr>
          <w:p>
            <w:pPr>
              <w:pStyle w:val="MDPI42tablebody"/>
              <w:spacing w:after="0" w:before="0"/>
              <w:ind w:left="0" w:firstLine="0"/>
              <w:jc w:val="center"/>
            </w:pPr>
            <w:r>
              <w:rPr>
                <w:b/>
                <w:sz w:val="20"/>
              </w:rPr>
              <w:t>Preprocessing</w:t>
            </w:r>
          </w:p>
        </w:tc>
        <w:tc>
          <w:tcPr>
            <w:tcW w:type="dxa" w:w="587"/>
            <w:vAlign w:val="center"/>
            <w:tcBorders>
              <w:bottom w:val="single" w:sz="6"/>
            </w:tcBorders>
            <w:tcMar>
              <w:top w:w="35" w:type="dxa"/>
              <w:bottom w:w="35" w:type="dxa"/>
              <w:left w:w="35" w:type="dxa"/>
              <w:right w:w="35" w:type="dxa"/>
            </w:tcMar>
          </w:tcPr>
          <w:p>
            <w:pPr>
              <w:pStyle w:val="MDPI42tablebody"/>
              <w:spacing w:after="0" w:before="0"/>
              <w:ind w:left="0" w:firstLine="0"/>
              <w:jc w:val="center"/>
            </w:pPr>
            <w:r>
              <w:rPr>
                <w:b/>
                <w:sz w:val="20"/>
              </w:rPr>
              <w:t>LV</w:t>
            </w:r>
          </w:p>
        </w:tc>
        <w:tc>
          <w:tcPr>
            <w:tcW w:type="dxa" w:w="1467"/>
            <w:vAlign w:val="center"/>
            <w:tcBorders>
              <w:bottom w:val="single" w:sz="6"/>
            </w:tcBorders>
            <w:tcMar>
              <w:top w:w="35" w:type="dxa"/>
              <w:bottom w:w="35" w:type="dxa"/>
              <w:left w:w="35" w:type="dxa"/>
              <w:right w:w="35" w:type="dxa"/>
            </w:tcMar>
          </w:tcPr>
          <w:p>
            <w:pPr>
              <w:pStyle w:val="MDPI42tablebody"/>
              <w:spacing w:after="0" w:before="0"/>
              <w:ind w:left="0" w:firstLine="0"/>
              <w:jc w:val="center"/>
            </w:pPr>
            <w:r>
              <w:rPr>
                <w:b/>
                <w:sz w:val="20"/>
              </w:rPr>
              <w:t>RMSECV</w:t>
            </w:r>
          </w:p>
        </w:tc>
        <w:tc>
          <w:tcPr>
            <w:tcW w:type="dxa" w:w="1467"/>
            <w:vAlign w:val="center"/>
            <w:tcBorders>
              <w:bottom w:val="single" w:sz="6"/>
            </w:tcBorders>
            <w:tcMar>
              <w:top w:w="35" w:type="dxa"/>
              <w:bottom w:w="35" w:type="dxa"/>
              <w:left w:w="35" w:type="dxa"/>
              <w:right w:w="35" w:type="dxa"/>
            </w:tcMar>
          </w:tcPr>
          <w:p>
            <w:pPr>
              <w:pStyle w:val="MDPI42tablebody"/>
              <w:spacing w:after="0" w:before="0"/>
              <w:ind w:left="0" w:firstLine="0"/>
              <w:jc w:val="center"/>
            </w:pPr>
            <w:r>
              <w:rPr>
                <w:b/>
                <w:sz w:val="20"/>
              </w:rPr>
              <w:t>RMSEP</w:t>
            </w:r>
          </w:p>
        </w:tc>
        <w:tc>
          <w:tcPr>
            <w:tcW w:type="dxa" w:w="1174"/>
            <w:vAlign w:val="center"/>
            <w:tcBorders>
              <w:bottom w:val="single" w:sz="6"/>
            </w:tcBorders>
            <w:tcMar>
              <w:top w:w="35" w:type="dxa"/>
              <w:bottom w:w="35" w:type="dxa"/>
              <w:left w:w="35" w:type="dxa"/>
              <w:right w:w="35" w:type="dxa"/>
            </w:tcMar>
          </w:tcPr>
          <w:p>
            <w:pPr>
              <w:pStyle w:val="MDPI42tablebody"/>
              <w:spacing w:after="0" w:before="0"/>
              <w:ind w:left="0" w:firstLine="0"/>
              <w:jc w:val="center"/>
            </w:pPr>
            <w:r>
              <w:rPr>
                <w:b/>
                <w:sz w:val="20"/>
              </w:rPr>
              <w:t>R²p</w:t>
            </w:r>
          </w:p>
        </w:tc>
        <w:tc>
          <w:tcPr>
            <w:tcW w:type="dxa" w:w="1174"/>
            <w:vAlign w:val="center"/>
            <w:tcBorders>
              <w:bottom w:val="single" w:sz="6"/>
            </w:tcBorders>
            <w:tcMar>
              <w:top w:w="35" w:type="dxa"/>
              <w:bottom w:w="35" w:type="dxa"/>
              <w:left w:w="35" w:type="dxa"/>
              <w:right w:w="35" w:type="dxa"/>
            </w:tcMar>
          </w:tcPr>
          <w:p>
            <w:pPr>
              <w:pStyle w:val="MDPI42tablebody"/>
              <w:spacing w:after="0" w:before="0"/>
              <w:ind w:left="0" w:firstLine="0"/>
              <w:jc w:val="center"/>
            </w:pPr>
            <w:r>
              <w:rPr>
                <w:b/>
                <w:sz w:val="20"/>
              </w:rPr>
              <w:t>RPD</w:t>
            </w:r>
          </w:p>
        </w:tc>
      </w:tr>
      <w:tr>
        <w:trPr>
          <w:cantSplit/>
        </w:trPr>
        <w:tc>
          <w:tcPr>
            <w:tcW w:type="dxa" w:w="1980"/>
            <w:vAlign w:val="center"/>
            <w:tcMar>
              <w:top w:w="35" w:type="dxa"/>
              <w:bottom w:w="35" w:type="dxa"/>
              <w:left w:w="35" w:type="dxa"/>
              <w:right w:w="35" w:type="dxa"/>
            </w:tcMar>
          </w:tcPr>
          <w:p>
            <w:pPr>
              <w:pStyle w:val="MDPI42tablebody"/>
              <w:spacing w:after="0" w:before="0"/>
              <w:ind w:left="0" w:firstLine="0"/>
              <w:jc w:val="center"/>
            </w:pPr>
            <w:r>
              <w:rPr>
                <w:b w:val="0"/>
                <w:sz w:val="20"/>
              </w:rPr>
              <w:t>Raw</w:t>
            </w:r>
          </w:p>
        </w:tc>
        <w:tc>
          <w:tcPr>
            <w:tcW w:type="dxa" w:w="587"/>
            <w:vAlign w:val="center"/>
            <w:tcMar>
              <w:top w:w="35" w:type="dxa"/>
              <w:bottom w:w="35" w:type="dxa"/>
              <w:left w:w="35" w:type="dxa"/>
              <w:right w:w="35" w:type="dxa"/>
            </w:tcMar>
          </w:tcPr>
          <w:p>
            <w:pPr>
              <w:pStyle w:val="MDPI42tablebody"/>
              <w:spacing w:after="0" w:before="0"/>
              <w:ind w:left="0" w:firstLine="0"/>
              <w:jc w:val="center"/>
            </w:pPr>
            <w:r>
              <w:rPr>
                <w:b w:val="0"/>
                <w:sz w:val="20"/>
              </w:rPr>
              <w:t>7</w:t>
            </w:r>
          </w:p>
        </w:tc>
        <w:tc>
          <w:tcPr>
            <w:tcW w:type="dxa" w:w="1467"/>
            <w:vAlign w:val="center"/>
            <w:tcMar>
              <w:top w:w="35" w:type="dxa"/>
              <w:bottom w:w="35" w:type="dxa"/>
              <w:left w:w="35" w:type="dxa"/>
              <w:right w:w="35" w:type="dxa"/>
            </w:tcMar>
          </w:tcPr>
          <w:p>
            <w:pPr>
              <w:pStyle w:val="MDPI42tablebody"/>
              <w:spacing w:after="0" w:before="0"/>
              <w:ind w:left="0" w:firstLine="0"/>
              <w:jc w:val="center"/>
            </w:pPr>
            <w:r>
              <w:rPr>
                <w:b w:val="0"/>
                <w:sz w:val="20"/>
              </w:rPr>
              <w:t>4.234</w:t>
            </w:r>
          </w:p>
        </w:tc>
        <w:tc>
          <w:tcPr>
            <w:tcW w:type="dxa" w:w="1467"/>
            <w:vAlign w:val="center"/>
            <w:tcMar>
              <w:top w:w="35" w:type="dxa"/>
              <w:bottom w:w="35" w:type="dxa"/>
              <w:left w:w="35" w:type="dxa"/>
              <w:right w:w="35" w:type="dxa"/>
            </w:tcMar>
          </w:tcPr>
          <w:p>
            <w:pPr>
              <w:pStyle w:val="MDPI42tablebody"/>
              <w:spacing w:after="0" w:before="0"/>
              <w:ind w:left="0" w:firstLine="0"/>
              <w:jc w:val="center"/>
            </w:pPr>
            <w:r>
              <w:rPr>
                <w:b w:val="0"/>
                <w:sz w:val="20"/>
              </w:rPr>
              <w:t>3.164</w:t>
            </w:r>
          </w:p>
        </w:tc>
        <w:tc>
          <w:tcPr>
            <w:tcW w:type="dxa" w:w="1174"/>
            <w:vAlign w:val="center"/>
            <w:tcMar>
              <w:top w:w="35" w:type="dxa"/>
              <w:bottom w:w="35" w:type="dxa"/>
              <w:left w:w="35" w:type="dxa"/>
              <w:right w:w="35" w:type="dxa"/>
            </w:tcMar>
          </w:tcPr>
          <w:p>
            <w:pPr>
              <w:pStyle w:val="MDPI42tablebody"/>
              <w:spacing w:after="0" w:before="0"/>
              <w:ind w:left="0" w:firstLine="0"/>
              <w:jc w:val="center"/>
            </w:pPr>
            <w:r>
              <w:rPr>
                <w:b w:val="0"/>
                <w:sz w:val="20"/>
              </w:rPr>
              <w:t>0.842</w:t>
            </w:r>
          </w:p>
        </w:tc>
        <w:tc>
          <w:tcPr>
            <w:tcW w:type="dxa" w:w="1174"/>
            <w:vAlign w:val="center"/>
            <w:tcMar>
              <w:top w:w="35" w:type="dxa"/>
              <w:bottom w:w="35" w:type="dxa"/>
              <w:left w:w="35" w:type="dxa"/>
              <w:right w:w="35" w:type="dxa"/>
            </w:tcMar>
          </w:tcPr>
          <w:p>
            <w:pPr>
              <w:pStyle w:val="MDPI42tablebody"/>
              <w:spacing w:after="0" w:before="0"/>
              <w:ind w:left="0" w:firstLine="0"/>
              <w:jc w:val="center"/>
            </w:pPr>
            <w:r>
              <w:rPr>
                <w:b w:val="0"/>
                <w:sz w:val="20"/>
              </w:rPr>
              <w:t>2.578</w:t>
            </w:r>
          </w:p>
        </w:tc>
      </w:tr>
      <w:tr>
        <w:trPr>
          <w:cantSplit/>
        </w:trPr>
        <w:tc>
          <w:tcPr>
            <w:tcW w:type="dxa" w:w="1980"/>
            <w:vAlign w:val="center"/>
            <w:tcMar>
              <w:top w:w="35" w:type="dxa"/>
              <w:bottom w:w="35" w:type="dxa"/>
              <w:left w:w="35" w:type="dxa"/>
              <w:right w:w="35" w:type="dxa"/>
            </w:tcMar>
          </w:tcPr>
          <w:p>
            <w:pPr>
              <w:pStyle w:val="MDPI42tablebody"/>
              <w:spacing w:after="0" w:before="0"/>
              <w:ind w:left="0" w:firstLine="0"/>
              <w:jc w:val="center"/>
            </w:pPr>
            <w:r>
              <w:rPr>
                <w:b w:val="0"/>
                <w:sz w:val="20"/>
              </w:rPr>
              <w:t>MSC</w:t>
            </w:r>
          </w:p>
        </w:tc>
        <w:tc>
          <w:tcPr>
            <w:tcW w:type="dxa" w:w="587"/>
            <w:vAlign w:val="center"/>
            <w:tcMar>
              <w:top w:w="35" w:type="dxa"/>
              <w:bottom w:w="35" w:type="dxa"/>
              <w:left w:w="35" w:type="dxa"/>
              <w:right w:w="35" w:type="dxa"/>
            </w:tcMar>
          </w:tcPr>
          <w:p>
            <w:pPr>
              <w:pStyle w:val="MDPI42tablebody"/>
              <w:spacing w:after="0" w:before="0"/>
              <w:ind w:left="0" w:firstLine="0"/>
              <w:jc w:val="center"/>
            </w:pPr>
            <w:r>
              <w:rPr>
                <w:b w:val="0"/>
                <w:sz w:val="20"/>
              </w:rPr>
              <w:t>5</w:t>
            </w:r>
          </w:p>
        </w:tc>
        <w:tc>
          <w:tcPr>
            <w:tcW w:type="dxa" w:w="1467"/>
            <w:vAlign w:val="center"/>
            <w:tcMar>
              <w:top w:w="35" w:type="dxa"/>
              <w:bottom w:w="35" w:type="dxa"/>
              <w:left w:w="35" w:type="dxa"/>
              <w:right w:w="35" w:type="dxa"/>
            </w:tcMar>
          </w:tcPr>
          <w:p>
            <w:pPr>
              <w:pStyle w:val="MDPI42tablebody"/>
              <w:spacing w:after="0" w:before="0"/>
              <w:ind w:left="0" w:firstLine="0"/>
              <w:jc w:val="center"/>
            </w:pPr>
            <w:r>
              <w:rPr>
                <w:b w:val="0"/>
                <w:sz w:val="20"/>
              </w:rPr>
              <w:t>3.966</w:t>
            </w:r>
          </w:p>
        </w:tc>
        <w:tc>
          <w:tcPr>
            <w:tcW w:type="dxa" w:w="1467"/>
            <w:vAlign w:val="center"/>
            <w:tcMar>
              <w:top w:w="35" w:type="dxa"/>
              <w:bottom w:w="35" w:type="dxa"/>
              <w:left w:w="35" w:type="dxa"/>
              <w:right w:w="35" w:type="dxa"/>
            </w:tcMar>
          </w:tcPr>
          <w:p>
            <w:pPr>
              <w:pStyle w:val="MDPI42tablebody"/>
              <w:spacing w:after="0" w:before="0"/>
              <w:ind w:left="0" w:firstLine="0"/>
              <w:jc w:val="center"/>
            </w:pPr>
            <w:r>
              <w:rPr>
                <w:b w:val="0"/>
                <w:sz w:val="20"/>
              </w:rPr>
              <w:t>3.176</w:t>
            </w:r>
          </w:p>
        </w:tc>
        <w:tc>
          <w:tcPr>
            <w:tcW w:type="dxa" w:w="1174"/>
            <w:vAlign w:val="center"/>
            <w:tcMar>
              <w:top w:w="35" w:type="dxa"/>
              <w:bottom w:w="35" w:type="dxa"/>
              <w:left w:w="35" w:type="dxa"/>
              <w:right w:w="35" w:type="dxa"/>
            </w:tcMar>
          </w:tcPr>
          <w:p>
            <w:pPr>
              <w:pStyle w:val="MDPI42tablebody"/>
              <w:spacing w:after="0" w:before="0"/>
              <w:ind w:left="0" w:firstLine="0"/>
              <w:jc w:val="center"/>
            </w:pPr>
            <w:r>
              <w:rPr>
                <w:b w:val="0"/>
                <w:sz w:val="20"/>
              </w:rPr>
              <w:t>0.841</w:t>
            </w:r>
          </w:p>
        </w:tc>
        <w:tc>
          <w:tcPr>
            <w:tcW w:type="dxa" w:w="1174"/>
            <w:vAlign w:val="center"/>
            <w:tcMar>
              <w:top w:w="35" w:type="dxa"/>
              <w:bottom w:w="35" w:type="dxa"/>
              <w:left w:w="35" w:type="dxa"/>
              <w:right w:w="35" w:type="dxa"/>
            </w:tcMar>
          </w:tcPr>
          <w:p>
            <w:pPr>
              <w:pStyle w:val="MDPI42tablebody"/>
              <w:spacing w:after="0" w:before="0"/>
              <w:ind w:left="0" w:firstLine="0"/>
              <w:jc w:val="center"/>
            </w:pPr>
            <w:r>
              <w:rPr>
                <w:b w:val="0"/>
                <w:sz w:val="20"/>
              </w:rPr>
              <w:t>2.568</w:t>
            </w:r>
          </w:p>
        </w:tc>
      </w:tr>
      <w:tr>
        <w:trPr>
          <w:cantSplit/>
        </w:trPr>
        <w:tc>
          <w:tcPr>
            <w:tcW w:type="dxa" w:w="1980"/>
            <w:vAlign w:val="center"/>
            <w:tcMar>
              <w:top w:w="35" w:type="dxa"/>
              <w:bottom w:w="35" w:type="dxa"/>
              <w:left w:w="35" w:type="dxa"/>
              <w:right w:w="35" w:type="dxa"/>
            </w:tcMar>
          </w:tcPr>
          <w:p>
            <w:pPr>
              <w:pStyle w:val="MDPI42tablebody"/>
              <w:spacing w:after="0" w:before="0"/>
              <w:ind w:left="0" w:firstLine="0"/>
              <w:jc w:val="center"/>
            </w:pPr>
            <w:r>
              <w:rPr>
                <w:b w:val="0"/>
                <w:sz w:val="20"/>
              </w:rPr>
              <w:t>SNV</w:t>
            </w:r>
          </w:p>
        </w:tc>
        <w:tc>
          <w:tcPr>
            <w:tcW w:type="dxa" w:w="587"/>
            <w:vAlign w:val="center"/>
            <w:tcMar>
              <w:top w:w="35" w:type="dxa"/>
              <w:bottom w:w="35" w:type="dxa"/>
              <w:left w:w="35" w:type="dxa"/>
              <w:right w:w="35" w:type="dxa"/>
            </w:tcMar>
          </w:tcPr>
          <w:p>
            <w:pPr>
              <w:pStyle w:val="MDPI42tablebody"/>
              <w:spacing w:after="0" w:before="0"/>
              <w:ind w:left="0" w:firstLine="0"/>
              <w:jc w:val="center"/>
            </w:pPr>
            <w:r>
              <w:rPr>
                <w:b w:val="0"/>
                <w:sz w:val="20"/>
              </w:rPr>
              <w:t>5</w:t>
            </w:r>
          </w:p>
        </w:tc>
        <w:tc>
          <w:tcPr>
            <w:tcW w:type="dxa" w:w="1467"/>
            <w:vAlign w:val="center"/>
            <w:tcMar>
              <w:top w:w="35" w:type="dxa"/>
              <w:bottom w:w="35" w:type="dxa"/>
              <w:left w:w="35" w:type="dxa"/>
              <w:right w:w="35" w:type="dxa"/>
            </w:tcMar>
          </w:tcPr>
          <w:p>
            <w:pPr>
              <w:pStyle w:val="MDPI42tablebody"/>
              <w:spacing w:after="0" w:before="0"/>
              <w:ind w:left="0" w:firstLine="0"/>
              <w:jc w:val="center"/>
            </w:pPr>
            <w:r>
              <w:rPr>
                <w:b w:val="0"/>
                <w:sz w:val="20"/>
              </w:rPr>
              <w:t>3.965</w:t>
            </w:r>
          </w:p>
        </w:tc>
        <w:tc>
          <w:tcPr>
            <w:tcW w:type="dxa" w:w="1467"/>
            <w:vAlign w:val="center"/>
            <w:tcMar>
              <w:top w:w="35" w:type="dxa"/>
              <w:bottom w:w="35" w:type="dxa"/>
              <w:left w:w="35" w:type="dxa"/>
              <w:right w:w="35" w:type="dxa"/>
            </w:tcMar>
          </w:tcPr>
          <w:p>
            <w:pPr>
              <w:pStyle w:val="MDPI42tablebody"/>
              <w:spacing w:after="0" w:before="0"/>
              <w:ind w:left="0" w:firstLine="0"/>
              <w:jc w:val="center"/>
            </w:pPr>
            <w:r>
              <w:rPr>
                <w:b w:val="0"/>
                <w:sz w:val="20"/>
              </w:rPr>
              <w:t>3.176</w:t>
            </w:r>
          </w:p>
        </w:tc>
        <w:tc>
          <w:tcPr>
            <w:tcW w:type="dxa" w:w="1174"/>
            <w:vAlign w:val="center"/>
            <w:tcMar>
              <w:top w:w="35" w:type="dxa"/>
              <w:bottom w:w="35" w:type="dxa"/>
              <w:left w:w="35" w:type="dxa"/>
              <w:right w:w="35" w:type="dxa"/>
            </w:tcMar>
          </w:tcPr>
          <w:p>
            <w:pPr>
              <w:pStyle w:val="MDPI42tablebody"/>
              <w:spacing w:after="0" w:before="0"/>
              <w:ind w:left="0" w:firstLine="0"/>
              <w:jc w:val="center"/>
            </w:pPr>
            <w:r>
              <w:rPr>
                <w:b w:val="0"/>
                <w:sz w:val="20"/>
              </w:rPr>
              <w:t>0.841</w:t>
            </w:r>
          </w:p>
        </w:tc>
        <w:tc>
          <w:tcPr>
            <w:tcW w:type="dxa" w:w="1174"/>
            <w:vAlign w:val="center"/>
            <w:tcMar>
              <w:top w:w="35" w:type="dxa"/>
              <w:bottom w:w="35" w:type="dxa"/>
              <w:left w:w="35" w:type="dxa"/>
              <w:right w:w="35" w:type="dxa"/>
            </w:tcMar>
          </w:tcPr>
          <w:p>
            <w:pPr>
              <w:pStyle w:val="MDPI42tablebody"/>
              <w:spacing w:after="0" w:before="0"/>
              <w:ind w:left="0" w:firstLine="0"/>
              <w:jc w:val="center"/>
            </w:pPr>
            <w:r>
              <w:rPr>
                <w:b w:val="0"/>
                <w:sz w:val="20"/>
              </w:rPr>
              <w:t>2.568</w:t>
            </w:r>
          </w:p>
        </w:tc>
      </w:tr>
      <w:tr>
        <w:trPr>
          <w:cantSplit/>
        </w:trPr>
        <w:tc>
          <w:tcPr>
            <w:tcW w:type="dxa" w:w="1980"/>
            <w:vAlign w:val="center"/>
            <w:tcMar>
              <w:top w:w="35" w:type="dxa"/>
              <w:bottom w:w="35" w:type="dxa"/>
              <w:left w:w="35" w:type="dxa"/>
              <w:right w:w="35" w:type="dxa"/>
            </w:tcMar>
          </w:tcPr>
          <w:p>
            <w:pPr>
              <w:pStyle w:val="MDPI42tablebody"/>
              <w:spacing w:after="0" w:before="0"/>
              <w:ind w:left="0" w:firstLine="0"/>
              <w:jc w:val="center"/>
            </w:pPr>
            <w:r>
              <w:rPr>
                <w:b w:val="0"/>
                <w:sz w:val="20"/>
              </w:rPr>
              <w:t>CWT</w:t>
            </w:r>
          </w:p>
        </w:tc>
        <w:tc>
          <w:tcPr>
            <w:tcW w:type="dxa" w:w="587"/>
            <w:vAlign w:val="center"/>
            <w:tcMar>
              <w:top w:w="35" w:type="dxa"/>
              <w:bottom w:w="35" w:type="dxa"/>
              <w:left w:w="35" w:type="dxa"/>
              <w:right w:w="35" w:type="dxa"/>
            </w:tcMar>
          </w:tcPr>
          <w:p>
            <w:pPr>
              <w:pStyle w:val="MDPI42tablebody"/>
              <w:spacing w:after="0" w:before="0"/>
              <w:ind w:left="0" w:firstLine="0"/>
              <w:jc w:val="center"/>
            </w:pPr>
            <w:r>
              <w:rPr>
                <w:b w:val="0"/>
                <w:sz w:val="20"/>
              </w:rPr>
              <w:t>5</w:t>
            </w:r>
          </w:p>
        </w:tc>
        <w:tc>
          <w:tcPr>
            <w:tcW w:type="dxa" w:w="1467"/>
            <w:vAlign w:val="center"/>
            <w:tcMar>
              <w:top w:w="35" w:type="dxa"/>
              <w:bottom w:w="35" w:type="dxa"/>
              <w:left w:w="35" w:type="dxa"/>
              <w:right w:w="35" w:type="dxa"/>
            </w:tcMar>
          </w:tcPr>
          <w:p>
            <w:pPr>
              <w:pStyle w:val="MDPI42tablebody"/>
              <w:spacing w:after="0" w:before="0"/>
              <w:ind w:left="0" w:firstLine="0"/>
              <w:jc w:val="center"/>
            </w:pPr>
            <w:r>
              <w:rPr>
                <w:b w:val="0"/>
                <w:sz w:val="20"/>
              </w:rPr>
              <w:t>4.274</w:t>
            </w:r>
          </w:p>
        </w:tc>
        <w:tc>
          <w:tcPr>
            <w:tcW w:type="dxa" w:w="1467"/>
            <w:vAlign w:val="center"/>
            <w:tcMar>
              <w:top w:w="35" w:type="dxa"/>
              <w:bottom w:w="35" w:type="dxa"/>
              <w:left w:w="35" w:type="dxa"/>
              <w:right w:w="35" w:type="dxa"/>
            </w:tcMar>
          </w:tcPr>
          <w:p>
            <w:pPr>
              <w:pStyle w:val="MDPI42tablebody"/>
              <w:spacing w:after="0" w:before="0"/>
              <w:ind w:left="0" w:firstLine="0"/>
              <w:jc w:val="center"/>
            </w:pPr>
            <w:r>
              <w:rPr>
                <w:b w:val="0"/>
                <w:sz w:val="20"/>
              </w:rPr>
              <w:t>3.313</w:t>
            </w:r>
          </w:p>
        </w:tc>
        <w:tc>
          <w:tcPr>
            <w:tcW w:type="dxa" w:w="1174"/>
            <w:vAlign w:val="center"/>
            <w:tcMar>
              <w:top w:w="35" w:type="dxa"/>
              <w:bottom w:w="35" w:type="dxa"/>
              <w:left w:w="35" w:type="dxa"/>
              <w:right w:w="35" w:type="dxa"/>
            </w:tcMar>
          </w:tcPr>
          <w:p>
            <w:pPr>
              <w:pStyle w:val="MDPI42tablebody"/>
              <w:spacing w:after="0" w:before="0"/>
              <w:ind w:left="0" w:firstLine="0"/>
              <w:jc w:val="center"/>
            </w:pPr>
            <w:r>
              <w:rPr>
                <w:b w:val="0"/>
                <w:sz w:val="20"/>
              </w:rPr>
              <w:t>0.827</w:t>
            </w:r>
          </w:p>
        </w:tc>
        <w:tc>
          <w:tcPr>
            <w:tcW w:type="dxa" w:w="1174"/>
            <w:vAlign w:val="center"/>
            <w:tcMar>
              <w:top w:w="35" w:type="dxa"/>
              <w:bottom w:w="35" w:type="dxa"/>
              <w:left w:w="35" w:type="dxa"/>
              <w:right w:w="35" w:type="dxa"/>
            </w:tcMar>
          </w:tcPr>
          <w:p>
            <w:pPr>
              <w:pStyle w:val="MDPI42tablebody"/>
              <w:spacing w:after="0" w:before="0"/>
              <w:ind w:left="0" w:firstLine="0"/>
              <w:jc w:val="center"/>
            </w:pPr>
            <w:r>
              <w:rPr>
                <w:b w:val="0"/>
                <w:sz w:val="20"/>
              </w:rPr>
              <w:t>2.462</w:t>
            </w:r>
          </w:p>
        </w:tc>
      </w:tr>
      <w:tr>
        <w:trPr>
          <w:cantSplit/>
        </w:trPr>
        <w:tc>
          <w:tcPr>
            <w:tcW w:type="dxa" w:w="1980"/>
            <w:vAlign w:val="center"/>
            <w:tcMar>
              <w:top w:w="35" w:type="dxa"/>
              <w:bottom w:w="35" w:type="dxa"/>
              <w:left w:w="35" w:type="dxa"/>
              <w:right w:w="35" w:type="dxa"/>
            </w:tcMar>
          </w:tcPr>
          <w:p>
            <w:pPr>
              <w:pStyle w:val="MDPI42tablebody"/>
              <w:spacing w:after="0" w:before="0"/>
              <w:ind w:left="0" w:firstLine="0"/>
              <w:jc w:val="center"/>
            </w:pPr>
            <w:r>
              <w:rPr>
                <w:b w:val="0"/>
                <w:sz w:val="20"/>
              </w:rPr>
              <w:t>D1</w:t>
            </w:r>
          </w:p>
        </w:tc>
        <w:tc>
          <w:tcPr>
            <w:tcW w:type="dxa" w:w="587"/>
            <w:vAlign w:val="center"/>
            <w:tcMar>
              <w:top w:w="35" w:type="dxa"/>
              <w:bottom w:w="35" w:type="dxa"/>
              <w:left w:w="35" w:type="dxa"/>
              <w:right w:w="35" w:type="dxa"/>
            </w:tcMar>
          </w:tcPr>
          <w:p>
            <w:pPr>
              <w:pStyle w:val="MDPI42tablebody"/>
              <w:spacing w:after="0" w:before="0"/>
              <w:ind w:left="0" w:firstLine="0"/>
              <w:jc w:val="center"/>
            </w:pPr>
            <w:r>
              <w:rPr>
                <w:b w:val="0"/>
                <w:sz w:val="20"/>
              </w:rPr>
              <w:t>5</w:t>
            </w:r>
          </w:p>
        </w:tc>
        <w:tc>
          <w:tcPr>
            <w:tcW w:type="dxa" w:w="1467"/>
            <w:vAlign w:val="center"/>
            <w:tcMar>
              <w:top w:w="35" w:type="dxa"/>
              <w:bottom w:w="35" w:type="dxa"/>
              <w:left w:w="35" w:type="dxa"/>
              <w:right w:w="35" w:type="dxa"/>
            </w:tcMar>
          </w:tcPr>
          <w:p>
            <w:pPr>
              <w:pStyle w:val="MDPI42tablebody"/>
              <w:spacing w:after="0" w:before="0"/>
              <w:ind w:left="0" w:firstLine="0"/>
              <w:jc w:val="center"/>
            </w:pPr>
            <w:r>
              <w:rPr>
                <w:b w:val="0"/>
                <w:sz w:val="20"/>
              </w:rPr>
              <w:t>4.040</w:t>
            </w:r>
          </w:p>
        </w:tc>
        <w:tc>
          <w:tcPr>
            <w:tcW w:type="dxa" w:w="1467"/>
            <w:vAlign w:val="center"/>
            <w:tcMar>
              <w:top w:w="35" w:type="dxa"/>
              <w:bottom w:w="35" w:type="dxa"/>
              <w:left w:w="35" w:type="dxa"/>
              <w:right w:w="35" w:type="dxa"/>
            </w:tcMar>
          </w:tcPr>
          <w:p>
            <w:pPr>
              <w:pStyle w:val="MDPI42tablebody"/>
              <w:spacing w:after="0" w:before="0"/>
              <w:ind w:left="0" w:firstLine="0"/>
              <w:jc w:val="center"/>
            </w:pPr>
            <w:r>
              <w:rPr>
                <w:b w:val="0"/>
                <w:sz w:val="20"/>
              </w:rPr>
              <w:t>3.001</w:t>
            </w:r>
          </w:p>
        </w:tc>
        <w:tc>
          <w:tcPr>
            <w:tcW w:type="dxa" w:w="1174"/>
            <w:vAlign w:val="center"/>
            <w:tcMar>
              <w:top w:w="35" w:type="dxa"/>
              <w:bottom w:w="35" w:type="dxa"/>
              <w:left w:w="35" w:type="dxa"/>
              <w:right w:w="35" w:type="dxa"/>
            </w:tcMar>
          </w:tcPr>
          <w:p>
            <w:pPr>
              <w:pStyle w:val="MDPI42tablebody"/>
              <w:spacing w:after="0" w:before="0"/>
              <w:ind w:left="0" w:firstLine="0"/>
              <w:jc w:val="center"/>
            </w:pPr>
            <w:r>
              <w:rPr>
                <w:b w:val="0"/>
                <w:sz w:val="20"/>
              </w:rPr>
              <w:t>0.858</w:t>
            </w:r>
          </w:p>
        </w:tc>
        <w:tc>
          <w:tcPr>
            <w:tcW w:type="dxa" w:w="1174"/>
            <w:vAlign w:val="center"/>
            <w:tcMar>
              <w:top w:w="35" w:type="dxa"/>
              <w:bottom w:w="35" w:type="dxa"/>
              <w:left w:w="35" w:type="dxa"/>
              <w:right w:w="35" w:type="dxa"/>
            </w:tcMar>
          </w:tcPr>
          <w:p>
            <w:pPr>
              <w:pStyle w:val="MDPI42tablebody"/>
              <w:spacing w:after="0" w:before="0"/>
              <w:ind w:left="0" w:firstLine="0"/>
              <w:jc w:val="center"/>
            </w:pPr>
            <w:r>
              <w:rPr>
                <w:b w:val="0"/>
                <w:sz w:val="20"/>
              </w:rPr>
              <w:t>2.718</w:t>
            </w:r>
          </w:p>
        </w:tc>
      </w:tr>
      <w:tr>
        <w:trPr>
          <w:cantSplit/>
        </w:trPr>
        <w:tc>
          <w:tcPr>
            <w:tcW w:type="dxa" w:w="1980"/>
            <w:vAlign w:val="center"/>
            <w:tcMar>
              <w:top w:w="35" w:type="dxa"/>
              <w:bottom w:w="35" w:type="dxa"/>
              <w:left w:w="35" w:type="dxa"/>
              <w:right w:w="35" w:type="dxa"/>
            </w:tcMar>
          </w:tcPr>
          <w:p>
            <w:pPr>
              <w:pStyle w:val="MDPI42tablebody"/>
              <w:spacing w:after="0" w:before="0"/>
              <w:ind w:left="0" w:firstLine="0"/>
              <w:jc w:val="center"/>
            </w:pPr>
            <w:r>
              <w:rPr>
                <w:b w:val="0"/>
                <w:sz w:val="20"/>
              </w:rPr>
              <w:t>D2</w:t>
            </w:r>
          </w:p>
        </w:tc>
        <w:tc>
          <w:tcPr>
            <w:tcW w:type="dxa" w:w="587"/>
            <w:vAlign w:val="center"/>
            <w:tcMar>
              <w:top w:w="35" w:type="dxa"/>
              <w:bottom w:w="35" w:type="dxa"/>
              <w:left w:w="35" w:type="dxa"/>
              <w:right w:w="35" w:type="dxa"/>
            </w:tcMar>
          </w:tcPr>
          <w:p>
            <w:pPr>
              <w:pStyle w:val="MDPI42tablebody"/>
              <w:spacing w:after="0" w:before="0"/>
              <w:ind w:left="0" w:firstLine="0"/>
              <w:jc w:val="center"/>
            </w:pPr>
            <w:r>
              <w:rPr>
                <w:b w:val="0"/>
                <w:sz w:val="20"/>
              </w:rPr>
              <w:t>5</w:t>
            </w:r>
          </w:p>
        </w:tc>
        <w:tc>
          <w:tcPr>
            <w:tcW w:type="dxa" w:w="1467"/>
            <w:vAlign w:val="center"/>
            <w:tcMar>
              <w:top w:w="35" w:type="dxa"/>
              <w:bottom w:w="35" w:type="dxa"/>
              <w:left w:w="35" w:type="dxa"/>
              <w:right w:w="35" w:type="dxa"/>
            </w:tcMar>
          </w:tcPr>
          <w:p>
            <w:pPr>
              <w:pStyle w:val="MDPI42tablebody"/>
              <w:spacing w:after="0" w:before="0"/>
              <w:ind w:left="0" w:firstLine="0"/>
              <w:jc w:val="center"/>
            </w:pPr>
            <w:r>
              <w:rPr>
                <w:b w:val="0"/>
                <w:sz w:val="20"/>
              </w:rPr>
              <w:t>3.863</w:t>
            </w:r>
          </w:p>
        </w:tc>
        <w:tc>
          <w:tcPr>
            <w:tcW w:type="dxa" w:w="1467"/>
            <w:vAlign w:val="center"/>
            <w:tcMar>
              <w:top w:w="35" w:type="dxa"/>
              <w:bottom w:w="35" w:type="dxa"/>
              <w:left w:w="35" w:type="dxa"/>
              <w:right w:w="35" w:type="dxa"/>
            </w:tcMar>
          </w:tcPr>
          <w:p>
            <w:pPr>
              <w:pStyle w:val="MDPI42tablebody"/>
              <w:spacing w:after="0" w:before="0"/>
              <w:ind w:left="0" w:firstLine="0"/>
              <w:jc w:val="center"/>
            </w:pPr>
            <w:r>
              <w:rPr>
                <w:b w:val="0"/>
                <w:sz w:val="20"/>
              </w:rPr>
              <w:t>2.897</w:t>
            </w:r>
          </w:p>
        </w:tc>
        <w:tc>
          <w:tcPr>
            <w:tcW w:type="dxa" w:w="1174"/>
            <w:vAlign w:val="center"/>
            <w:tcMar>
              <w:top w:w="35" w:type="dxa"/>
              <w:bottom w:w="35" w:type="dxa"/>
              <w:left w:w="35" w:type="dxa"/>
              <w:right w:w="35" w:type="dxa"/>
            </w:tcMar>
          </w:tcPr>
          <w:p>
            <w:pPr>
              <w:pStyle w:val="MDPI42tablebody"/>
              <w:spacing w:after="0" w:before="0"/>
              <w:ind w:left="0" w:firstLine="0"/>
              <w:jc w:val="center"/>
            </w:pPr>
            <w:r>
              <w:rPr>
                <w:b w:val="0"/>
                <w:sz w:val="20"/>
              </w:rPr>
              <w:t>0.868</w:t>
            </w:r>
          </w:p>
        </w:tc>
        <w:tc>
          <w:tcPr>
            <w:tcW w:type="dxa" w:w="1174"/>
            <w:vAlign w:val="center"/>
            <w:tcMar>
              <w:top w:w="35" w:type="dxa"/>
              <w:bottom w:w="35" w:type="dxa"/>
              <w:left w:w="35" w:type="dxa"/>
              <w:right w:w="35" w:type="dxa"/>
            </w:tcMar>
          </w:tcPr>
          <w:p>
            <w:pPr>
              <w:pStyle w:val="MDPI42tablebody"/>
              <w:spacing w:after="0" w:before="0"/>
              <w:ind w:left="0" w:firstLine="0"/>
              <w:jc w:val="center"/>
            </w:pPr>
            <w:r>
              <w:rPr>
                <w:b w:val="0"/>
                <w:sz w:val="20"/>
              </w:rPr>
              <w:t>2.815</w:t>
            </w:r>
          </w:p>
        </w:tc>
      </w:tr>
    </w:tbl>
    <w:p>
      <w:pPr>
        <w:pStyle w:val="MDPI43tablefooter"/>
        <w:widowControl/>
      </w:pPr>
      <w:r>
        <w:t xml:space="preserve">Errors are in mg </w:t>
      </w:r>
      <w:r>
        <w:t>g</w:t>
      </w:r>
      <w:r>
        <w:rPr>
          <w:vertAlign w:val="superscript"/>
        </w:rPr>
        <w:t>−1</w:t>
      </w:r>
      <w:r>
        <w:t>. D1 and D2 denote first and second derivatives. Prediction errors did not determine preprocessing selection.</w:t>
      </w:r>
    </w:p>
    <w:p>
      <w:pPr>
        <w:pStyle w:val="MDPI52figure"/>
        <w:keepNext/>
        <w:widowControl/>
        <w:ind w:left="2608" w:firstLine="0"/>
        <w:jc w:val="center"/>
      </w:pPr>
      <w:r>
        <w:drawing>
          <wp:inline xmlns:a="http://schemas.openxmlformats.org/drawingml/2006/main" xmlns:pic="http://schemas.openxmlformats.org/drawingml/2006/picture">
            <wp:extent cx="4983480" cy="2692225"/>
            <wp:docPr id="4" name="Picture 4" descr="Full-spectrum PLS under six preprocessing conditions. Blue bars show fivefold calibration RMSECV and red bars show prediction RMSEP; the green star identifies the preprocessing selected using calibration RMSECV. LV denotes the selected number of latent variables."/>
            <wp:cNvGraphicFramePr>
              <a:graphicFrameLocks noChangeAspect="1"/>
            </wp:cNvGraphicFramePr>
            <a:graphic>
              <a:graphicData uri="http://schemas.openxmlformats.org/drawingml/2006/picture">
                <pic:pic>
                  <pic:nvPicPr>
                    <pic:cNvPr id="0" name="Figure_4.png"/>
                    <pic:cNvPicPr/>
                  </pic:nvPicPr>
                  <pic:blipFill>
                    <a:blip r:embed="rId21"/>
                    <a:stretch>
                      <a:fillRect/>
                    </a:stretch>
                  </pic:blipFill>
                  <pic:spPr>
                    <a:xfrm>
                      <a:off x="0" y="0"/>
                      <a:ext cx="4983480" cy="2692225"/>
                    </a:xfrm>
                    <a:prstGeom prst="rect"/>
                  </pic:spPr>
                </pic:pic>
              </a:graphicData>
            </a:graphic>
          </wp:inline>
        </w:drawing>
      </w:r>
    </w:p>
    <w:p>
      <w:pPr>
        <w:pStyle w:val="MDPI51figurecaption"/>
        <w:keepLines/>
        <w:widowControl/>
        <w:ind w:left="2608" w:firstLine="0"/>
      </w:pPr>
      <w:r>
        <w:rPr>
          <w:b/>
        </w:rPr>
        <w:t xml:space="preserve">Figure 4. </w:t>
      </w:r>
      <w:r>
        <w:t>Full-spectrum PLS under six preprocessing conditions. Blue bars show fivefold calibration RMSECV and red bars show prediction RMSEP; the green star identifies the preprocessing selected using calibration RMSECV. LV denotes the selected number of latent variables.</w:t>
      </w:r>
    </w:p>
    <w:p>
      <w:pPr>
        <w:pStyle w:val="MDPI22heading2"/>
        <w:keepNext/>
        <w:widowControl/>
      </w:pPr>
      <w:r>
        <w:t>4.3. Comparison of prediction models</w:t>
      </w:r>
    </w:p>
    <w:p>
      <w:pPr>
        <w:pStyle w:val="MDPI31text"/>
        <w:widowControl/>
      </w:pPr>
      <w:r>
        <w:t xml:space="preserve">Figure 5 and Table 4 compare full-spectrum PLS with UVE rank, MC-UVE rank, RT, C-value adapted and BSRS. BSRS achieved the lowest tuning RMSECV, 3.457 mg </w:t>
      </w:r>
      <w:r>
        <w:t>g</w:t>
      </w:r>
      <w:r>
        <w:rPr>
          <w:vertAlign w:val="superscript"/>
        </w:rPr>
        <w:t>−1</w:t>
      </w:r>
      <w:r>
        <w:t xml:space="preserve">, with eight variables and three LVs. It was therefore selected on the basis of calibration performance. UVE rank, MC-UVE rank, RT and C-value adapted gave tuning errors of 3.681, 3.686, 3.783 and 3.744 mg </w:t>
      </w:r>
      <w:r>
        <w:t>g</w:t>
      </w:r>
      <w:r>
        <w:rPr>
          <w:vertAlign w:val="superscript"/>
        </w:rPr>
        <w:t>−1</w:t>
      </w:r>
      <w:r>
        <w:t xml:space="preserve">, respectively. All five selectors reduced the optimized calibration error relative to the full-spectrum value of 3.863 mg </w:t>
      </w:r>
      <w:r>
        <w:t>g</w:t>
      </w:r>
      <w:r>
        <w:rPr>
          <w:vertAlign w:val="superscript"/>
        </w:rPr>
        <w:t>−1</w:t>
      </w:r>
      <w:r>
        <w:t>.</w:t>
      </w:r>
    </w:p>
    <w:p>
      <w:pPr>
        <w:pStyle w:val="MDPI31text"/>
        <w:widowControl/>
      </w:pPr>
      <w:r>
        <w:t xml:space="preserve">BSRS gave RMSEP of 2.806 mg </w:t>
      </w:r>
      <w:r>
        <w:t>g</w:t>
      </w:r>
      <w:r>
        <w:rPr>
          <w:vertAlign w:val="superscript"/>
        </w:rPr>
        <w:t>−1</w:t>
      </w:r>
      <w:r>
        <w:t xml:space="preserve">, compared with 2.897 mg </w:t>
      </w:r>
      <w:r>
        <w:t>g</w:t>
      </w:r>
      <w:r>
        <w:rPr>
          <w:vertAlign w:val="superscript"/>
        </w:rPr>
        <w:t>−1</w:t>
      </w:r>
      <w:r>
        <w:t xml:space="preserve"> for full-spectrum PLS. It retained 5.7% of the original variables, corresponding to a 94.3% reduction in model input dimension. RT and MC-UVE rank also retained eight variables and gave RMSEP values of 2.746 and 2.772 mg </w:t>
      </w:r>
      <w:r>
        <w:t>g</w:t>
      </w:r>
      <w:r>
        <w:rPr>
          <w:vertAlign w:val="superscript"/>
        </w:rPr>
        <w:t>−1</w:t>
      </w:r>
      <w:r>
        <w:t xml:space="preserve">, respectively; RT had the lowest observed prediction error in the main comparison. UVE rank retained eight variables but gave RMSEP of 3.284 mg </w:t>
      </w:r>
      <w:r>
        <w:t>g</w:t>
      </w:r>
      <w:r>
        <w:rPr>
          <w:vertAlign w:val="superscript"/>
        </w:rPr>
        <w:t>−1</w:t>
      </w:r>
      <w:r>
        <w:t xml:space="preserve">, while C-value adapted retained 32 variables and gave 3.178 mg </w:t>
      </w:r>
      <w:r>
        <w:t>g</w:t>
      </w:r>
      <w:r>
        <w:rPr>
          <w:vertAlign w:val="superscript"/>
        </w:rPr>
        <w:t>−1</w:t>
      </w:r>
      <w:r>
        <w:t>. Calibration and prediction rankings therefore differed. BSRS combined the smallest calibration tuning error with a compact subset and a lower prediction error than the full-spectrum model under this SPXY partition.</w:t>
      </w:r>
    </w:p>
    <w:p>
      <w:pPr>
        <w:pStyle w:val="MDPI31text"/>
        <w:widowControl/>
      </w:pPr>
      <w:r>
        <w:t xml:space="preserve">Figure 6 compares reference and predicted equivalent contents for full-spectrum PLS, the MC-UVE rank benchmark and calibration-selected BSRS on identical axes. Their R²p values were 0.868, 0.879 and 0.876, respectively. Full-spectrum PLS, MC-UVE rank and BSRS gave RMSEC values of 3.157, 3.400 and 3.400 mg </w:t>
      </w:r>
      <w:r>
        <w:t>g</w:t>
      </w:r>
      <w:r>
        <w:rPr>
          <w:vertAlign w:val="superscript"/>
        </w:rPr>
        <w:t>−1</w:t>
      </w:r>
      <w:r>
        <w:t>. Calibration markers represent fitted values and prediction markers represent the 21 withheld samples. The red regression lines are descriptive fits to the plotted pairs, while the dashed identity line denotes exact agreement. Reported R² values were calculated from the original model residuals rather than these display fits. Figure S2 presents prediction residual diagnostics for BSRS, while Table S2 provides additional prediction metrics for all main models.</w:t>
      </w:r>
    </w:p>
    <w:p>
      <w:pPr>
        <w:pStyle w:val="MDPI41tablecaption"/>
        <w:keepNext/>
        <w:keepLines/>
        <w:widowControl/>
        <w:ind w:left="2608"/>
      </w:pPr>
      <w:r>
        <w:rPr>
          <w:b/>
        </w:rPr>
        <w:t xml:space="preserve">Table 4. </w:t>
      </w:r>
      <w:r>
        <w:t>Variable-selection comparisons using second derivative, selected from calibration data.</w:t>
      </w:r>
    </w:p>
    <w:tbl>
      <w:tblPr>
        <w:tblStyle w:val="MDPI41threelinetable"/>
        <w:tblW w:type="auto" w:w="0"/>
        <w:jc w:val="left"/>
        <w:tblLayout w:type="fixed"/>
        <w:tblLook w:firstColumn="1" w:firstRow="1" w:lastColumn="0" w:lastRow="0" w:noHBand="0" w:noVBand="1" w:val="04A0"/>
        <w:tblInd w:w="2608" w:type="dxa"/>
        <w:tblBorders>
          <w:top w:val="single" w:sz="6" w:color="000000"/>
          <w:bottom w:val="single" w:sz="6" w:color="000000"/>
          <w:left w:val="nil" w:sz="6" w:color="000000"/>
          <w:right w:val="nil" w:sz="6" w:color="000000"/>
          <w:insideH w:val="nil" w:sz="6" w:color="000000"/>
          <w:insideV w:val="nil" w:sz="6" w:color="000000"/>
        </w:tblBorders>
      </w:tblPr>
      <w:tblGrid>
        <w:gridCol w:w="2514"/>
        <w:gridCol w:w="1143"/>
        <w:gridCol w:w="533"/>
        <w:gridCol w:w="1295"/>
        <w:gridCol w:w="1295"/>
        <w:gridCol w:w="1067"/>
      </w:tblGrid>
      <w:tr>
        <w:trPr>
          <w:tblHeader/>
          <w:cantSplit/>
        </w:trPr>
        <w:tc>
          <w:tcPr>
            <w:tcW w:type="dxa" w:w="2514"/>
            <w:vAlign w:val="center"/>
            <w:tcBorders>
              <w:bottom w:val="single" w:sz="6"/>
            </w:tcBorders>
            <w:tcMar>
              <w:top w:w="35" w:type="dxa"/>
              <w:bottom w:w="35" w:type="dxa"/>
              <w:left w:w="35" w:type="dxa"/>
              <w:right w:w="35" w:type="dxa"/>
            </w:tcMar>
          </w:tcPr>
          <w:p>
            <w:pPr>
              <w:pStyle w:val="MDPI42tablebody"/>
              <w:spacing w:after="0" w:before="0"/>
              <w:ind w:left="0" w:firstLine="0"/>
              <w:jc w:val="center"/>
            </w:pPr>
            <w:r>
              <w:rPr>
                <w:b/>
                <w:sz w:val="20"/>
              </w:rPr>
              <w:t>Method</w:t>
            </w:r>
          </w:p>
        </w:tc>
        <w:tc>
          <w:tcPr>
            <w:tcW w:type="dxa" w:w="1143"/>
            <w:vAlign w:val="center"/>
            <w:tcBorders>
              <w:bottom w:val="single" w:sz="6"/>
            </w:tcBorders>
            <w:tcMar>
              <w:top w:w="35" w:type="dxa"/>
              <w:bottom w:w="35" w:type="dxa"/>
              <w:left w:w="35" w:type="dxa"/>
              <w:right w:w="35" w:type="dxa"/>
            </w:tcMar>
          </w:tcPr>
          <w:p>
            <w:pPr>
              <w:pStyle w:val="MDPI42tablebody"/>
              <w:spacing w:after="0" w:before="0"/>
              <w:ind w:left="0" w:firstLine="0"/>
              <w:jc w:val="center"/>
            </w:pPr>
            <w:r>
              <w:rPr>
                <w:b/>
                <w:sz w:val="20"/>
              </w:rPr>
              <w:t>Variables</w:t>
            </w:r>
          </w:p>
        </w:tc>
        <w:tc>
          <w:tcPr>
            <w:tcW w:type="dxa" w:w="533"/>
            <w:vAlign w:val="center"/>
            <w:tcBorders>
              <w:bottom w:val="single" w:sz="6"/>
            </w:tcBorders>
            <w:tcMar>
              <w:top w:w="35" w:type="dxa"/>
              <w:bottom w:w="35" w:type="dxa"/>
              <w:left w:w="35" w:type="dxa"/>
              <w:right w:w="35" w:type="dxa"/>
            </w:tcMar>
          </w:tcPr>
          <w:p>
            <w:pPr>
              <w:pStyle w:val="MDPI42tablebody"/>
              <w:spacing w:after="0" w:before="0"/>
              <w:ind w:left="0" w:firstLine="0"/>
              <w:jc w:val="center"/>
            </w:pPr>
            <w:r>
              <w:rPr>
                <w:b/>
                <w:sz w:val="20"/>
              </w:rPr>
              <w:t>LV</w:t>
            </w:r>
          </w:p>
        </w:tc>
        <w:tc>
          <w:tcPr>
            <w:tcW w:type="dxa" w:w="1295"/>
            <w:vAlign w:val="center"/>
            <w:tcBorders>
              <w:bottom w:val="single" w:sz="6"/>
            </w:tcBorders>
            <w:tcMar>
              <w:top w:w="35" w:type="dxa"/>
              <w:bottom w:w="35" w:type="dxa"/>
              <w:left w:w="35" w:type="dxa"/>
              <w:right w:w="35" w:type="dxa"/>
            </w:tcMar>
          </w:tcPr>
          <w:p>
            <w:pPr>
              <w:pStyle w:val="MDPI42tablebody"/>
              <w:spacing w:after="0" w:before="0"/>
              <w:ind w:left="0" w:firstLine="0"/>
              <w:jc w:val="center"/>
            </w:pPr>
            <w:r>
              <w:rPr>
                <w:b/>
                <w:sz w:val="20"/>
              </w:rPr>
              <w:t>RMSECV</w:t>
            </w:r>
          </w:p>
        </w:tc>
        <w:tc>
          <w:tcPr>
            <w:tcW w:type="dxa" w:w="1295"/>
            <w:vAlign w:val="center"/>
            <w:tcBorders>
              <w:bottom w:val="single" w:sz="6"/>
            </w:tcBorders>
            <w:tcMar>
              <w:top w:w="35" w:type="dxa"/>
              <w:bottom w:w="35" w:type="dxa"/>
              <w:left w:w="35" w:type="dxa"/>
              <w:right w:w="35" w:type="dxa"/>
            </w:tcMar>
          </w:tcPr>
          <w:p>
            <w:pPr>
              <w:pStyle w:val="MDPI42tablebody"/>
              <w:spacing w:after="0" w:before="0"/>
              <w:ind w:left="0" w:firstLine="0"/>
              <w:jc w:val="center"/>
            </w:pPr>
            <w:r>
              <w:rPr>
                <w:b/>
                <w:sz w:val="20"/>
              </w:rPr>
              <w:t>RMSEP</w:t>
            </w:r>
          </w:p>
        </w:tc>
        <w:tc>
          <w:tcPr>
            <w:tcW w:type="dxa" w:w="1067"/>
            <w:vAlign w:val="center"/>
            <w:tcBorders>
              <w:bottom w:val="single" w:sz="6"/>
            </w:tcBorders>
            <w:tcMar>
              <w:top w:w="35" w:type="dxa"/>
              <w:bottom w:w="35" w:type="dxa"/>
              <w:left w:w="35" w:type="dxa"/>
              <w:right w:w="35" w:type="dxa"/>
            </w:tcMar>
          </w:tcPr>
          <w:p>
            <w:pPr>
              <w:pStyle w:val="MDPI42tablebody"/>
              <w:spacing w:after="0" w:before="0"/>
              <w:ind w:left="0" w:firstLine="0"/>
              <w:jc w:val="center"/>
            </w:pPr>
            <w:r>
              <w:rPr>
                <w:b/>
                <w:sz w:val="20"/>
              </w:rPr>
              <w:t>R²p</w:t>
            </w:r>
          </w:p>
        </w:tc>
      </w:tr>
      <w:tr>
        <w:trPr>
          <w:cantSplit/>
        </w:trPr>
        <w:tc>
          <w:tcPr>
            <w:tcW w:type="dxa" w:w="2514"/>
            <w:vAlign w:val="center"/>
            <w:tcMar>
              <w:top w:w="35" w:type="dxa"/>
              <w:bottom w:w="35" w:type="dxa"/>
              <w:left w:w="35" w:type="dxa"/>
              <w:right w:w="35" w:type="dxa"/>
            </w:tcMar>
          </w:tcPr>
          <w:p>
            <w:pPr>
              <w:pStyle w:val="MDPI42tablebody"/>
              <w:spacing w:after="0" w:before="0"/>
              <w:ind w:left="0" w:firstLine="0"/>
              <w:jc w:val="center"/>
            </w:pPr>
            <w:r>
              <w:rPr>
                <w:b w:val="0"/>
                <w:sz w:val="20"/>
              </w:rPr>
              <w:t>Full-spectrum PLS</w:t>
            </w:r>
          </w:p>
        </w:tc>
        <w:tc>
          <w:tcPr>
            <w:tcW w:type="dxa" w:w="1143"/>
            <w:vAlign w:val="center"/>
            <w:tcMar>
              <w:top w:w="35" w:type="dxa"/>
              <w:bottom w:w="35" w:type="dxa"/>
              <w:left w:w="35" w:type="dxa"/>
              <w:right w:w="35" w:type="dxa"/>
            </w:tcMar>
          </w:tcPr>
          <w:p>
            <w:pPr>
              <w:pStyle w:val="MDPI42tablebody"/>
              <w:spacing w:after="0" w:before="0"/>
              <w:ind w:left="0" w:firstLine="0"/>
              <w:jc w:val="center"/>
            </w:pPr>
            <w:r>
              <w:rPr>
                <w:b w:val="0"/>
                <w:sz w:val="20"/>
              </w:rPr>
              <w:t>141</w:t>
            </w:r>
          </w:p>
        </w:tc>
        <w:tc>
          <w:tcPr>
            <w:tcW w:type="dxa" w:w="533"/>
            <w:vAlign w:val="center"/>
            <w:tcMar>
              <w:top w:w="35" w:type="dxa"/>
              <w:bottom w:w="35" w:type="dxa"/>
              <w:left w:w="35" w:type="dxa"/>
              <w:right w:w="35" w:type="dxa"/>
            </w:tcMar>
          </w:tcPr>
          <w:p>
            <w:pPr>
              <w:pStyle w:val="MDPI42tablebody"/>
              <w:spacing w:after="0" w:before="0"/>
              <w:ind w:left="0" w:firstLine="0"/>
              <w:jc w:val="center"/>
            </w:pPr>
            <w:r>
              <w:rPr>
                <w:b w:val="0"/>
                <w:sz w:val="20"/>
              </w:rPr>
              <w:t>5</w:t>
            </w:r>
          </w:p>
        </w:tc>
        <w:tc>
          <w:tcPr>
            <w:tcW w:type="dxa" w:w="1295"/>
            <w:vAlign w:val="center"/>
            <w:tcMar>
              <w:top w:w="35" w:type="dxa"/>
              <w:bottom w:w="35" w:type="dxa"/>
              <w:left w:w="35" w:type="dxa"/>
              <w:right w:w="35" w:type="dxa"/>
            </w:tcMar>
          </w:tcPr>
          <w:p>
            <w:pPr>
              <w:pStyle w:val="MDPI42tablebody"/>
              <w:spacing w:after="0" w:before="0"/>
              <w:ind w:left="0" w:firstLine="0"/>
              <w:jc w:val="center"/>
            </w:pPr>
            <w:r>
              <w:rPr>
                <w:b w:val="0"/>
                <w:sz w:val="20"/>
              </w:rPr>
              <w:t>3.863</w:t>
            </w:r>
          </w:p>
        </w:tc>
        <w:tc>
          <w:tcPr>
            <w:tcW w:type="dxa" w:w="1295"/>
            <w:vAlign w:val="center"/>
            <w:tcMar>
              <w:top w:w="35" w:type="dxa"/>
              <w:bottom w:w="35" w:type="dxa"/>
              <w:left w:w="35" w:type="dxa"/>
              <w:right w:w="35" w:type="dxa"/>
            </w:tcMar>
          </w:tcPr>
          <w:p>
            <w:pPr>
              <w:pStyle w:val="MDPI42tablebody"/>
              <w:spacing w:after="0" w:before="0"/>
              <w:ind w:left="0" w:firstLine="0"/>
              <w:jc w:val="center"/>
            </w:pPr>
            <w:r>
              <w:rPr>
                <w:b w:val="0"/>
                <w:sz w:val="20"/>
              </w:rPr>
              <w:t>2.897</w:t>
            </w:r>
          </w:p>
        </w:tc>
        <w:tc>
          <w:tcPr>
            <w:tcW w:type="dxa" w:w="1067"/>
            <w:vAlign w:val="center"/>
            <w:tcMar>
              <w:top w:w="35" w:type="dxa"/>
              <w:bottom w:w="35" w:type="dxa"/>
              <w:left w:w="35" w:type="dxa"/>
              <w:right w:w="35" w:type="dxa"/>
            </w:tcMar>
          </w:tcPr>
          <w:p>
            <w:pPr>
              <w:pStyle w:val="MDPI42tablebody"/>
              <w:spacing w:after="0" w:before="0"/>
              <w:ind w:left="0" w:firstLine="0"/>
              <w:jc w:val="center"/>
            </w:pPr>
            <w:r>
              <w:rPr>
                <w:b w:val="0"/>
                <w:sz w:val="20"/>
              </w:rPr>
              <w:t>0.868</w:t>
            </w:r>
          </w:p>
        </w:tc>
      </w:tr>
      <w:tr>
        <w:trPr>
          <w:cantSplit/>
        </w:trPr>
        <w:tc>
          <w:tcPr>
            <w:tcW w:type="dxa" w:w="2514"/>
            <w:vAlign w:val="center"/>
            <w:tcMar>
              <w:top w:w="35" w:type="dxa"/>
              <w:bottom w:w="35" w:type="dxa"/>
              <w:left w:w="35" w:type="dxa"/>
              <w:right w:w="35" w:type="dxa"/>
            </w:tcMar>
          </w:tcPr>
          <w:p>
            <w:pPr>
              <w:pStyle w:val="MDPI42tablebody"/>
              <w:spacing w:after="0" w:before="0"/>
              <w:ind w:left="0" w:firstLine="0"/>
              <w:jc w:val="center"/>
            </w:pPr>
            <w:r>
              <w:rPr>
                <w:b w:val="0"/>
                <w:sz w:val="20"/>
              </w:rPr>
              <w:t>UVE rank-PLS</w:t>
            </w:r>
          </w:p>
        </w:tc>
        <w:tc>
          <w:tcPr>
            <w:tcW w:type="dxa" w:w="1143"/>
            <w:vAlign w:val="center"/>
            <w:tcMar>
              <w:top w:w="35" w:type="dxa"/>
              <w:bottom w:w="35" w:type="dxa"/>
              <w:left w:w="35" w:type="dxa"/>
              <w:right w:w="35" w:type="dxa"/>
            </w:tcMar>
          </w:tcPr>
          <w:p>
            <w:pPr>
              <w:pStyle w:val="MDPI42tablebody"/>
              <w:spacing w:after="0" w:before="0"/>
              <w:ind w:left="0" w:firstLine="0"/>
              <w:jc w:val="center"/>
            </w:pPr>
            <w:r>
              <w:rPr>
                <w:b w:val="0"/>
                <w:sz w:val="20"/>
              </w:rPr>
              <w:t>8</w:t>
            </w:r>
          </w:p>
        </w:tc>
        <w:tc>
          <w:tcPr>
            <w:tcW w:type="dxa" w:w="533"/>
            <w:vAlign w:val="center"/>
            <w:tcMar>
              <w:top w:w="35" w:type="dxa"/>
              <w:bottom w:w="35" w:type="dxa"/>
              <w:left w:w="35" w:type="dxa"/>
              <w:right w:w="35" w:type="dxa"/>
            </w:tcMar>
          </w:tcPr>
          <w:p>
            <w:pPr>
              <w:pStyle w:val="MDPI42tablebody"/>
              <w:spacing w:after="0" w:before="0"/>
              <w:ind w:left="0" w:firstLine="0"/>
              <w:jc w:val="center"/>
            </w:pPr>
            <w:r>
              <w:rPr>
                <w:b w:val="0"/>
                <w:sz w:val="20"/>
              </w:rPr>
              <w:t>5</w:t>
            </w:r>
          </w:p>
        </w:tc>
        <w:tc>
          <w:tcPr>
            <w:tcW w:type="dxa" w:w="1295"/>
            <w:vAlign w:val="center"/>
            <w:tcMar>
              <w:top w:w="35" w:type="dxa"/>
              <w:bottom w:w="35" w:type="dxa"/>
              <w:left w:w="35" w:type="dxa"/>
              <w:right w:w="35" w:type="dxa"/>
            </w:tcMar>
          </w:tcPr>
          <w:p>
            <w:pPr>
              <w:pStyle w:val="MDPI42tablebody"/>
              <w:spacing w:after="0" w:before="0"/>
              <w:ind w:left="0" w:firstLine="0"/>
              <w:jc w:val="center"/>
            </w:pPr>
            <w:r>
              <w:rPr>
                <w:b w:val="0"/>
                <w:sz w:val="20"/>
              </w:rPr>
              <w:t>3.681</w:t>
            </w:r>
          </w:p>
        </w:tc>
        <w:tc>
          <w:tcPr>
            <w:tcW w:type="dxa" w:w="1295"/>
            <w:vAlign w:val="center"/>
            <w:tcMar>
              <w:top w:w="35" w:type="dxa"/>
              <w:bottom w:w="35" w:type="dxa"/>
              <w:left w:w="35" w:type="dxa"/>
              <w:right w:w="35" w:type="dxa"/>
            </w:tcMar>
          </w:tcPr>
          <w:p>
            <w:pPr>
              <w:pStyle w:val="MDPI42tablebody"/>
              <w:spacing w:after="0" w:before="0"/>
              <w:ind w:left="0" w:firstLine="0"/>
              <w:jc w:val="center"/>
            </w:pPr>
            <w:r>
              <w:rPr>
                <w:b w:val="0"/>
                <w:sz w:val="20"/>
              </w:rPr>
              <w:t>3.284</w:t>
            </w:r>
          </w:p>
        </w:tc>
        <w:tc>
          <w:tcPr>
            <w:tcW w:type="dxa" w:w="1067"/>
            <w:vAlign w:val="center"/>
            <w:tcMar>
              <w:top w:w="35" w:type="dxa"/>
              <w:bottom w:w="35" w:type="dxa"/>
              <w:left w:w="35" w:type="dxa"/>
              <w:right w:w="35" w:type="dxa"/>
            </w:tcMar>
          </w:tcPr>
          <w:p>
            <w:pPr>
              <w:pStyle w:val="MDPI42tablebody"/>
              <w:spacing w:after="0" w:before="0"/>
              <w:ind w:left="0" w:firstLine="0"/>
              <w:jc w:val="center"/>
            </w:pPr>
            <w:r>
              <w:rPr>
                <w:b w:val="0"/>
                <w:sz w:val="20"/>
              </w:rPr>
              <w:t>0.830</w:t>
            </w:r>
          </w:p>
        </w:tc>
      </w:tr>
      <w:tr>
        <w:trPr>
          <w:cantSplit/>
        </w:trPr>
        <w:tc>
          <w:tcPr>
            <w:tcW w:type="dxa" w:w="2514"/>
            <w:vAlign w:val="center"/>
            <w:tcMar>
              <w:top w:w="35" w:type="dxa"/>
              <w:bottom w:w="35" w:type="dxa"/>
              <w:left w:w="35" w:type="dxa"/>
              <w:right w:w="35" w:type="dxa"/>
            </w:tcMar>
          </w:tcPr>
          <w:p>
            <w:pPr>
              <w:pStyle w:val="MDPI42tablebody"/>
              <w:spacing w:after="0" w:before="0"/>
              <w:ind w:left="0" w:firstLine="0"/>
              <w:jc w:val="center"/>
            </w:pPr>
            <w:r>
              <w:rPr>
                <w:b w:val="0"/>
                <w:sz w:val="20"/>
              </w:rPr>
              <w:t>MC-UVE rank-PLS</w:t>
            </w:r>
          </w:p>
        </w:tc>
        <w:tc>
          <w:tcPr>
            <w:tcW w:type="dxa" w:w="1143"/>
            <w:vAlign w:val="center"/>
            <w:tcMar>
              <w:top w:w="35" w:type="dxa"/>
              <w:bottom w:w="35" w:type="dxa"/>
              <w:left w:w="35" w:type="dxa"/>
              <w:right w:w="35" w:type="dxa"/>
            </w:tcMar>
          </w:tcPr>
          <w:p>
            <w:pPr>
              <w:pStyle w:val="MDPI42tablebody"/>
              <w:spacing w:after="0" w:before="0"/>
              <w:ind w:left="0" w:firstLine="0"/>
              <w:jc w:val="center"/>
            </w:pPr>
            <w:r>
              <w:rPr>
                <w:b w:val="0"/>
                <w:sz w:val="20"/>
              </w:rPr>
              <w:t>8</w:t>
            </w:r>
          </w:p>
        </w:tc>
        <w:tc>
          <w:tcPr>
            <w:tcW w:type="dxa" w:w="533"/>
            <w:vAlign w:val="center"/>
            <w:tcMar>
              <w:top w:w="35" w:type="dxa"/>
              <w:bottom w:w="35" w:type="dxa"/>
              <w:left w:w="35" w:type="dxa"/>
              <w:right w:w="35" w:type="dxa"/>
            </w:tcMar>
          </w:tcPr>
          <w:p>
            <w:pPr>
              <w:pStyle w:val="MDPI42tablebody"/>
              <w:spacing w:after="0" w:before="0"/>
              <w:ind w:left="0" w:firstLine="0"/>
              <w:jc w:val="center"/>
            </w:pPr>
            <w:r>
              <w:rPr>
                <w:b w:val="0"/>
                <w:sz w:val="20"/>
              </w:rPr>
              <w:t>2</w:t>
            </w:r>
          </w:p>
        </w:tc>
        <w:tc>
          <w:tcPr>
            <w:tcW w:type="dxa" w:w="1295"/>
            <w:vAlign w:val="center"/>
            <w:tcMar>
              <w:top w:w="35" w:type="dxa"/>
              <w:bottom w:w="35" w:type="dxa"/>
              <w:left w:w="35" w:type="dxa"/>
              <w:right w:w="35" w:type="dxa"/>
            </w:tcMar>
          </w:tcPr>
          <w:p>
            <w:pPr>
              <w:pStyle w:val="MDPI42tablebody"/>
              <w:spacing w:after="0" w:before="0"/>
              <w:ind w:left="0" w:firstLine="0"/>
              <w:jc w:val="center"/>
            </w:pPr>
            <w:r>
              <w:rPr>
                <w:b w:val="0"/>
                <w:sz w:val="20"/>
              </w:rPr>
              <w:t>3.686</w:t>
            </w:r>
          </w:p>
        </w:tc>
        <w:tc>
          <w:tcPr>
            <w:tcW w:type="dxa" w:w="1295"/>
            <w:vAlign w:val="center"/>
            <w:tcMar>
              <w:top w:w="35" w:type="dxa"/>
              <w:bottom w:w="35" w:type="dxa"/>
              <w:left w:w="35" w:type="dxa"/>
              <w:right w:w="35" w:type="dxa"/>
            </w:tcMar>
          </w:tcPr>
          <w:p>
            <w:pPr>
              <w:pStyle w:val="MDPI42tablebody"/>
              <w:spacing w:after="0" w:before="0"/>
              <w:ind w:left="0" w:firstLine="0"/>
              <w:jc w:val="center"/>
            </w:pPr>
            <w:r>
              <w:rPr>
                <w:b w:val="0"/>
                <w:sz w:val="20"/>
              </w:rPr>
              <w:t>2.772</w:t>
            </w:r>
          </w:p>
        </w:tc>
        <w:tc>
          <w:tcPr>
            <w:tcW w:type="dxa" w:w="1067"/>
            <w:vAlign w:val="center"/>
            <w:tcMar>
              <w:top w:w="35" w:type="dxa"/>
              <w:bottom w:w="35" w:type="dxa"/>
              <w:left w:w="35" w:type="dxa"/>
              <w:right w:w="35" w:type="dxa"/>
            </w:tcMar>
          </w:tcPr>
          <w:p>
            <w:pPr>
              <w:pStyle w:val="MDPI42tablebody"/>
              <w:spacing w:after="0" w:before="0"/>
              <w:ind w:left="0" w:firstLine="0"/>
              <w:jc w:val="center"/>
            </w:pPr>
            <w:r>
              <w:rPr>
                <w:b w:val="0"/>
                <w:sz w:val="20"/>
              </w:rPr>
              <w:t>0.879</w:t>
            </w:r>
          </w:p>
        </w:tc>
      </w:tr>
      <w:tr>
        <w:trPr>
          <w:cantSplit/>
        </w:trPr>
        <w:tc>
          <w:tcPr>
            <w:tcW w:type="dxa" w:w="2514"/>
            <w:vAlign w:val="center"/>
            <w:tcMar>
              <w:top w:w="35" w:type="dxa"/>
              <w:bottom w:w="35" w:type="dxa"/>
              <w:left w:w="35" w:type="dxa"/>
              <w:right w:w="35" w:type="dxa"/>
            </w:tcMar>
          </w:tcPr>
          <w:p>
            <w:pPr>
              <w:pStyle w:val="MDPI42tablebody"/>
              <w:spacing w:after="0" w:before="0"/>
              <w:ind w:left="0" w:firstLine="0"/>
              <w:jc w:val="center"/>
            </w:pPr>
            <w:r>
              <w:rPr>
                <w:b w:val="0"/>
                <w:sz w:val="20"/>
              </w:rPr>
              <w:t>RT-PLS</w:t>
            </w:r>
          </w:p>
        </w:tc>
        <w:tc>
          <w:tcPr>
            <w:tcW w:type="dxa" w:w="1143"/>
            <w:vAlign w:val="center"/>
            <w:tcMar>
              <w:top w:w="35" w:type="dxa"/>
              <w:bottom w:w="35" w:type="dxa"/>
              <w:left w:w="35" w:type="dxa"/>
              <w:right w:w="35" w:type="dxa"/>
            </w:tcMar>
          </w:tcPr>
          <w:p>
            <w:pPr>
              <w:pStyle w:val="MDPI42tablebody"/>
              <w:spacing w:after="0" w:before="0"/>
              <w:ind w:left="0" w:firstLine="0"/>
              <w:jc w:val="center"/>
            </w:pPr>
            <w:r>
              <w:rPr>
                <w:b w:val="0"/>
                <w:sz w:val="20"/>
              </w:rPr>
              <w:t>8</w:t>
            </w:r>
          </w:p>
        </w:tc>
        <w:tc>
          <w:tcPr>
            <w:tcW w:type="dxa" w:w="533"/>
            <w:vAlign w:val="center"/>
            <w:tcMar>
              <w:top w:w="35" w:type="dxa"/>
              <w:bottom w:w="35" w:type="dxa"/>
              <w:left w:w="35" w:type="dxa"/>
              <w:right w:w="35" w:type="dxa"/>
            </w:tcMar>
          </w:tcPr>
          <w:p>
            <w:pPr>
              <w:pStyle w:val="MDPI42tablebody"/>
              <w:spacing w:after="0" w:before="0"/>
              <w:ind w:left="0" w:firstLine="0"/>
              <w:jc w:val="center"/>
            </w:pPr>
            <w:r>
              <w:rPr>
                <w:b w:val="0"/>
                <w:sz w:val="20"/>
              </w:rPr>
              <w:t>2</w:t>
            </w:r>
          </w:p>
        </w:tc>
        <w:tc>
          <w:tcPr>
            <w:tcW w:type="dxa" w:w="1295"/>
            <w:vAlign w:val="center"/>
            <w:tcMar>
              <w:top w:w="35" w:type="dxa"/>
              <w:bottom w:w="35" w:type="dxa"/>
              <w:left w:w="35" w:type="dxa"/>
              <w:right w:w="35" w:type="dxa"/>
            </w:tcMar>
          </w:tcPr>
          <w:p>
            <w:pPr>
              <w:pStyle w:val="MDPI42tablebody"/>
              <w:spacing w:after="0" w:before="0"/>
              <w:ind w:left="0" w:firstLine="0"/>
              <w:jc w:val="center"/>
            </w:pPr>
            <w:r>
              <w:rPr>
                <w:b w:val="0"/>
                <w:sz w:val="20"/>
              </w:rPr>
              <w:t>3.783</w:t>
            </w:r>
          </w:p>
        </w:tc>
        <w:tc>
          <w:tcPr>
            <w:tcW w:type="dxa" w:w="1295"/>
            <w:vAlign w:val="center"/>
            <w:tcMar>
              <w:top w:w="35" w:type="dxa"/>
              <w:bottom w:w="35" w:type="dxa"/>
              <w:left w:w="35" w:type="dxa"/>
              <w:right w:w="35" w:type="dxa"/>
            </w:tcMar>
          </w:tcPr>
          <w:p>
            <w:pPr>
              <w:pStyle w:val="MDPI42tablebody"/>
              <w:spacing w:after="0" w:before="0"/>
              <w:ind w:left="0" w:firstLine="0"/>
              <w:jc w:val="center"/>
            </w:pPr>
            <w:r>
              <w:rPr>
                <w:b w:val="0"/>
                <w:sz w:val="20"/>
              </w:rPr>
              <w:t>2.746</w:t>
            </w:r>
          </w:p>
        </w:tc>
        <w:tc>
          <w:tcPr>
            <w:tcW w:type="dxa" w:w="1067"/>
            <w:vAlign w:val="center"/>
            <w:tcMar>
              <w:top w:w="35" w:type="dxa"/>
              <w:bottom w:w="35" w:type="dxa"/>
              <w:left w:w="35" w:type="dxa"/>
              <w:right w:w="35" w:type="dxa"/>
            </w:tcMar>
          </w:tcPr>
          <w:p>
            <w:pPr>
              <w:pStyle w:val="MDPI42tablebody"/>
              <w:spacing w:after="0" w:before="0"/>
              <w:ind w:left="0" w:firstLine="0"/>
              <w:jc w:val="center"/>
            </w:pPr>
            <w:r>
              <w:rPr>
                <w:b w:val="0"/>
                <w:sz w:val="20"/>
              </w:rPr>
              <w:t>0.881</w:t>
            </w:r>
          </w:p>
        </w:tc>
      </w:tr>
      <w:tr>
        <w:trPr>
          <w:cantSplit/>
        </w:trPr>
        <w:tc>
          <w:tcPr>
            <w:tcW w:type="dxa" w:w="2514"/>
            <w:vAlign w:val="center"/>
            <w:tcMar>
              <w:top w:w="35" w:type="dxa"/>
              <w:bottom w:w="35" w:type="dxa"/>
              <w:left w:w="35" w:type="dxa"/>
              <w:right w:w="35" w:type="dxa"/>
            </w:tcMar>
          </w:tcPr>
          <w:p>
            <w:pPr>
              <w:pStyle w:val="MDPI42tablebody"/>
              <w:spacing w:after="0" w:before="0"/>
              <w:ind w:left="0" w:firstLine="0"/>
              <w:jc w:val="center"/>
            </w:pPr>
            <w:r>
              <w:rPr>
                <w:b w:val="0"/>
                <w:sz w:val="20"/>
              </w:rPr>
              <w:t>C-value-PLS</w:t>
            </w:r>
          </w:p>
        </w:tc>
        <w:tc>
          <w:tcPr>
            <w:tcW w:type="dxa" w:w="1143"/>
            <w:vAlign w:val="center"/>
            <w:tcMar>
              <w:top w:w="35" w:type="dxa"/>
              <w:bottom w:w="35" w:type="dxa"/>
              <w:left w:w="35" w:type="dxa"/>
              <w:right w:w="35" w:type="dxa"/>
            </w:tcMar>
          </w:tcPr>
          <w:p>
            <w:pPr>
              <w:pStyle w:val="MDPI42tablebody"/>
              <w:spacing w:after="0" w:before="0"/>
              <w:ind w:left="0" w:firstLine="0"/>
              <w:jc w:val="center"/>
            </w:pPr>
            <w:r>
              <w:rPr>
                <w:b w:val="0"/>
                <w:sz w:val="20"/>
              </w:rPr>
              <w:t>32</w:t>
            </w:r>
          </w:p>
        </w:tc>
        <w:tc>
          <w:tcPr>
            <w:tcW w:type="dxa" w:w="533"/>
            <w:vAlign w:val="center"/>
            <w:tcMar>
              <w:top w:w="35" w:type="dxa"/>
              <w:bottom w:w="35" w:type="dxa"/>
              <w:left w:w="35" w:type="dxa"/>
              <w:right w:w="35" w:type="dxa"/>
            </w:tcMar>
          </w:tcPr>
          <w:p>
            <w:pPr>
              <w:pStyle w:val="MDPI42tablebody"/>
              <w:spacing w:after="0" w:before="0"/>
              <w:ind w:left="0" w:firstLine="0"/>
              <w:jc w:val="center"/>
            </w:pPr>
            <w:r>
              <w:rPr>
                <w:b w:val="0"/>
                <w:sz w:val="20"/>
              </w:rPr>
              <w:t>3</w:t>
            </w:r>
          </w:p>
        </w:tc>
        <w:tc>
          <w:tcPr>
            <w:tcW w:type="dxa" w:w="1295"/>
            <w:vAlign w:val="center"/>
            <w:tcMar>
              <w:top w:w="35" w:type="dxa"/>
              <w:bottom w:w="35" w:type="dxa"/>
              <w:left w:w="35" w:type="dxa"/>
              <w:right w:w="35" w:type="dxa"/>
            </w:tcMar>
          </w:tcPr>
          <w:p>
            <w:pPr>
              <w:pStyle w:val="MDPI42tablebody"/>
              <w:spacing w:after="0" w:before="0"/>
              <w:ind w:left="0" w:firstLine="0"/>
              <w:jc w:val="center"/>
            </w:pPr>
            <w:r>
              <w:rPr>
                <w:b w:val="0"/>
                <w:sz w:val="20"/>
              </w:rPr>
              <w:t>3.744</w:t>
            </w:r>
          </w:p>
        </w:tc>
        <w:tc>
          <w:tcPr>
            <w:tcW w:type="dxa" w:w="1295"/>
            <w:vAlign w:val="center"/>
            <w:tcMar>
              <w:top w:w="35" w:type="dxa"/>
              <w:bottom w:w="35" w:type="dxa"/>
              <w:left w:w="35" w:type="dxa"/>
              <w:right w:w="35" w:type="dxa"/>
            </w:tcMar>
          </w:tcPr>
          <w:p>
            <w:pPr>
              <w:pStyle w:val="MDPI42tablebody"/>
              <w:spacing w:after="0" w:before="0"/>
              <w:ind w:left="0" w:firstLine="0"/>
              <w:jc w:val="center"/>
            </w:pPr>
            <w:r>
              <w:rPr>
                <w:b w:val="0"/>
                <w:sz w:val="20"/>
              </w:rPr>
              <w:t>3.178</w:t>
            </w:r>
          </w:p>
        </w:tc>
        <w:tc>
          <w:tcPr>
            <w:tcW w:type="dxa" w:w="1067"/>
            <w:vAlign w:val="center"/>
            <w:tcMar>
              <w:top w:w="35" w:type="dxa"/>
              <w:bottom w:w="35" w:type="dxa"/>
              <w:left w:w="35" w:type="dxa"/>
              <w:right w:w="35" w:type="dxa"/>
            </w:tcMar>
          </w:tcPr>
          <w:p>
            <w:pPr>
              <w:pStyle w:val="MDPI42tablebody"/>
              <w:spacing w:after="0" w:before="0"/>
              <w:ind w:left="0" w:firstLine="0"/>
              <w:jc w:val="center"/>
            </w:pPr>
            <w:r>
              <w:rPr>
                <w:b w:val="0"/>
                <w:sz w:val="20"/>
              </w:rPr>
              <w:t>0.841</w:t>
            </w:r>
          </w:p>
        </w:tc>
      </w:tr>
      <w:tr>
        <w:trPr>
          <w:cantSplit/>
        </w:trPr>
        <w:tc>
          <w:tcPr>
            <w:tcW w:type="dxa" w:w="2514"/>
            <w:vAlign w:val="center"/>
            <w:tcMar>
              <w:top w:w="35" w:type="dxa"/>
              <w:bottom w:w="35" w:type="dxa"/>
              <w:left w:w="35" w:type="dxa"/>
              <w:right w:w="35" w:type="dxa"/>
            </w:tcMar>
          </w:tcPr>
          <w:p>
            <w:pPr>
              <w:pStyle w:val="MDPI42tablebody"/>
              <w:spacing w:after="0" w:before="0"/>
              <w:ind w:left="0" w:firstLine="0"/>
              <w:jc w:val="center"/>
            </w:pPr>
            <w:r>
              <w:rPr>
                <w:b w:val="0"/>
                <w:sz w:val="20"/>
              </w:rPr>
              <w:t>BSRS-PLS</w:t>
            </w:r>
          </w:p>
        </w:tc>
        <w:tc>
          <w:tcPr>
            <w:tcW w:type="dxa" w:w="1143"/>
            <w:vAlign w:val="center"/>
            <w:tcMar>
              <w:top w:w="35" w:type="dxa"/>
              <w:bottom w:w="35" w:type="dxa"/>
              <w:left w:w="35" w:type="dxa"/>
              <w:right w:w="35" w:type="dxa"/>
            </w:tcMar>
          </w:tcPr>
          <w:p>
            <w:pPr>
              <w:pStyle w:val="MDPI42tablebody"/>
              <w:spacing w:after="0" w:before="0"/>
              <w:ind w:left="0" w:firstLine="0"/>
              <w:jc w:val="center"/>
            </w:pPr>
            <w:r>
              <w:rPr>
                <w:b w:val="0"/>
                <w:sz w:val="20"/>
              </w:rPr>
              <w:t>8</w:t>
            </w:r>
          </w:p>
        </w:tc>
        <w:tc>
          <w:tcPr>
            <w:tcW w:type="dxa" w:w="533"/>
            <w:vAlign w:val="center"/>
            <w:tcMar>
              <w:top w:w="35" w:type="dxa"/>
              <w:bottom w:w="35" w:type="dxa"/>
              <w:left w:w="35" w:type="dxa"/>
              <w:right w:w="35" w:type="dxa"/>
            </w:tcMar>
          </w:tcPr>
          <w:p>
            <w:pPr>
              <w:pStyle w:val="MDPI42tablebody"/>
              <w:spacing w:after="0" w:before="0"/>
              <w:ind w:left="0" w:firstLine="0"/>
              <w:jc w:val="center"/>
            </w:pPr>
            <w:r>
              <w:rPr>
                <w:b w:val="0"/>
                <w:sz w:val="20"/>
              </w:rPr>
              <w:t>3</w:t>
            </w:r>
          </w:p>
        </w:tc>
        <w:tc>
          <w:tcPr>
            <w:tcW w:type="dxa" w:w="1295"/>
            <w:vAlign w:val="center"/>
            <w:tcMar>
              <w:top w:w="35" w:type="dxa"/>
              <w:bottom w:w="35" w:type="dxa"/>
              <w:left w:w="35" w:type="dxa"/>
              <w:right w:w="35" w:type="dxa"/>
            </w:tcMar>
          </w:tcPr>
          <w:p>
            <w:pPr>
              <w:pStyle w:val="MDPI42tablebody"/>
              <w:spacing w:after="0" w:before="0"/>
              <w:ind w:left="0" w:firstLine="0"/>
              <w:jc w:val="center"/>
            </w:pPr>
            <w:r>
              <w:rPr>
                <w:b w:val="0"/>
                <w:sz w:val="20"/>
              </w:rPr>
              <w:t>3.457</w:t>
            </w:r>
          </w:p>
        </w:tc>
        <w:tc>
          <w:tcPr>
            <w:tcW w:type="dxa" w:w="1295"/>
            <w:vAlign w:val="center"/>
            <w:tcMar>
              <w:top w:w="35" w:type="dxa"/>
              <w:bottom w:w="35" w:type="dxa"/>
              <w:left w:w="35" w:type="dxa"/>
              <w:right w:w="35" w:type="dxa"/>
            </w:tcMar>
          </w:tcPr>
          <w:p>
            <w:pPr>
              <w:pStyle w:val="MDPI42tablebody"/>
              <w:spacing w:after="0" w:before="0"/>
              <w:ind w:left="0" w:firstLine="0"/>
              <w:jc w:val="center"/>
            </w:pPr>
            <w:r>
              <w:rPr>
                <w:b w:val="0"/>
                <w:sz w:val="20"/>
              </w:rPr>
              <w:t>2.806</w:t>
            </w:r>
          </w:p>
        </w:tc>
        <w:tc>
          <w:tcPr>
            <w:tcW w:type="dxa" w:w="1067"/>
            <w:vAlign w:val="center"/>
            <w:tcMar>
              <w:top w:w="35" w:type="dxa"/>
              <w:bottom w:w="35" w:type="dxa"/>
              <w:left w:w="35" w:type="dxa"/>
              <w:right w:w="35" w:type="dxa"/>
            </w:tcMar>
          </w:tcPr>
          <w:p>
            <w:pPr>
              <w:pStyle w:val="MDPI42tablebody"/>
              <w:spacing w:after="0" w:before="0"/>
              <w:ind w:left="0" w:firstLine="0"/>
              <w:jc w:val="center"/>
            </w:pPr>
            <w:r>
              <w:rPr>
                <w:b w:val="0"/>
                <w:sz w:val="20"/>
              </w:rPr>
              <w:t>0.876</w:t>
            </w:r>
          </w:p>
        </w:tc>
      </w:tr>
    </w:tbl>
    <w:p>
      <w:pPr>
        <w:pStyle w:val="MDPI43tablefooter"/>
        <w:widowControl/>
      </w:pPr>
      <w:r>
        <w:t xml:space="preserve">Errors are in mg </w:t>
      </w:r>
      <w:r>
        <w:t>g</w:t>
      </w:r>
      <w:r>
        <w:rPr>
          <w:vertAlign w:val="superscript"/>
        </w:rPr>
        <w:t>−1</w:t>
      </w:r>
      <w:r>
        <w:t>. LV is the effective final component count. UVE rank and MC-UVE rank use CV-tuned reliability prefixes; C-value-PLS uses the adapted random inclusion design.</w:t>
      </w:r>
    </w:p>
    <w:p>
      <w:pPr>
        <w:pStyle w:val="MDPI52figure"/>
        <w:keepNext/>
        <w:widowControl/>
        <w:ind w:left="2608" w:firstLine="0"/>
        <w:jc w:val="center"/>
      </w:pPr>
      <w:r>
        <w:drawing>
          <wp:inline xmlns:a="http://schemas.openxmlformats.org/drawingml/2006/main" xmlns:pic="http://schemas.openxmlformats.org/drawingml/2006/picture">
            <wp:extent cx="4983480" cy="2654245"/>
            <wp:docPr id="5" name="Picture 5" descr="Performance and retained variable counts for full-spectrum PLS, UVE rank, MC-UVE rank, RT, adapted C-value and BSRS: (a) fivefold calibration RMSECV (open squares) and prediction RMSEP (circles), and (b) selected variable counts. The green star marks the minimum-calibration-RMSECV method. UVE and MC-UVE use cross-validated reliability-rank prefixes; the C-value random design is explicitly adapted."/>
            <wp:cNvGraphicFramePr>
              <a:graphicFrameLocks noChangeAspect="1"/>
            </wp:cNvGraphicFramePr>
            <a:graphic>
              <a:graphicData uri="http://schemas.openxmlformats.org/drawingml/2006/picture">
                <pic:pic>
                  <pic:nvPicPr>
                    <pic:cNvPr id="0" name="Figure_5.png"/>
                    <pic:cNvPicPr/>
                  </pic:nvPicPr>
                  <pic:blipFill>
                    <a:blip r:embed="rId22"/>
                    <a:stretch>
                      <a:fillRect/>
                    </a:stretch>
                  </pic:blipFill>
                  <pic:spPr>
                    <a:xfrm>
                      <a:off x="0" y="0"/>
                      <a:ext cx="4983480" cy="2654245"/>
                    </a:xfrm>
                    <a:prstGeom prst="rect"/>
                  </pic:spPr>
                </pic:pic>
              </a:graphicData>
            </a:graphic>
          </wp:inline>
        </w:drawing>
      </w:r>
    </w:p>
    <w:p>
      <w:pPr>
        <w:pStyle w:val="MDPI51figurecaption"/>
        <w:keepLines/>
        <w:widowControl/>
        <w:ind w:left="2608" w:firstLine="0"/>
      </w:pPr>
      <w:r>
        <w:rPr>
          <w:b/>
        </w:rPr>
        <w:t xml:space="preserve">Figure 5. </w:t>
      </w:r>
      <w:r>
        <w:t>Performance and retained variable counts for full-spectrum PLS, UVE rank, MC-UVE rank, RT, adapted C-value and BSRS: (a) fivefold calibration RMSECV (open squares) and prediction RMSEP (circles), and (b) selected variable counts. The green star marks the minimum-calibration-RMSECV method. UVE and MC-UVE use cross-validated reliability-rank prefixes; the C-value random design is explicitly adapted.</w:t>
      </w:r>
    </w:p>
    <w:p>
      <w:pPr>
        <w:pStyle w:val="MDPI52figure"/>
        <w:keepNext/>
        <w:widowControl/>
        <w:ind w:left="2608" w:firstLine="0"/>
        <w:jc w:val="center"/>
      </w:pPr>
      <w:r>
        <w:drawing>
          <wp:inline xmlns:a="http://schemas.openxmlformats.org/drawingml/2006/main" xmlns:pic="http://schemas.openxmlformats.org/drawingml/2006/picture">
            <wp:extent cx="4983480" cy="3409749"/>
            <wp:docPr id="6" name="Picture 6" descr="Reference and predicted C21 steroidal glycoside equivalent contents for full-spectrum PLS, MC-UVE rank and BSRS (columns). Panels (a-c) show calibration fits (n = 63), and panels (d-f) show prediction results (n = 21). Blue circles show predicted versus reference contents; red lines are descriptive linear fits, and black dashed lines indicate identity."/>
            <wp:cNvGraphicFramePr>
              <a:graphicFrameLocks noChangeAspect="1"/>
            </wp:cNvGraphicFramePr>
            <a:graphic>
              <a:graphicData uri="http://schemas.openxmlformats.org/drawingml/2006/picture">
                <pic:pic>
                  <pic:nvPicPr>
                    <pic:cNvPr id="0" name="Figure_6.png"/>
                    <pic:cNvPicPr/>
                  </pic:nvPicPr>
                  <pic:blipFill>
                    <a:blip r:embed="rId23"/>
                    <a:stretch>
                      <a:fillRect/>
                    </a:stretch>
                  </pic:blipFill>
                  <pic:spPr>
                    <a:xfrm>
                      <a:off x="0" y="0"/>
                      <a:ext cx="4983480" cy="3409749"/>
                    </a:xfrm>
                    <a:prstGeom prst="rect"/>
                  </pic:spPr>
                </pic:pic>
              </a:graphicData>
            </a:graphic>
          </wp:inline>
        </w:drawing>
      </w:r>
    </w:p>
    <w:p>
      <w:pPr>
        <w:pStyle w:val="MDPI51figurecaption"/>
        <w:keepLines/>
        <w:widowControl/>
        <w:ind w:left="2608" w:firstLine="0"/>
      </w:pPr>
      <w:r>
        <w:rPr>
          <w:b/>
        </w:rPr>
        <w:t xml:space="preserve">Figure 6. </w:t>
      </w:r>
      <w:r>
        <w:t>Reference and predicted C21 steroidal glycoside equivalent contents for full-spectrum PLS, MC-UVE rank and BSRS (columns). Panels (a-c) show calibration fits (n = 63), and panels (d-f) show prediction results (n = 21). Blue circles show predicted versus reference contents; red lines are descriptive linear fits, and black dashed lines indicate identity.</w:t>
      </w:r>
    </w:p>
    <w:p>
      <w:pPr>
        <w:pStyle w:val="MDPI22heading2"/>
        <w:keepNext/>
        <w:widowControl/>
      </w:pPr>
      <w:r>
        <w:t>4.4. Selected wavelengths and BSRS components</w:t>
      </w:r>
    </w:p>
    <w:p>
      <w:pPr>
        <w:pStyle w:val="MDPI31text"/>
        <w:widowControl/>
      </w:pPr>
      <w:r>
        <w:t>Figure 7 shows the wavelength distributions retained by the selection methods, and Table S4 lists the BSRS wavelengths. BSRS retained eight variables: five positions at approximately 1614.81, 1709.39, 1812.56, 1993.12 and 2044.71 nm, and three at 2405.82, 2423.01 and 2440.21 nm. UVE rank and MC-UVE rank concentrated more of their eight variables near 1778–1804 and 2414–2440 nm, whereas BSRS included additional positions across the spectrum. The correlation penalty acts as a soft cost, so the retained BSRS subset can still contain neighboring or correlated variables when their importance is sufficiently high. These positions correspond to predictive spectral features on the selected preprocessing grid; their distribution alone does not establish glycoside-specific vibrational assignments.</w:t>
      </w:r>
    </w:p>
    <w:p>
      <w:pPr>
        <w:pStyle w:val="MDPI31text"/>
        <w:widowControl/>
      </w:pPr>
      <w:r>
        <w:t>Figure S3 and Table S3 summarize coefficient scores and selection consistency. Mean fold Jaccard similarities were 0.560 for UVE rank, 0.515 for MC-UVE rank, 0.707 for RT, 0.295 for C-value adapted and 0.410 for BSRS. RT produced the greatest overlap among its fold-selected sets. BSRS did not give the most consistent set despite using resampled coefficient scores, because the final subsets also depend on correlation updates and calibration-optimized prefix size. The overlap statistic complements the prediction results but does not by itself identify the most accurate method.</w:t>
      </w:r>
    </w:p>
    <w:p>
      <w:pPr>
        <w:pStyle w:val="MDPI31text"/>
        <w:widowControl/>
      </w:pPr>
      <w:r>
        <w:t xml:space="preserve">Table 5 and Figure S4 compare complete BSRS with the three component ablations. Complete BSRS gave the lowest ablation tuning RMSECV, 3.457 mg </w:t>
      </w:r>
      <w:r>
        <w:t>g</w:t>
      </w:r>
      <w:r>
        <w:rPr>
          <w:vertAlign w:val="superscript"/>
        </w:rPr>
        <w:t>−1</w:t>
      </w:r>
      <w:r>
        <w:t xml:space="preserve">. Removing sign weighting, smoothing or the redundancy penalty increased this value to 3.513, 3.665 and 3.601 mg </w:t>
      </w:r>
      <w:r>
        <w:t>g</w:t>
      </w:r>
      <w:r>
        <w:rPr>
          <w:vertAlign w:val="superscript"/>
        </w:rPr>
        <w:t>−1</w:t>
      </w:r>
      <w:r>
        <w:t xml:space="preserve">, respectively. Their prediction RMSEP values were 2.761, 2.625 and 2.900 mg </w:t>
      </w:r>
      <w:r>
        <w:t>g</w:t>
      </w:r>
      <w:r>
        <w:rPr>
          <w:vertAlign w:val="superscript"/>
        </w:rPr>
        <w:t>−1</w:t>
      </w:r>
      <w:r>
        <w:t>. The variant without smoothing retained four variables and four LVs and gave the lowest observed prediction error among these variants. The other two variants retained eight variables. This difference between calibration and prediction behavior shows that the favorable calibration score of complete BSRS does not imply that every component improves prediction in the withheld subset. Each ablation retained its own calibration-optimized subset and LV count. The comparison describes how the scoring components affect the present calibration and prediction results.</w:t>
      </w:r>
    </w:p>
    <w:p>
      <w:pPr>
        <w:pStyle w:val="MDPI31text"/>
        <w:widowControl/>
      </w:pPr>
      <w:r>
        <w:t xml:space="preserve">NIR calibration predicts the supplied colorimetric equivalent response. Overlapping botanical signals may reflect glycosides, correlated carbohydrates, moisture and particle properties, so individual-glycoside selectivity cannot be inferred from the selected wavelengths. The observed performance concerns a fixed partition of one sample cohort. Authenticated new batches and reference-assay verification would support subsequent application under different sample and measurement conditions </w:t>
      </w:r>
      <w:r>
        <w:rPr>
          <w:color w:val="075A78"/>
        </w:rPr>
        <w:t>[26,27]</w:t>
      </w:r>
      <w:r>
        <w:t>.</w:t>
      </w:r>
    </w:p>
    <w:p>
      <w:pPr>
        <w:pStyle w:val="MDPI52figure"/>
        <w:keepNext/>
        <w:widowControl/>
        <w:ind w:left="2608" w:firstLine="0"/>
        <w:jc w:val="center"/>
      </w:pPr>
      <w:r>
        <w:drawing>
          <wp:inline xmlns:a="http://schemas.openxmlformats.org/drawingml/2006/main" xmlns:pic="http://schemas.openxmlformats.org/drawingml/2006/picture">
            <wp:extent cx="4983480" cy="2657856"/>
            <wp:docPr id="7" name="Picture 7" descr="Wavelength positions retained by UVE (blue), MC-UVE (green), RT (magenta), adapted C-value (orange) and BSRS (red). Counts are shown in parentheses; the black line is the normalized mean raw calibration spectrum. Selected positions for derivative and CWT models refer to their uniform working grid."/>
            <wp:cNvGraphicFramePr>
              <a:graphicFrameLocks noChangeAspect="1"/>
            </wp:cNvGraphicFramePr>
            <a:graphic>
              <a:graphicData uri="http://schemas.openxmlformats.org/drawingml/2006/picture">
                <pic:pic>
                  <pic:nvPicPr>
                    <pic:cNvPr id="0" name="Figure_7.png"/>
                    <pic:cNvPicPr/>
                  </pic:nvPicPr>
                  <pic:blipFill>
                    <a:blip r:embed="rId24"/>
                    <a:stretch>
                      <a:fillRect/>
                    </a:stretch>
                  </pic:blipFill>
                  <pic:spPr>
                    <a:xfrm>
                      <a:off x="0" y="0"/>
                      <a:ext cx="4983480" cy="2657856"/>
                    </a:xfrm>
                    <a:prstGeom prst="rect"/>
                  </pic:spPr>
                </pic:pic>
              </a:graphicData>
            </a:graphic>
          </wp:inline>
        </w:drawing>
      </w:r>
    </w:p>
    <w:p>
      <w:pPr>
        <w:pStyle w:val="MDPI51figurecaption"/>
        <w:keepLines/>
        <w:widowControl/>
        <w:ind w:left="2608" w:firstLine="0"/>
      </w:pPr>
      <w:r>
        <w:rPr>
          <w:b/>
        </w:rPr>
        <w:t xml:space="preserve">Figure 7. </w:t>
      </w:r>
      <w:r>
        <w:t>Wavelength positions retained by UVE (blue), MC-UVE (green), RT (magenta), adapted C-value (orange) and BSRS (red). Counts are shown in parentheses; the black line is the normalized mean raw calibration spectrum. Selected positions for derivative and CWT models refer to their uniform working grid.</w:t>
      </w:r>
    </w:p>
    <w:p>
      <w:pPr>
        <w:pStyle w:val="MDPI41tablecaption"/>
        <w:keepNext/>
        <w:keepLines/>
        <w:widowControl/>
        <w:ind w:left="2608"/>
      </w:pPr>
      <w:r>
        <w:rPr>
          <w:b/>
        </w:rPr>
        <w:t xml:space="preserve">Table 5. </w:t>
      </w:r>
      <w:r>
        <w:t>Component ablation of BSRS, with calibration tuning repeated for each variant.</w:t>
      </w:r>
    </w:p>
    <w:tbl>
      <w:tblPr>
        <w:tblStyle w:val="MDPI41threelinetable"/>
        <w:tblW w:type="auto" w:w="0"/>
        <w:jc w:val="left"/>
        <w:tblLayout w:type="fixed"/>
        <w:tblLook w:firstColumn="1" w:firstRow="1" w:lastColumn="0" w:lastRow="0" w:noHBand="0" w:noVBand="1" w:val="04A0"/>
        <w:tblInd w:w="2608" w:type="dxa"/>
        <w:tblBorders>
          <w:top w:val="single" w:sz="6" w:color="000000"/>
          <w:bottom w:val="single" w:sz="6" w:color="000000"/>
          <w:left w:val="nil" w:sz="6" w:color="000000"/>
          <w:right w:val="nil" w:sz="6" w:color="000000"/>
          <w:insideH w:val="nil" w:sz="6" w:color="000000"/>
          <w:insideV w:val="nil" w:sz="6" w:color="000000"/>
        </w:tblBorders>
      </w:tblPr>
      <w:tblGrid>
        <w:gridCol w:w="3597"/>
        <w:gridCol w:w="1226"/>
        <w:gridCol w:w="572"/>
        <w:gridCol w:w="1144"/>
        <w:gridCol w:w="1308"/>
      </w:tblGrid>
      <w:tr>
        <w:trPr>
          <w:tblHeader/>
          <w:cantSplit/>
        </w:trPr>
        <w:tc>
          <w:tcPr>
            <w:tcW w:type="dxa" w:w="3597"/>
            <w:vAlign w:val="center"/>
            <w:tcBorders>
              <w:bottom w:val="single" w:sz="6"/>
            </w:tcBorders>
            <w:tcMar>
              <w:top w:w="35" w:type="dxa"/>
              <w:bottom w:w="35" w:type="dxa"/>
              <w:left w:w="35" w:type="dxa"/>
              <w:right w:w="35" w:type="dxa"/>
            </w:tcMar>
          </w:tcPr>
          <w:p>
            <w:pPr>
              <w:pStyle w:val="MDPI42tablebody"/>
              <w:spacing w:after="0" w:before="0"/>
              <w:ind w:left="0" w:firstLine="0"/>
              <w:jc w:val="center"/>
            </w:pPr>
            <w:r>
              <w:rPr>
                <w:b/>
                <w:sz w:val="20"/>
              </w:rPr>
              <w:t>Variant</w:t>
            </w:r>
          </w:p>
        </w:tc>
        <w:tc>
          <w:tcPr>
            <w:tcW w:type="dxa" w:w="1226"/>
            <w:vAlign w:val="center"/>
            <w:tcBorders>
              <w:bottom w:val="single" w:sz="6"/>
            </w:tcBorders>
            <w:tcMar>
              <w:top w:w="35" w:type="dxa"/>
              <w:bottom w:w="35" w:type="dxa"/>
              <w:left w:w="35" w:type="dxa"/>
              <w:right w:w="35" w:type="dxa"/>
            </w:tcMar>
          </w:tcPr>
          <w:p>
            <w:pPr>
              <w:pStyle w:val="MDPI42tablebody"/>
              <w:spacing w:after="0" w:before="0"/>
              <w:ind w:left="0" w:firstLine="0"/>
              <w:jc w:val="center"/>
            </w:pPr>
            <w:r>
              <w:rPr>
                <w:b/>
                <w:sz w:val="20"/>
              </w:rPr>
              <w:t>Variables</w:t>
            </w:r>
          </w:p>
        </w:tc>
        <w:tc>
          <w:tcPr>
            <w:tcW w:type="dxa" w:w="572"/>
            <w:vAlign w:val="center"/>
            <w:tcBorders>
              <w:bottom w:val="single" w:sz="6"/>
            </w:tcBorders>
            <w:tcMar>
              <w:top w:w="35" w:type="dxa"/>
              <w:bottom w:w="35" w:type="dxa"/>
              <w:left w:w="35" w:type="dxa"/>
              <w:right w:w="35" w:type="dxa"/>
            </w:tcMar>
          </w:tcPr>
          <w:p>
            <w:pPr>
              <w:pStyle w:val="MDPI42tablebody"/>
              <w:spacing w:after="0" w:before="0"/>
              <w:ind w:left="0" w:firstLine="0"/>
              <w:jc w:val="center"/>
            </w:pPr>
            <w:r>
              <w:rPr>
                <w:b/>
                <w:sz w:val="20"/>
              </w:rPr>
              <w:t>LV</w:t>
            </w:r>
          </w:p>
        </w:tc>
        <w:tc>
          <w:tcPr>
            <w:tcW w:type="dxa" w:w="1144"/>
            <w:vAlign w:val="center"/>
            <w:tcBorders>
              <w:bottom w:val="single" w:sz="6"/>
            </w:tcBorders>
            <w:tcMar>
              <w:top w:w="35" w:type="dxa"/>
              <w:bottom w:w="35" w:type="dxa"/>
              <w:left w:w="35" w:type="dxa"/>
              <w:right w:w="35" w:type="dxa"/>
            </w:tcMar>
          </w:tcPr>
          <w:p>
            <w:pPr>
              <w:pStyle w:val="MDPI42tablebody"/>
              <w:spacing w:after="0" w:before="0"/>
              <w:ind w:left="0" w:firstLine="0"/>
              <w:jc w:val="center"/>
            </w:pPr>
            <w:r>
              <w:rPr>
                <w:b/>
                <w:sz w:val="20"/>
              </w:rPr>
              <w:t>RMSECV</w:t>
            </w:r>
          </w:p>
        </w:tc>
        <w:tc>
          <w:tcPr>
            <w:tcW w:type="dxa" w:w="1308"/>
            <w:vAlign w:val="center"/>
            <w:tcBorders>
              <w:bottom w:val="single" w:sz="6"/>
            </w:tcBorders>
            <w:tcMar>
              <w:top w:w="35" w:type="dxa"/>
              <w:bottom w:w="35" w:type="dxa"/>
              <w:left w:w="35" w:type="dxa"/>
              <w:right w:w="35" w:type="dxa"/>
            </w:tcMar>
          </w:tcPr>
          <w:p>
            <w:pPr>
              <w:pStyle w:val="MDPI42tablebody"/>
              <w:spacing w:after="0" w:before="0"/>
              <w:ind w:left="0" w:firstLine="0"/>
              <w:jc w:val="center"/>
            </w:pPr>
            <w:r>
              <w:rPr>
                <w:b/>
                <w:sz w:val="20"/>
              </w:rPr>
              <w:t>RMSEP</w:t>
            </w:r>
          </w:p>
        </w:tc>
      </w:tr>
      <w:tr>
        <w:trPr>
          <w:cantSplit/>
        </w:trPr>
        <w:tc>
          <w:tcPr>
            <w:tcW w:type="dxa" w:w="3597"/>
            <w:vAlign w:val="center"/>
            <w:tcMar>
              <w:top w:w="35" w:type="dxa"/>
              <w:bottom w:w="35" w:type="dxa"/>
              <w:left w:w="35" w:type="dxa"/>
              <w:right w:w="35" w:type="dxa"/>
            </w:tcMar>
          </w:tcPr>
          <w:p>
            <w:pPr>
              <w:pStyle w:val="MDPI42tablebody"/>
              <w:spacing w:after="0" w:before="0"/>
              <w:ind w:left="0" w:firstLine="0"/>
              <w:jc w:val="center"/>
            </w:pPr>
            <w:r>
              <w:rPr>
                <w:b w:val="0"/>
                <w:sz w:val="20"/>
              </w:rPr>
              <w:t>Complete BSRS</w:t>
            </w:r>
          </w:p>
        </w:tc>
        <w:tc>
          <w:tcPr>
            <w:tcW w:type="dxa" w:w="1226"/>
            <w:vAlign w:val="center"/>
            <w:tcMar>
              <w:top w:w="35" w:type="dxa"/>
              <w:bottom w:w="35" w:type="dxa"/>
              <w:left w:w="35" w:type="dxa"/>
              <w:right w:w="35" w:type="dxa"/>
            </w:tcMar>
          </w:tcPr>
          <w:p>
            <w:pPr>
              <w:pStyle w:val="MDPI42tablebody"/>
              <w:spacing w:after="0" w:before="0"/>
              <w:ind w:left="0" w:firstLine="0"/>
              <w:jc w:val="center"/>
            </w:pPr>
            <w:r>
              <w:rPr>
                <w:b w:val="0"/>
                <w:sz w:val="20"/>
              </w:rPr>
              <w:t>8</w:t>
            </w:r>
          </w:p>
        </w:tc>
        <w:tc>
          <w:tcPr>
            <w:tcW w:type="dxa" w:w="572"/>
            <w:vAlign w:val="center"/>
            <w:tcMar>
              <w:top w:w="35" w:type="dxa"/>
              <w:bottom w:w="35" w:type="dxa"/>
              <w:left w:w="35" w:type="dxa"/>
              <w:right w:w="35" w:type="dxa"/>
            </w:tcMar>
          </w:tcPr>
          <w:p>
            <w:pPr>
              <w:pStyle w:val="MDPI42tablebody"/>
              <w:spacing w:after="0" w:before="0"/>
              <w:ind w:left="0" w:firstLine="0"/>
              <w:jc w:val="center"/>
            </w:pPr>
            <w:r>
              <w:rPr>
                <w:b w:val="0"/>
                <w:sz w:val="20"/>
              </w:rPr>
              <w:t>3</w:t>
            </w:r>
          </w:p>
        </w:tc>
        <w:tc>
          <w:tcPr>
            <w:tcW w:type="dxa" w:w="1144"/>
            <w:vAlign w:val="center"/>
            <w:tcMar>
              <w:top w:w="35" w:type="dxa"/>
              <w:bottom w:w="35" w:type="dxa"/>
              <w:left w:w="35" w:type="dxa"/>
              <w:right w:w="35" w:type="dxa"/>
            </w:tcMar>
          </w:tcPr>
          <w:p>
            <w:pPr>
              <w:pStyle w:val="MDPI42tablebody"/>
              <w:spacing w:after="0" w:before="0"/>
              <w:ind w:left="0" w:firstLine="0"/>
              <w:jc w:val="center"/>
            </w:pPr>
            <w:r>
              <w:rPr>
                <w:b w:val="0"/>
                <w:sz w:val="20"/>
              </w:rPr>
              <w:t>3.457</w:t>
            </w:r>
          </w:p>
        </w:tc>
        <w:tc>
          <w:tcPr>
            <w:tcW w:type="dxa" w:w="1308"/>
            <w:vAlign w:val="center"/>
            <w:tcMar>
              <w:top w:w="35" w:type="dxa"/>
              <w:bottom w:w="35" w:type="dxa"/>
              <w:left w:w="35" w:type="dxa"/>
              <w:right w:w="35" w:type="dxa"/>
            </w:tcMar>
          </w:tcPr>
          <w:p>
            <w:pPr>
              <w:pStyle w:val="MDPI42tablebody"/>
              <w:spacing w:after="0" w:before="0"/>
              <w:ind w:left="0" w:firstLine="0"/>
              <w:jc w:val="center"/>
            </w:pPr>
            <w:r>
              <w:rPr>
                <w:b w:val="0"/>
                <w:sz w:val="20"/>
              </w:rPr>
              <w:t>2.806</w:t>
            </w:r>
          </w:p>
        </w:tc>
      </w:tr>
      <w:tr>
        <w:trPr>
          <w:cantSplit/>
        </w:trPr>
        <w:tc>
          <w:tcPr>
            <w:tcW w:type="dxa" w:w="3597"/>
            <w:vAlign w:val="center"/>
            <w:tcMar>
              <w:top w:w="35" w:type="dxa"/>
              <w:bottom w:w="35" w:type="dxa"/>
              <w:left w:w="35" w:type="dxa"/>
              <w:right w:w="35" w:type="dxa"/>
            </w:tcMar>
          </w:tcPr>
          <w:p>
            <w:pPr>
              <w:pStyle w:val="MDPI42tablebody"/>
              <w:spacing w:after="0" w:before="0"/>
              <w:ind w:left="0" w:firstLine="0"/>
              <w:jc w:val="center"/>
            </w:pPr>
            <w:r>
              <w:rPr>
                <w:b w:val="0"/>
                <w:sz w:val="20"/>
              </w:rPr>
              <w:t>Without sign weighting</w:t>
            </w:r>
          </w:p>
        </w:tc>
        <w:tc>
          <w:tcPr>
            <w:tcW w:type="dxa" w:w="1226"/>
            <w:vAlign w:val="center"/>
            <w:tcMar>
              <w:top w:w="35" w:type="dxa"/>
              <w:bottom w:w="35" w:type="dxa"/>
              <w:left w:w="35" w:type="dxa"/>
              <w:right w:w="35" w:type="dxa"/>
            </w:tcMar>
          </w:tcPr>
          <w:p>
            <w:pPr>
              <w:pStyle w:val="MDPI42tablebody"/>
              <w:spacing w:after="0" w:before="0"/>
              <w:ind w:left="0" w:firstLine="0"/>
              <w:jc w:val="center"/>
            </w:pPr>
            <w:r>
              <w:rPr>
                <w:b w:val="0"/>
                <w:sz w:val="20"/>
              </w:rPr>
              <w:t>8</w:t>
            </w:r>
          </w:p>
        </w:tc>
        <w:tc>
          <w:tcPr>
            <w:tcW w:type="dxa" w:w="572"/>
            <w:vAlign w:val="center"/>
            <w:tcMar>
              <w:top w:w="35" w:type="dxa"/>
              <w:bottom w:w="35" w:type="dxa"/>
              <w:left w:w="35" w:type="dxa"/>
              <w:right w:w="35" w:type="dxa"/>
            </w:tcMar>
          </w:tcPr>
          <w:p>
            <w:pPr>
              <w:pStyle w:val="MDPI42tablebody"/>
              <w:spacing w:after="0" w:before="0"/>
              <w:ind w:left="0" w:firstLine="0"/>
              <w:jc w:val="center"/>
            </w:pPr>
            <w:r>
              <w:rPr>
                <w:b w:val="0"/>
                <w:sz w:val="20"/>
              </w:rPr>
              <w:t>3</w:t>
            </w:r>
          </w:p>
        </w:tc>
        <w:tc>
          <w:tcPr>
            <w:tcW w:type="dxa" w:w="1144"/>
            <w:vAlign w:val="center"/>
            <w:tcMar>
              <w:top w:w="35" w:type="dxa"/>
              <w:bottom w:w="35" w:type="dxa"/>
              <w:left w:w="35" w:type="dxa"/>
              <w:right w:w="35" w:type="dxa"/>
            </w:tcMar>
          </w:tcPr>
          <w:p>
            <w:pPr>
              <w:pStyle w:val="MDPI42tablebody"/>
              <w:spacing w:after="0" w:before="0"/>
              <w:ind w:left="0" w:firstLine="0"/>
              <w:jc w:val="center"/>
            </w:pPr>
            <w:r>
              <w:rPr>
                <w:b w:val="0"/>
                <w:sz w:val="20"/>
              </w:rPr>
              <w:t>3.513</w:t>
            </w:r>
          </w:p>
        </w:tc>
        <w:tc>
          <w:tcPr>
            <w:tcW w:type="dxa" w:w="1308"/>
            <w:vAlign w:val="center"/>
            <w:tcMar>
              <w:top w:w="35" w:type="dxa"/>
              <w:bottom w:w="35" w:type="dxa"/>
              <w:left w:w="35" w:type="dxa"/>
              <w:right w:w="35" w:type="dxa"/>
            </w:tcMar>
          </w:tcPr>
          <w:p>
            <w:pPr>
              <w:pStyle w:val="MDPI42tablebody"/>
              <w:spacing w:after="0" w:before="0"/>
              <w:ind w:left="0" w:firstLine="0"/>
              <w:jc w:val="center"/>
            </w:pPr>
            <w:r>
              <w:rPr>
                <w:b w:val="0"/>
                <w:sz w:val="20"/>
              </w:rPr>
              <w:t>2.761</w:t>
            </w:r>
          </w:p>
        </w:tc>
      </w:tr>
      <w:tr>
        <w:trPr>
          <w:cantSplit/>
        </w:trPr>
        <w:tc>
          <w:tcPr>
            <w:tcW w:type="dxa" w:w="3597"/>
            <w:vAlign w:val="center"/>
            <w:tcMar>
              <w:top w:w="35" w:type="dxa"/>
              <w:bottom w:w="35" w:type="dxa"/>
              <w:left w:w="35" w:type="dxa"/>
              <w:right w:w="35" w:type="dxa"/>
            </w:tcMar>
          </w:tcPr>
          <w:p>
            <w:pPr>
              <w:pStyle w:val="MDPI42tablebody"/>
              <w:spacing w:after="0" w:before="0"/>
              <w:ind w:left="0" w:firstLine="0"/>
              <w:jc w:val="center"/>
            </w:pPr>
            <w:r>
              <w:rPr>
                <w:b w:val="0"/>
                <w:sz w:val="20"/>
              </w:rPr>
              <w:t>Without smoothing</w:t>
            </w:r>
          </w:p>
        </w:tc>
        <w:tc>
          <w:tcPr>
            <w:tcW w:type="dxa" w:w="1226"/>
            <w:vAlign w:val="center"/>
            <w:tcMar>
              <w:top w:w="35" w:type="dxa"/>
              <w:bottom w:w="35" w:type="dxa"/>
              <w:left w:w="35" w:type="dxa"/>
              <w:right w:w="35" w:type="dxa"/>
            </w:tcMar>
          </w:tcPr>
          <w:p>
            <w:pPr>
              <w:pStyle w:val="MDPI42tablebody"/>
              <w:spacing w:after="0" w:before="0"/>
              <w:ind w:left="0" w:firstLine="0"/>
              <w:jc w:val="center"/>
            </w:pPr>
            <w:r>
              <w:rPr>
                <w:b w:val="0"/>
                <w:sz w:val="20"/>
              </w:rPr>
              <w:t>4</w:t>
            </w:r>
          </w:p>
        </w:tc>
        <w:tc>
          <w:tcPr>
            <w:tcW w:type="dxa" w:w="572"/>
            <w:vAlign w:val="center"/>
            <w:tcMar>
              <w:top w:w="35" w:type="dxa"/>
              <w:bottom w:w="35" w:type="dxa"/>
              <w:left w:w="35" w:type="dxa"/>
              <w:right w:w="35" w:type="dxa"/>
            </w:tcMar>
          </w:tcPr>
          <w:p>
            <w:pPr>
              <w:pStyle w:val="MDPI42tablebody"/>
              <w:spacing w:after="0" w:before="0"/>
              <w:ind w:left="0" w:firstLine="0"/>
              <w:jc w:val="center"/>
            </w:pPr>
            <w:r>
              <w:rPr>
                <w:b w:val="0"/>
                <w:sz w:val="20"/>
              </w:rPr>
              <w:t>4</w:t>
            </w:r>
          </w:p>
        </w:tc>
        <w:tc>
          <w:tcPr>
            <w:tcW w:type="dxa" w:w="1144"/>
            <w:vAlign w:val="center"/>
            <w:tcMar>
              <w:top w:w="35" w:type="dxa"/>
              <w:bottom w:w="35" w:type="dxa"/>
              <w:left w:w="35" w:type="dxa"/>
              <w:right w:w="35" w:type="dxa"/>
            </w:tcMar>
          </w:tcPr>
          <w:p>
            <w:pPr>
              <w:pStyle w:val="MDPI42tablebody"/>
              <w:spacing w:after="0" w:before="0"/>
              <w:ind w:left="0" w:firstLine="0"/>
              <w:jc w:val="center"/>
            </w:pPr>
            <w:r>
              <w:rPr>
                <w:b w:val="0"/>
                <w:sz w:val="20"/>
              </w:rPr>
              <w:t>3.665</w:t>
            </w:r>
          </w:p>
        </w:tc>
        <w:tc>
          <w:tcPr>
            <w:tcW w:type="dxa" w:w="1308"/>
            <w:vAlign w:val="center"/>
            <w:tcMar>
              <w:top w:w="35" w:type="dxa"/>
              <w:bottom w:w="35" w:type="dxa"/>
              <w:left w:w="35" w:type="dxa"/>
              <w:right w:w="35" w:type="dxa"/>
            </w:tcMar>
          </w:tcPr>
          <w:p>
            <w:pPr>
              <w:pStyle w:val="MDPI42tablebody"/>
              <w:spacing w:after="0" w:before="0"/>
              <w:ind w:left="0" w:firstLine="0"/>
              <w:jc w:val="center"/>
            </w:pPr>
            <w:r>
              <w:rPr>
                <w:b w:val="0"/>
                <w:sz w:val="20"/>
              </w:rPr>
              <w:t>2.625</w:t>
            </w:r>
          </w:p>
        </w:tc>
      </w:tr>
      <w:tr>
        <w:trPr>
          <w:cantSplit/>
        </w:trPr>
        <w:tc>
          <w:tcPr>
            <w:tcW w:type="dxa" w:w="3597"/>
            <w:vAlign w:val="center"/>
            <w:tcMar>
              <w:top w:w="35" w:type="dxa"/>
              <w:bottom w:w="35" w:type="dxa"/>
              <w:left w:w="35" w:type="dxa"/>
              <w:right w:w="35" w:type="dxa"/>
            </w:tcMar>
          </w:tcPr>
          <w:p>
            <w:pPr>
              <w:pStyle w:val="MDPI42tablebody"/>
              <w:spacing w:after="0" w:before="0"/>
              <w:ind w:left="0" w:firstLine="0"/>
              <w:jc w:val="center"/>
            </w:pPr>
            <w:r>
              <w:rPr>
                <w:b w:val="0"/>
                <w:sz w:val="20"/>
              </w:rPr>
              <w:t>Without redundancy penalty</w:t>
            </w:r>
          </w:p>
        </w:tc>
        <w:tc>
          <w:tcPr>
            <w:tcW w:type="dxa" w:w="1226"/>
            <w:vAlign w:val="center"/>
            <w:tcMar>
              <w:top w:w="35" w:type="dxa"/>
              <w:bottom w:w="35" w:type="dxa"/>
              <w:left w:w="35" w:type="dxa"/>
              <w:right w:w="35" w:type="dxa"/>
            </w:tcMar>
          </w:tcPr>
          <w:p>
            <w:pPr>
              <w:pStyle w:val="MDPI42tablebody"/>
              <w:spacing w:after="0" w:before="0"/>
              <w:ind w:left="0" w:firstLine="0"/>
              <w:jc w:val="center"/>
            </w:pPr>
            <w:r>
              <w:rPr>
                <w:b w:val="0"/>
                <w:sz w:val="20"/>
              </w:rPr>
              <w:t>8</w:t>
            </w:r>
          </w:p>
        </w:tc>
        <w:tc>
          <w:tcPr>
            <w:tcW w:type="dxa" w:w="572"/>
            <w:vAlign w:val="center"/>
            <w:tcMar>
              <w:top w:w="35" w:type="dxa"/>
              <w:bottom w:w="35" w:type="dxa"/>
              <w:left w:w="35" w:type="dxa"/>
              <w:right w:w="35" w:type="dxa"/>
            </w:tcMar>
          </w:tcPr>
          <w:p>
            <w:pPr>
              <w:pStyle w:val="MDPI42tablebody"/>
              <w:spacing w:after="0" w:before="0"/>
              <w:ind w:left="0" w:firstLine="0"/>
              <w:jc w:val="center"/>
            </w:pPr>
            <w:r>
              <w:rPr>
                <w:b w:val="0"/>
                <w:sz w:val="20"/>
              </w:rPr>
              <w:t>2</w:t>
            </w:r>
          </w:p>
        </w:tc>
        <w:tc>
          <w:tcPr>
            <w:tcW w:type="dxa" w:w="1144"/>
            <w:vAlign w:val="center"/>
            <w:tcMar>
              <w:top w:w="35" w:type="dxa"/>
              <w:bottom w:w="35" w:type="dxa"/>
              <w:left w:w="35" w:type="dxa"/>
              <w:right w:w="35" w:type="dxa"/>
            </w:tcMar>
          </w:tcPr>
          <w:p>
            <w:pPr>
              <w:pStyle w:val="MDPI42tablebody"/>
              <w:spacing w:after="0" w:before="0"/>
              <w:ind w:left="0" w:firstLine="0"/>
              <w:jc w:val="center"/>
            </w:pPr>
            <w:r>
              <w:rPr>
                <w:b w:val="0"/>
                <w:sz w:val="20"/>
              </w:rPr>
              <w:t>3.601</w:t>
            </w:r>
          </w:p>
        </w:tc>
        <w:tc>
          <w:tcPr>
            <w:tcW w:type="dxa" w:w="1308"/>
            <w:vAlign w:val="center"/>
            <w:tcMar>
              <w:top w:w="35" w:type="dxa"/>
              <w:bottom w:w="35" w:type="dxa"/>
              <w:left w:w="35" w:type="dxa"/>
              <w:right w:w="35" w:type="dxa"/>
            </w:tcMar>
          </w:tcPr>
          <w:p>
            <w:pPr>
              <w:pStyle w:val="MDPI42tablebody"/>
              <w:spacing w:after="0" w:before="0"/>
              <w:ind w:left="0" w:firstLine="0"/>
              <w:jc w:val="center"/>
            </w:pPr>
            <w:r>
              <w:rPr>
                <w:b w:val="0"/>
                <w:sz w:val="20"/>
              </w:rPr>
              <w:t>2.900</w:t>
            </w:r>
          </w:p>
        </w:tc>
      </w:tr>
    </w:tbl>
    <w:p>
      <w:pPr>
        <w:pStyle w:val="MDPI43tablefooter"/>
        <w:widowControl/>
      </w:pPr>
      <w:r>
        <w:t xml:space="preserve">Errors are in mg </w:t>
      </w:r>
      <w:r>
        <w:t>g</w:t>
      </w:r>
      <w:r>
        <w:rPr>
          <w:vertAlign w:val="superscript"/>
        </w:rPr>
        <w:t>−1</w:t>
      </w:r>
      <w:r>
        <w:t>. Ablations assess the roles of the three algorithm components; the complete method was specified before prediction-set evaluation.</w:t>
      </w:r>
    </w:p>
    <w:p>
      <w:pPr>
        <w:pStyle w:val="MDPI21heading1"/>
        <w:keepNext/>
        <w:widowControl/>
      </w:pPr>
      <w:r>
        <w:t>5. Conclusions</w:t>
      </w:r>
    </w:p>
    <w:p>
      <w:pPr>
        <w:pStyle w:val="MDPI31text"/>
        <w:widowControl/>
      </w:pPr>
      <w:r>
        <w:t xml:space="preserve">BSRS was developed to combine coefficient reliability, sign consistency, local spectral support and correlation control for NIR prediction of total C21 steroidal glycoside equivalents in Baishouwu. The analysis used 141 measured spectral variables and a fixed SPXY partition of 63 calibration and 21 prediction samples. After D2 preprocessing, BSRS selected eight variables and three LVs, giving the lowest variable-selection tuning RMSECV of 3.457 mg </w:t>
      </w:r>
      <w:r>
        <w:t>g</w:t>
      </w:r>
      <w:r>
        <w:rPr>
          <w:vertAlign w:val="superscript"/>
        </w:rPr>
        <w:t>−1</w:t>
      </w:r>
      <w:r>
        <w:t xml:space="preserve">. Its RMSEP was 2.806 mg </w:t>
      </w:r>
      <w:r>
        <w:t>g</w:t>
      </w:r>
      <w:r>
        <w:rPr>
          <w:vertAlign w:val="superscript"/>
        </w:rPr>
        <w:t>−1</w:t>
      </w:r>
      <w:r>
        <w:t xml:space="preserve"> with R²p of 0.876, compared with 2.897 mg </w:t>
      </w:r>
      <w:r>
        <w:t>g</w:t>
      </w:r>
      <w:r>
        <w:rPr>
          <w:vertAlign w:val="superscript"/>
        </w:rPr>
        <w:t>−1</w:t>
      </w:r>
      <w:r>
        <w:t xml:space="preserve"> for full-spectrum PLS. The 94.3% variable reduction demonstrates substantial spectral compression. RT gave a lower observed prediction RMSEP of 2.746 mg </w:t>
      </w:r>
      <w:r>
        <w:t>g</w:t>
      </w:r>
      <w:r>
        <w:rPr>
          <w:vertAlign w:val="superscript"/>
        </w:rPr>
        <w:t>−1</w:t>
      </w:r>
      <w:r>
        <w:t>, so BSRS was favorable for calibration-based model selection rather than uniformly best across performance measures. The full program and retained-variable lists provide a reproducible basis for subsequent evaluation with authenticated samples and a verified reference assay.</w:t>
      </w:r>
    </w:p>
    <w:p>
      <w:pPr>
        <w:pStyle w:val="MDPI62backmatter"/>
        <w:widowControl/>
      </w:pPr>
      <w:r>
        <w:rPr>
          <w:b/>
        </w:rPr>
        <w:t xml:space="preserve">Supplementary Materials: </w:t>
      </w:r>
      <w:r>
        <w:t>Figures S1–S4 and Tables S1–S5 provide transformed spectra, prediction residuals, BSRS diagnostics, component ablations, SPXY sample assignments, additional performance metrics, selected wavelengths and computational settings. The accompanying program reproduces the analysis, figures and Word files.</w:t>
      </w:r>
    </w:p>
    <w:p>
      <w:pPr>
        <w:pStyle w:val="MDPI62backmatter"/>
        <w:widowControl/>
      </w:pPr>
      <w:r>
        <w:rPr>
          <w:b/>
        </w:rPr>
        <w:t xml:space="preserve">Author Contributions: </w:t>
      </w:r>
      <w:r>
        <w:t>[The authors should complete and approve their individual CRediT roles.]</w:t>
      </w:r>
    </w:p>
    <w:p>
      <w:pPr>
        <w:pStyle w:val="MDPI62backmatter"/>
        <w:widowControl/>
      </w:pPr>
      <w:r>
        <w:rPr>
          <w:b/>
        </w:rPr>
        <w:t xml:space="preserve">Funding: </w:t>
      </w:r>
      <w:r>
        <w:t>This research was funded by the Research Start-up Fund of Jiangsu Medical College (20246105), the Key R&amp;D Program of Yancheng (YCBE202445), the Natural Science Foundation in Colleges of Jiangsu Province (25KJD150006), the 2025 Jiangsu Province Science and Technology Deputy General Manager Program (FZ20251560), the 2025 Jiangsu Province Industry–University–Research Cooperation Program (BY20250828), and the Fundamental Research Program of Shanxi Province (202503021212222).</w:t>
      </w:r>
    </w:p>
    <w:p>
      <w:pPr>
        <w:pStyle w:val="MDPI62backmatter"/>
        <w:widowControl/>
      </w:pPr>
      <w:r>
        <w:rPr>
          <w:b/>
        </w:rPr>
        <w:t xml:space="preserve">Institutional Review Board Statement: </w:t>
      </w:r>
      <w:r>
        <w:t>Not applicable.</w:t>
      </w:r>
    </w:p>
    <w:p>
      <w:pPr>
        <w:pStyle w:val="MDPI62backmatter"/>
        <w:widowControl/>
      </w:pPr>
      <w:r>
        <w:rPr>
          <w:b/>
        </w:rPr>
        <w:t xml:space="preserve">Informed Consent Statement: </w:t>
      </w:r>
      <w:r>
        <w:t>Not applicable.</w:t>
      </w:r>
    </w:p>
    <w:p>
      <w:pPr>
        <w:pStyle w:val="MDPI62backmatter"/>
        <w:widowControl/>
      </w:pPr>
      <w:r>
        <w:rPr>
          <w:b/>
        </w:rPr>
        <w:t xml:space="preserve">Data Availability Statement: </w:t>
      </w:r>
      <w:r>
        <w:t>The data, numerical results and code used in this study accompany the manuscript. [Add the public repository DOI before submission.]</w:t>
      </w:r>
    </w:p>
    <w:p>
      <w:pPr>
        <w:pStyle w:val="MDPI62backmatter"/>
        <w:widowControl/>
      </w:pPr>
      <w:r>
        <w:rPr>
          <w:b/>
        </w:rPr>
        <w:t xml:space="preserve">Acknowledgments: </w:t>
      </w:r>
      <w:r>
        <w:t>AI assistance was used for code development, graphics and manuscript drafting. [The authors should verify the analysis and complete the tool/version disclosure.]</w:t>
      </w:r>
    </w:p>
    <w:p>
      <w:pPr>
        <w:pStyle w:val="MDPI62backmatter"/>
        <w:widowControl/>
      </w:pPr>
      <w:r>
        <w:rPr>
          <w:b/>
        </w:rPr>
        <w:t xml:space="preserve">Conflicts of Interest: </w:t>
      </w:r>
      <w:r>
        <w:t>[The authors should complete their conflict-of-interest declaration.]</w:t>
      </w:r>
    </w:p>
    <w:p>
      <w:pPr>
        <w:pStyle w:val="MDPI21heading1"/>
        <w:keepNext/>
        <w:widowControl/>
      </w:pPr>
      <w:r>
        <w:t>Abbreviations</w:t>
      </w:r>
    </w:p>
    <w:p>
      <w:pPr>
        <w:pStyle w:val="MDPI32textnoindent"/>
        <w:widowControl/>
        <w:tabs>
          <w:tab w:pos="4048" w:val="left"/>
        </w:tabs>
        <w:spacing w:after="0"/>
      </w:pPr>
      <w:r>
        <w:rPr>
          <w:sz w:val="18"/>
        </w:rPr>
        <w:t>NIR</w:t>
        <w:tab/>
        <w:t>Near-infrared</w:t>
      </w:r>
    </w:p>
    <w:p>
      <w:pPr>
        <w:pStyle w:val="MDPI32textnoindent"/>
        <w:widowControl/>
        <w:tabs>
          <w:tab w:pos="4048" w:val="left"/>
        </w:tabs>
        <w:spacing w:after="0"/>
      </w:pPr>
      <w:r>
        <w:rPr>
          <w:sz w:val="18"/>
        </w:rPr>
        <w:t>PLS</w:t>
        <w:tab/>
        <w:t>Partial least squares</w:t>
      </w:r>
    </w:p>
    <w:p>
      <w:pPr>
        <w:pStyle w:val="MDPI32textnoindent"/>
        <w:widowControl/>
        <w:tabs>
          <w:tab w:pos="4048" w:val="left"/>
        </w:tabs>
        <w:spacing w:after="0"/>
      </w:pPr>
      <w:r>
        <w:rPr>
          <w:sz w:val="18"/>
        </w:rPr>
        <w:t>BSRS</w:t>
        <w:tab/>
        <w:t>Bandwise stability and redundancy selection</w:t>
      </w:r>
    </w:p>
    <w:p>
      <w:pPr>
        <w:pStyle w:val="MDPI32textnoindent"/>
        <w:widowControl/>
        <w:tabs>
          <w:tab w:pos="4048" w:val="left"/>
        </w:tabs>
        <w:spacing w:after="0"/>
      </w:pPr>
      <w:r>
        <w:rPr>
          <w:sz w:val="18"/>
        </w:rPr>
        <w:t>UVE</w:t>
        <w:tab/>
        <w:t>Uninformative variable elimination</w:t>
      </w:r>
    </w:p>
    <w:p>
      <w:pPr>
        <w:pStyle w:val="MDPI32textnoindent"/>
        <w:widowControl/>
        <w:tabs>
          <w:tab w:pos="4048" w:val="left"/>
        </w:tabs>
        <w:spacing w:after="0"/>
      </w:pPr>
      <w:r>
        <w:rPr>
          <w:sz w:val="18"/>
        </w:rPr>
        <w:t>MC-UVE</w:t>
        <w:tab/>
        <w:t>Monte Carlo uninformative variable elimination</w:t>
      </w:r>
    </w:p>
    <w:p>
      <w:pPr>
        <w:pStyle w:val="MDPI32textnoindent"/>
        <w:widowControl/>
        <w:tabs>
          <w:tab w:pos="4048" w:val="left"/>
        </w:tabs>
        <w:spacing w:after="0"/>
      </w:pPr>
      <w:r>
        <w:rPr>
          <w:sz w:val="18"/>
        </w:rPr>
        <w:t>RT</w:t>
        <w:tab/>
        <w:t>Randomization test</w:t>
      </w:r>
    </w:p>
    <w:p>
      <w:pPr>
        <w:pStyle w:val="MDPI32textnoindent"/>
        <w:widowControl/>
        <w:tabs>
          <w:tab w:pos="4048" w:val="left"/>
        </w:tabs>
        <w:spacing w:after="0"/>
      </w:pPr>
      <w:r>
        <w:rPr>
          <w:sz w:val="18"/>
        </w:rPr>
        <w:t>MSC</w:t>
        <w:tab/>
        <w:t>Multiplicative scatter correction</w:t>
      </w:r>
    </w:p>
    <w:p>
      <w:pPr>
        <w:pStyle w:val="MDPI32textnoindent"/>
        <w:widowControl/>
        <w:tabs>
          <w:tab w:pos="4048" w:val="left"/>
        </w:tabs>
        <w:spacing w:after="0"/>
      </w:pPr>
      <w:r>
        <w:rPr>
          <w:sz w:val="18"/>
        </w:rPr>
        <w:t>SNV</w:t>
        <w:tab/>
        <w:t>Standard normal variate</w:t>
      </w:r>
    </w:p>
    <w:p>
      <w:pPr>
        <w:pStyle w:val="MDPI32textnoindent"/>
        <w:widowControl/>
        <w:tabs>
          <w:tab w:pos="4048" w:val="left"/>
        </w:tabs>
        <w:spacing w:after="0"/>
      </w:pPr>
      <w:r>
        <w:rPr>
          <w:sz w:val="18"/>
        </w:rPr>
        <w:t>CWT</w:t>
        <w:tab/>
        <w:t>Continuous wavelet transform</w:t>
      </w:r>
    </w:p>
    <w:p>
      <w:pPr>
        <w:pStyle w:val="MDPI32textnoindent"/>
        <w:widowControl/>
        <w:tabs>
          <w:tab w:pos="4048" w:val="left"/>
        </w:tabs>
        <w:spacing w:after="0"/>
      </w:pPr>
      <w:r>
        <w:rPr>
          <w:sz w:val="18"/>
        </w:rPr>
        <w:t>LV</w:t>
        <w:tab/>
        <w:t>Latent variable</w:t>
      </w:r>
    </w:p>
    <w:p>
      <w:pPr>
        <w:pStyle w:val="MDPI32textnoindent"/>
        <w:widowControl/>
        <w:tabs>
          <w:tab w:pos="4048" w:val="left"/>
        </w:tabs>
        <w:spacing w:after="0"/>
      </w:pPr>
      <w:r>
        <w:rPr>
          <w:sz w:val="18"/>
        </w:rPr>
        <w:t>SPXY</w:t>
        <w:tab/>
        <w:t>Sample set partitioning based on joint x–y distances</w:t>
      </w:r>
    </w:p>
    <w:p>
      <w:pPr>
        <w:pStyle w:val="MDPI32textnoindent"/>
        <w:widowControl/>
        <w:tabs>
          <w:tab w:pos="4048" w:val="left"/>
        </w:tabs>
        <w:spacing w:after="0"/>
      </w:pPr>
      <w:r>
        <w:rPr>
          <w:sz w:val="18"/>
        </w:rPr>
        <w:t>RMSECV</w:t>
        <w:tab/>
        <w:t>Root mean square error of cross validation</w:t>
      </w:r>
    </w:p>
    <w:p>
      <w:pPr>
        <w:pStyle w:val="MDPI32textnoindent"/>
        <w:widowControl/>
        <w:tabs>
          <w:tab w:pos="4048" w:val="left"/>
        </w:tabs>
        <w:spacing w:after="0"/>
      </w:pPr>
      <w:r>
        <w:rPr>
          <w:sz w:val="18"/>
        </w:rPr>
        <w:t>RMSEP</w:t>
        <w:tab/>
        <w:t>Root mean square error of prediction</w:t>
      </w:r>
    </w:p>
    <w:p>
      <w:pPr>
        <w:pStyle w:val="MDPI32textnoindent"/>
        <w:widowControl/>
        <w:tabs>
          <w:tab w:pos="4048" w:val="left"/>
        </w:tabs>
        <w:spacing w:after="0"/>
      </w:pPr>
      <w:r>
        <w:rPr>
          <w:sz w:val="18"/>
        </w:rPr>
        <w:t>RPD</w:t>
        <w:tab/>
        <w:t>Ratio of performance to deviation</w:t>
      </w:r>
    </w:p>
    <w:p>
      <w:pPr>
        <w:pStyle w:val="MDPI21heading1"/>
        <w:keepNext/>
        <w:widowControl/>
        <w:ind w:left="0"/>
      </w:pPr>
      <w:r>
        <w:t>References</w:t>
      </w:r>
    </w:p>
    <w:p>
      <w:pPr>
        <w:pStyle w:val="MDPI81references"/>
        <w:widowControl/>
        <w:ind w:left="425" w:hanging="425"/>
        <w:numPr>
          <w:numId w:val="0"/>
        </w:numPr>
      </w:pPr>
      <w:r>
        <w:t xml:space="preserve">1. Wu, Y.-Y.; Gao, L.-W.; Tang, Y.-J.; Hu, B.; Hu, Y.-L.; Zhang, Y.-B.; Zhou, G.-X. Eight new C21-steroidal glycosides from the roots of Cynanchum auriculatum. </w:t>
      </w:r>
      <w:r>
        <w:rPr>
          <w:i/>
        </w:rPr>
        <w:t>Fitoterapia</w:t>
      </w:r>
      <w:r>
        <w:t xml:space="preserve"> </w:t>
      </w:r>
      <w:r>
        <w:rPr>
          <w:b/>
        </w:rPr>
        <w:t>2025</w:t>
      </w:r>
      <w:r>
        <w:t xml:space="preserve">, </w:t>
      </w:r>
      <w:r>
        <w:rPr>
          <w:i/>
        </w:rPr>
        <w:t>183</w:t>
      </w:r>
      <w:r>
        <w:t xml:space="preserve">, </w:t>
      </w:r>
      <w:r>
        <w:t xml:space="preserve">106519. </w:t>
      </w:r>
      <w:r>
        <w:t>https://doi.org/10.1016/j.fitote.2025.106519</w:t>
      </w:r>
    </w:p>
    <w:p>
      <w:pPr>
        <w:pStyle w:val="MDPI81references"/>
        <w:widowControl/>
        <w:ind w:left="425" w:hanging="425"/>
        <w:numPr>
          <w:numId w:val="0"/>
        </w:numPr>
      </w:pPr>
      <w:r>
        <w:t xml:space="preserve">2. Qian, X.; Li, B.; Li, P.; Wang, D.; Dai, W.; Zhang, M. C21 steroidal glycosides from Cynanchum auriculatum and their neuroprotective effects against H2O2-induced damage in PC12 cells. </w:t>
      </w:r>
      <w:r>
        <w:rPr>
          <w:i/>
        </w:rPr>
        <w:t>Phytochemistry</w:t>
      </w:r>
      <w:r>
        <w:t xml:space="preserve"> </w:t>
      </w:r>
      <w:r>
        <w:rPr>
          <w:b/>
        </w:rPr>
        <w:t>2017</w:t>
      </w:r>
      <w:r>
        <w:t xml:space="preserve">, </w:t>
      </w:r>
      <w:r>
        <w:rPr>
          <w:i/>
        </w:rPr>
        <w:t>140</w:t>
      </w:r>
      <w:r>
        <w:t xml:space="preserve">, </w:t>
      </w:r>
      <w:r>
        <w:t xml:space="preserve">1-15. </w:t>
      </w:r>
      <w:r>
        <w:t>https://doi.org/10.1016/j.phytochem.2017.04.014</w:t>
      </w:r>
    </w:p>
    <w:p>
      <w:pPr>
        <w:pStyle w:val="MDPI81references"/>
        <w:widowControl/>
        <w:ind w:left="425" w:hanging="425"/>
        <w:numPr>
          <w:numId w:val="0"/>
        </w:numPr>
      </w:pPr>
      <w:r>
        <w:t xml:space="preserve">3. Wang, L.; Cai, F.; Zhao, W.; Tian, J.; Kong, D.; Sun, X.; Liu, Q.; Chen, Y.; An, Y.; Wang, F.; Liu, X.; Wu, Y.; Zhou, H. Cynanchum auriculatum Royle ex Wight., Cynanchum bungei Decne. and Cynanchum wilfordii (Maxim.) Hemsl.: Current Research and Prospects. </w:t>
      </w:r>
      <w:r>
        <w:rPr>
          <w:i/>
        </w:rPr>
        <w:t>Molecules</w:t>
      </w:r>
      <w:r>
        <w:t xml:space="preserve"> </w:t>
      </w:r>
      <w:r>
        <w:rPr>
          <w:b/>
        </w:rPr>
        <w:t>2021</w:t>
      </w:r>
      <w:r>
        <w:t xml:space="preserve">, </w:t>
      </w:r>
      <w:r>
        <w:rPr>
          <w:i/>
        </w:rPr>
        <w:t>26</w:t>
      </w:r>
      <w:r>
        <w:t xml:space="preserve">, </w:t>
      </w:r>
      <w:r>
        <w:t xml:space="preserve">7065. </w:t>
      </w:r>
      <w:r>
        <w:t>https://doi.org/10.3390/molecules26237065</w:t>
      </w:r>
    </w:p>
    <w:p>
      <w:pPr>
        <w:pStyle w:val="MDPI81references"/>
        <w:widowControl/>
        <w:ind w:left="425" w:hanging="425"/>
        <w:numPr>
          <w:numId w:val="0"/>
        </w:numPr>
      </w:pPr>
      <w:r>
        <w:t xml:space="preserve">4. Manley, M. Near-infrared spectroscopy and hyperspectral imaging: non-destructive analysis of biological materials. </w:t>
      </w:r>
      <w:r>
        <w:rPr>
          <w:i/>
        </w:rPr>
        <w:t>Chem. Soc. Rev.</w:t>
      </w:r>
      <w:r>
        <w:t xml:space="preserve"> </w:t>
      </w:r>
      <w:r>
        <w:rPr>
          <w:b/>
        </w:rPr>
        <w:t>2014</w:t>
      </w:r>
      <w:r>
        <w:t xml:space="preserve">, </w:t>
      </w:r>
      <w:r>
        <w:rPr>
          <w:i/>
        </w:rPr>
        <w:t>43</w:t>
      </w:r>
      <w:r>
        <w:t xml:space="preserve">, </w:t>
      </w:r>
      <w:r>
        <w:t xml:space="preserve">8200-8214. </w:t>
      </w:r>
      <w:r>
        <w:t>https://doi.org/10.1039/c4cs00062e</w:t>
      </w:r>
    </w:p>
    <w:p>
      <w:pPr>
        <w:pStyle w:val="MDPI81references"/>
        <w:widowControl/>
        <w:ind w:left="425" w:hanging="425"/>
        <w:numPr>
          <w:numId w:val="0"/>
        </w:numPr>
      </w:pPr>
      <w:r>
        <w:t xml:space="preserve">5. Beć, K.B.; Grabska, J.; Huck, C.W. Miniaturized NIR Spectroscopy in Food Analysis and Quality Control: Promises, Challenges, and Perspectives. </w:t>
      </w:r>
      <w:r>
        <w:rPr>
          <w:i/>
        </w:rPr>
        <w:t>Foods</w:t>
      </w:r>
      <w:r>
        <w:t xml:space="preserve"> </w:t>
      </w:r>
      <w:r>
        <w:rPr>
          <w:b/>
        </w:rPr>
        <w:t>2022</w:t>
      </w:r>
      <w:r>
        <w:t xml:space="preserve">, </w:t>
      </w:r>
      <w:r>
        <w:rPr>
          <w:i/>
        </w:rPr>
        <w:t>11</w:t>
      </w:r>
      <w:r>
        <w:t xml:space="preserve">, </w:t>
      </w:r>
      <w:r>
        <w:t xml:space="preserve">1465. </w:t>
      </w:r>
      <w:r>
        <w:t>https://doi.org/10.3390/foods11101465</w:t>
      </w:r>
    </w:p>
    <w:p>
      <w:pPr>
        <w:pStyle w:val="MDPI81references"/>
        <w:widowControl/>
        <w:ind w:left="425" w:hanging="425"/>
        <w:numPr>
          <w:numId w:val="0"/>
        </w:numPr>
      </w:pPr>
      <w:r>
        <w:t xml:space="preserve">6. Beć, K.B.; Grabska, J.; Huck, C.W. Principles and Applications of Miniaturized Near‐Infrared (NIR) Spectrometers. </w:t>
      </w:r>
      <w:r>
        <w:rPr>
          <w:i/>
        </w:rPr>
        <w:t>Chem. Eur. J.</w:t>
      </w:r>
      <w:r>
        <w:t xml:space="preserve"> </w:t>
      </w:r>
      <w:r>
        <w:rPr>
          <w:b/>
        </w:rPr>
        <w:t>2021</w:t>
      </w:r>
      <w:r>
        <w:t xml:space="preserve">, </w:t>
      </w:r>
      <w:r>
        <w:rPr>
          <w:i/>
        </w:rPr>
        <w:t>27</w:t>
      </w:r>
      <w:r>
        <w:t xml:space="preserve">, </w:t>
      </w:r>
      <w:r>
        <w:t xml:space="preserve">1514-1532. </w:t>
      </w:r>
      <w:r>
        <w:t>https://doi.org/10.1002/chem.202002838</w:t>
      </w:r>
    </w:p>
    <w:p>
      <w:pPr>
        <w:pStyle w:val="MDPI81references"/>
        <w:widowControl/>
        <w:ind w:left="425" w:hanging="425"/>
        <w:numPr>
          <w:numId w:val="0"/>
        </w:numPr>
      </w:pPr>
      <w:r>
        <w:t xml:space="preserve">7. Pasquini, C. Near infrared spectroscopy: A mature analytical technique with new perspectives – A review. </w:t>
      </w:r>
      <w:r>
        <w:rPr>
          <w:i/>
        </w:rPr>
        <w:t>Anal. Chim. Acta</w:t>
      </w:r>
      <w:r>
        <w:t xml:space="preserve"> </w:t>
      </w:r>
      <w:r>
        <w:rPr>
          <w:b/>
        </w:rPr>
        <w:t>2018</w:t>
      </w:r>
      <w:r>
        <w:t xml:space="preserve">, </w:t>
      </w:r>
      <w:r>
        <w:rPr>
          <w:i/>
        </w:rPr>
        <w:t>1026</w:t>
      </w:r>
      <w:r>
        <w:t xml:space="preserve">, </w:t>
      </w:r>
      <w:r>
        <w:t xml:space="preserve">8-36. </w:t>
      </w:r>
      <w:r>
        <w:t>https://doi.org/10.1016/j.aca.2018.04.004</w:t>
      </w:r>
    </w:p>
    <w:p>
      <w:pPr>
        <w:pStyle w:val="MDPI81references"/>
        <w:widowControl/>
        <w:ind w:left="425" w:hanging="425"/>
        <w:numPr>
          <w:numId w:val="0"/>
        </w:numPr>
      </w:pPr>
      <w:r>
        <w:t xml:space="preserve">8. Curran, P.J. Remote sensing of foliar chemistry. </w:t>
      </w:r>
      <w:r>
        <w:rPr>
          <w:i/>
        </w:rPr>
        <w:t>Remote Sens. Environ.</w:t>
      </w:r>
      <w:r>
        <w:t xml:space="preserve"> </w:t>
      </w:r>
      <w:r>
        <w:rPr>
          <w:b/>
        </w:rPr>
        <w:t>1989</w:t>
      </w:r>
      <w:r>
        <w:t xml:space="preserve">, </w:t>
      </w:r>
      <w:r>
        <w:rPr>
          <w:i/>
        </w:rPr>
        <w:t>30</w:t>
      </w:r>
      <w:r>
        <w:t xml:space="preserve">, </w:t>
      </w:r>
      <w:r>
        <w:t xml:space="preserve">271-278. </w:t>
      </w:r>
      <w:r>
        <w:br/>
      </w:r>
      <w:r>
        <w:t>https://doi.org/10.1016/0034-4257(89)90069-2</w:t>
      </w:r>
    </w:p>
    <w:p>
      <w:pPr>
        <w:pStyle w:val="MDPI81references"/>
        <w:widowControl/>
        <w:ind w:left="425" w:hanging="425"/>
        <w:numPr>
          <w:numId w:val="0"/>
        </w:numPr>
      </w:pPr>
      <w:r>
        <w:t xml:space="preserve">9. Rinnan, Å.; van den Berg, F.; Engelsen, S.B. Review of the most common pre-processing techniques for near-infrared spectra. </w:t>
      </w:r>
      <w:r>
        <w:rPr>
          <w:i/>
        </w:rPr>
        <w:t>TrAC Trends Anal. Chem.</w:t>
      </w:r>
      <w:r>
        <w:t xml:space="preserve"> </w:t>
      </w:r>
      <w:r>
        <w:rPr>
          <w:b/>
        </w:rPr>
        <w:t>2009</w:t>
      </w:r>
      <w:r>
        <w:t xml:space="preserve">, </w:t>
      </w:r>
      <w:r>
        <w:rPr>
          <w:i/>
        </w:rPr>
        <w:t>28</w:t>
      </w:r>
      <w:r>
        <w:t xml:space="preserve">, </w:t>
      </w:r>
      <w:r>
        <w:t xml:space="preserve">1201-1222. </w:t>
      </w:r>
      <w:r>
        <w:t>https://doi.org/10.1016/j.trac.2009.07.007</w:t>
      </w:r>
    </w:p>
    <w:p>
      <w:pPr>
        <w:pStyle w:val="MDPI81references"/>
        <w:widowControl/>
        <w:ind w:left="425" w:hanging="425"/>
        <w:numPr>
          <w:numId w:val="0"/>
        </w:numPr>
      </w:pPr>
      <w:r>
        <w:t xml:space="preserve">10. Wold, S.; Sjöström, M.; Eriksson, L. PLS-regression: a basic tool of chemometrics. </w:t>
      </w:r>
      <w:r>
        <w:rPr>
          <w:i/>
        </w:rPr>
        <w:t>Chemom. Intell. Lab. Syst.</w:t>
      </w:r>
      <w:r>
        <w:t xml:space="preserve"> </w:t>
      </w:r>
      <w:r>
        <w:rPr>
          <w:b/>
        </w:rPr>
        <w:t>2001</w:t>
      </w:r>
      <w:r>
        <w:t xml:space="preserve">, </w:t>
      </w:r>
      <w:r>
        <w:rPr>
          <w:i/>
        </w:rPr>
        <w:t>58</w:t>
      </w:r>
      <w:r>
        <w:t xml:space="preserve">, </w:t>
      </w:r>
      <w:r>
        <w:t xml:space="preserve">109-130. </w:t>
      </w:r>
      <w:r>
        <w:t>https://doi.org/10.1016/s0169-7439(01)00155-1</w:t>
      </w:r>
    </w:p>
    <w:p>
      <w:pPr>
        <w:pStyle w:val="MDPI81references"/>
        <w:widowControl/>
        <w:ind w:left="425" w:hanging="425"/>
        <w:numPr>
          <w:numId w:val="0"/>
        </w:numPr>
      </w:pPr>
      <w:r>
        <w:t xml:space="preserve">11. Mehmood, T.; Liland, K.H.; Snipen, L.; Sæbø, S. A review of variable selection methods in Partial Least Squares Regression. </w:t>
      </w:r>
      <w:r>
        <w:rPr>
          <w:i/>
        </w:rPr>
        <w:t>Chemom. Intell. Lab. Syst.</w:t>
      </w:r>
      <w:r>
        <w:t xml:space="preserve"> </w:t>
      </w:r>
      <w:r>
        <w:rPr>
          <w:b/>
        </w:rPr>
        <w:t>2012</w:t>
      </w:r>
      <w:r>
        <w:t xml:space="preserve">, </w:t>
      </w:r>
      <w:r>
        <w:rPr>
          <w:i/>
        </w:rPr>
        <w:t>118</w:t>
      </w:r>
      <w:r>
        <w:t xml:space="preserve">, </w:t>
      </w:r>
      <w:r>
        <w:t xml:space="preserve">62-69. </w:t>
      </w:r>
      <w:r>
        <w:t>https://doi.org/10.1016/j.chemolab.2012.07.010</w:t>
      </w:r>
    </w:p>
    <w:p>
      <w:pPr>
        <w:pStyle w:val="MDPI81references"/>
        <w:widowControl/>
        <w:ind w:left="425" w:hanging="425"/>
        <w:numPr>
          <w:numId w:val="0"/>
        </w:numPr>
      </w:pPr>
      <w:r>
        <w:t xml:space="preserve">12. Zou, X.; Zhao, J.; Povey, M.J.; Holmes, M.; Mao, H. Variables selection methods in near-infrared spectroscopy. </w:t>
      </w:r>
      <w:r>
        <w:rPr>
          <w:i/>
        </w:rPr>
        <w:t>Anal. Chim. Acta</w:t>
      </w:r>
      <w:r>
        <w:t xml:space="preserve"> </w:t>
      </w:r>
      <w:r>
        <w:rPr>
          <w:b/>
        </w:rPr>
        <w:t>2010</w:t>
      </w:r>
      <w:r>
        <w:t xml:space="preserve">, </w:t>
      </w:r>
      <w:r>
        <w:rPr>
          <w:i/>
        </w:rPr>
        <w:t>667</w:t>
      </w:r>
      <w:r>
        <w:t xml:space="preserve">, </w:t>
      </w:r>
      <w:r>
        <w:t xml:space="preserve">14-32. </w:t>
      </w:r>
      <w:r>
        <w:t>https://doi.org/10.1016/j.aca.2010.03.048</w:t>
      </w:r>
    </w:p>
    <w:p>
      <w:pPr>
        <w:pStyle w:val="MDPI81references"/>
        <w:widowControl/>
        <w:ind w:left="425" w:hanging="425"/>
        <w:numPr>
          <w:numId w:val="0"/>
        </w:numPr>
      </w:pPr>
      <w:r>
        <w:t xml:space="preserve">13. Kousar, J.; Yang, L.; Xiang, J.; Mao, Q.; Bian, X. Beluga Optimization Algorithm for Near-Infrared Spectral Variable Selection of Complex Samples. </w:t>
      </w:r>
      <w:r>
        <w:rPr>
          <w:i/>
        </w:rPr>
        <w:t>Foods</w:t>
      </w:r>
      <w:r>
        <w:t xml:space="preserve"> </w:t>
      </w:r>
      <w:r>
        <w:rPr>
          <w:b/>
        </w:rPr>
        <w:t>2025</w:t>
      </w:r>
      <w:r>
        <w:t xml:space="preserve">, </w:t>
      </w:r>
      <w:r>
        <w:rPr>
          <w:i/>
        </w:rPr>
        <w:t>14</w:t>
      </w:r>
      <w:r>
        <w:t xml:space="preserve">, </w:t>
      </w:r>
      <w:r>
        <w:t xml:space="preserve">4266. </w:t>
      </w:r>
      <w:r>
        <w:t>https://doi.org/10.3390/foods14244266</w:t>
      </w:r>
    </w:p>
    <w:p>
      <w:pPr>
        <w:pStyle w:val="MDPI81references"/>
        <w:widowControl/>
        <w:ind w:left="425" w:hanging="425"/>
        <w:numPr>
          <w:numId w:val="0"/>
        </w:numPr>
      </w:pPr>
      <w:r>
        <w:t xml:space="preserve">14. Centner, V.; Massart, D.-L.; de Noord, O.E.; de Jong, S.; Vandeginste, B.M.; Sterna, C. Elimination of Uninformative Variables for Multivariate Calibration. </w:t>
      </w:r>
      <w:r>
        <w:rPr>
          <w:i/>
        </w:rPr>
        <w:t>Anal. Chem.</w:t>
      </w:r>
      <w:r>
        <w:t xml:space="preserve"> </w:t>
      </w:r>
      <w:r>
        <w:rPr>
          <w:b/>
        </w:rPr>
        <w:t>1996</w:t>
      </w:r>
      <w:r>
        <w:t xml:space="preserve">, </w:t>
      </w:r>
      <w:r>
        <w:rPr>
          <w:i/>
        </w:rPr>
        <w:t>68</w:t>
      </w:r>
      <w:r>
        <w:t xml:space="preserve">, </w:t>
      </w:r>
      <w:r>
        <w:t xml:space="preserve">3851-3858. </w:t>
      </w:r>
      <w:r>
        <w:t>https://doi.org/10.1021/ac960321m</w:t>
      </w:r>
    </w:p>
    <w:p>
      <w:pPr>
        <w:pStyle w:val="MDPI81references"/>
        <w:widowControl/>
        <w:ind w:left="425" w:hanging="425"/>
        <w:numPr>
          <w:numId w:val="0"/>
        </w:numPr>
      </w:pPr>
      <w:r>
        <w:t xml:space="preserve">15. Cai, W.; Li, Y.; Shao, X. A variable selection method based on uninformative variable elimination for multivariate calibration of near-infrared spectra. </w:t>
      </w:r>
      <w:r>
        <w:rPr>
          <w:i/>
        </w:rPr>
        <w:t>Chemom. Intell. Lab. Syst.</w:t>
      </w:r>
      <w:r>
        <w:t xml:space="preserve"> </w:t>
      </w:r>
      <w:r>
        <w:rPr>
          <w:b/>
        </w:rPr>
        <w:t>2008</w:t>
      </w:r>
      <w:r>
        <w:t xml:space="preserve">, </w:t>
      </w:r>
      <w:r>
        <w:rPr>
          <w:i/>
        </w:rPr>
        <w:t>90</w:t>
      </w:r>
      <w:r>
        <w:t xml:space="preserve">, </w:t>
      </w:r>
      <w:r>
        <w:t xml:space="preserve">188-194. </w:t>
      </w:r>
      <w:r>
        <w:t>https://doi.org/10.1016/j.chemolab.2007.10.001</w:t>
      </w:r>
    </w:p>
    <w:p>
      <w:pPr>
        <w:pStyle w:val="MDPI81references"/>
        <w:widowControl/>
        <w:ind w:left="425" w:hanging="425"/>
        <w:numPr>
          <w:numId w:val="0"/>
        </w:numPr>
      </w:pPr>
      <w:r>
        <w:t xml:space="preserve">16. Xu, H.; Liu, Z.; Cai, W.; Shao, X. A wavelength selection method based on randomization test for near-infrared spectral analysis. </w:t>
      </w:r>
      <w:r>
        <w:rPr>
          <w:i/>
        </w:rPr>
        <w:t>Chemom. Intell. Lab. Syst.</w:t>
      </w:r>
      <w:r>
        <w:t xml:space="preserve"> </w:t>
      </w:r>
      <w:r>
        <w:rPr>
          <w:b/>
        </w:rPr>
        <w:t>2009</w:t>
      </w:r>
      <w:r>
        <w:t xml:space="preserve">, </w:t>
      </w:r>
      <w:r>
        <w:rPr>
          <w:i/>
        </w:rPr>
        <w:t>97</w:t>
      </w:r>
      <w:r>
        <w:t xml:space="preserve">, </w:t>
      </w:r>
      <w:r>
        <w:t xml:space="preserve">189-193. </w:t>
      </w:r>
      <w:r>
        <w:t>https://doi.org/10.1016/j.chemolab.2009.04.006</w:t>
      </w:r>
    </w:p>
    <w:p>
      <w:pPr>
        <w:pStyle w:val="MDPI81references"/>
        <w:widowControl/>
        <w:ind w:left="425" w:hanging="425"/>
        <w:numPr>
          <w:numId w:val="0"/>
        </w:numPr>
      </w:pPr>
      <w:r>
        <w:t xml:space="preserve">17. Li, H.-D.; Xu, Q.-S.; Liang, Y.-Z. libPLS: An integrated library for partial least squares regression and linear discriminant analysis. </w:t>
      </w:r>
      <w:r>
        <w:rPr>
          <w:i/>
        </w:rPr>
        <w:t>Chemom. Intell. Lab. Syst.</w:t>
      </w:r>
      <w:r>
        <w:t xml:space="preserve"> </w:t>
      </w:r>
      <w:r>
        <w:rPr>
          <w:b/>
        </w:rPr>
        <w:t>2018</w:t>
      </w:r>
      <w:r>
        <w:t xml:space="preserve">, </w:t>
      </w:r>
      <w:r>
        <w:rPr>
          <w:i/>
        </w:rPr>
        <w:t>176</w:t>
      </w:r>
      <w:r>
        <w:t xml:space="preserve">, </w:t>
      </w:r>
      <w:r>
        <w:t xml:space="preserve">34-43. </w:t>
      </w:r>
      <w:r>
        <w:t>https://doi.org/10.1016/j.chemolab.2018.03.003</w:t>
      </w:r>
    </w:p>
    <w:p>
      <w:pPr>
        <w:pStyle w:val="MDPI81references"/>
        <w:widowControl/>
        <w:ind w:left="425" w:hanging="425"/>
        <w:numPr>
          <w:numId w:val="0"/>
        </w:numPr>
      </w:pPr>
      <w:r>
        <w:t xml:space="preserve">18. Meinshausen, N.; Bühlmann, P. Stability Selection. </w:t>
      </w:r>
      <w:r>
        <w:rPr>
          <w:i/>
        </w:rPr>
        <w:t>J. R. Stat. Soc. B Stat. Methodol.</w:t>
      </w:r>
      <w:r>
        <w:t xml:space="preserve"> </w:t>
      </w:r>
      <w:r>
        <w:rPr>
          <w:b/>
        </w:rPr>
        <w:t>2010</w:t>
      </w:r>
      <w:r>
        <w:t xml:space="preserve">, </w:t>
      </w:r>
      <w:r>
        <w:rPr>
          <w:i/>
        </w:rPr>
        <w:t>72</w:t>
      </w:r>
      <w:r>
        <w:t xml:space="preserve">, </w:t>
      </w:r>
      <w:r>
        <w:t xml:space="preserve">417-473. </w:t>
      </w:r>
      <w:r>
        <w:t>https://doi.org/10.1111/j.1467-9868.2010.00740.x</w:t>
      </w:r>
    </w:p>
    <w:p>
      <w:pPr>
        <w:pStyle w:val="MDPI81references"/>
        <w:widowControl/>
        <w:ind w:left="425" w:hanging="425"/>
        <w:numPr>
          <w:numId w:val="0"/>
        </w:numPr>
      </w:pPr>
      <w:r>
        <w:t xml:space="preserve">19. Shah, R.D.; Samworth, R.J. Variable Selection with Error Control: Another Look at Stability Selection. </w:t>
      </w:r>
      <w:r>
        <w:rPr>
          <w:i/>
        </w:rPr>
        <w:t>J. R. Stat. Soc. B Stat. Methodol.</w:t>
      </w:r>
      <w:r>
        <w:t xml:space="preserve"> </w:t>
      </w:r>
      <w:r>
        <w:rPr>
          <w:b/>
        </w:rPr>
        <w:t>2013</w:t>
      </w:r>
      <w:r>
        <w:t xml:space="preserve">, </w:t>
      </w:r>
      <w:r>
        <w:rPr>
          <w:i/>
        </w:rPr>
        <w:t>75</w:t>
      </w:r>
      <w:r>
        <w:t xml:space="preserve">, </w:t>
      </w:r>
      <w:r>
        <w:t xml:space="preserve">55-80. </w:t>
      </w:r>
      <w:r>
        <w:t>https://doi.org/10.1111/j.1467-9868.2011.01034.x</w:t>
      </w:r>
    </w:p>
    <w:p>
      <w:pPr>
        <w:pStyle w:val="MDPI81references"/>
        <w:widowControl/>
        <w:ind w:left="425" w:hanging="425"/>
        <w:numPr>
          <w:numId w:val="0"/>
        </w:numPr>
      </w:pPr>
      <w:r>
        <w:t xml:space="preserve">20. Galvão, R.K.H.; Araújo, M.C.U.; José, G.E.; Pontes, M.J.C.; Silva, E.C.; Saldanha, T.C.B. A method for calibration and validation subset partitioning. </w:t>
      </w:r>
      <w:r>
        <w:rPr>
          <w:i/>
        </w:rPr>
        <w:t>Talanta</w:t>
      </w:r>
      <w:r>
        <w:t xml:space="preserve"> </w:t>
      </w:r>
      <w:r>
        <w:rPr>
          <w:b/>
        </w:rPr>
        <w:t>2005</w:t>
      </w:r>
      <w:r>
        <w:t xml:space="preserve">, </w:t>
      </w:r>
      <w:r>
        <w:rPr>
          <w:i/>
        </w:rPr>
        <w:t>67</w:t>
      </w:r>
      <w:r>
        <w:t xml:space="preserve">, </w:t>
      </w:r>
      <w:r>
        <w:t xml:space="preserve">736-740. </w:t>
      </w:r>
      <w:r>
        <w:t>https://doi.org/10.1016/j.talanta.2005.03.025</w:t>
      </w:r>
    </w:p>
    <w:p>
      <w:pPr>
        <w:pStyle w:val="MDPI81references"/>
        <w:widowControl/>
        <w:ind w:left="425" w:hanging="425"/>
        <w:numPr>
          <w:numId w:val="0"/>
        </w:numPr>
      </w:pPr>
      <w:r>
        <w:t xml:space="preserve">21. Geladi, P.; MacDougall, D.; Martens, H. Linearization and Scatter-Correction for Near-Infrared Reflectance Spectra of Meat. </w:t>
      </w:r>
      <w:r>
        <w:rPr>
          <w:i/>
        </w:rPr>
        <w:t>Appl. Spectrosc.</w:t>
      </w:r>
      <w:r>
        <w:t xml:space="preserve"> </w:t>
      </w:r>
      <w:r>
        <w:rPr>
          <w:b/>
        </w:rPr>
        <w:t>1985</w:t>
      </w:r>
      <w:r>
        <w:t xml:space="preserve">, </w:t>
      </w:r>
      <w:r>
        <w:rPr>
          <w:i/>
        </w:rPr>
        <w:t>39</w:t>
      </w:r>
      <w:r>
        <w:t xml:space="preserve">, </w:t>
      </w:r>
      <w:r>
        <w:t xml:space="preserve">491-500. </w:t>
      </w:r>
      <w:r>
        <w:t>https://doi.org/10.1366/0003702854248656</w:t>
      </w:r>
    </w:p>
    <w:p>
      <w:pPr>
        <w:pStyle w:val="MDPI81references"/>
        <w:widowControl/>
        <w:ind w:left="425" w:hanging="425"/>
        <w:numPr>
          <w:numId w:val="0"/>
        </w:numPr>
      </w:pPr>
      <w:r>
        <w:t xml:space="preserve">22. Barnes, R.J.; Dhanoa, M.S.; Lister, S.J. Standard Normal Variate Transformation and De-Trending of Near-Infrared Diffuse Reflectance Spectra. </w:t>
      </w:r>
      <w:r>
        <w:rPr>
          <w:i/>
        </w:rPr>
        <w:t>Appl. Spectrosc.</w:t>
      </w:r>
      <w:r>
        <w:t xml:space="preserve"> </w:t>
      </w:r>
      <w:r>
        <w:rPr>
          <w:b/>
        </w:rPr>
        <w:t>1989</w:t>
      </w:r>
      <w:r>
        <w:t xml:space="preserve">, </w:t>
      </w:r>
      <w:r>
        <w:rPr>
          <w:i/>
        </w:rPr>
        <w:t>43</w:t>
      </w:r>
      <w:r>
        <w:t xml:space="preserve">, </w:t>
      </w:r>
      <w:r>
        <w:t xml:space="preserve">772-777. </w:t>
      </w:r>
      <w:r>
        <w:t>https://doi.org/10.1366/0003702894202201</w:t>
      </w:r>
    </w:p>
    <w:p>
      <w:pPr>
        <w:pStyle w:val="MDPI81references"/>
        <w:widowControl/>
        <w:ind w:left="425" w:hanging="425"/>
        <w:numPr>
          <w:numId w:val="0"/>
        </w:numPr>
      </w:pPr>
      <w:r>
        <w:t xml:space="preserve">23. Savitzky, A.; Golay, M.J.E. Smoothing and Differentiation of Data by Simplified Least Squares Procedures. </w:t>
      </w:r>
      <w:r>
        <w:rPr>
          <w:i/>
        </w:rPr>
        <w:t>Anal. Chem.</w:t>
      </w:r>
      <w:r>
        <w:t xml:space="preserve"> </w:t>
      </w:r>
      <w:r>
        <w:rPr>
          <w:b/>
        </w:rPr>
        <w:t>1964</w:t>
      </w:r>
      <w:r>
        <w:t xml:space="preserve">, </w:t>
      </w:r>
      <w:r>
        <w:rPr>
          <w:i/>
        </w:rPr>
        <w:t>36</w:t>
      </w:r>
      <w:r>
        <w:t xml:space="preserve">, </w:t>
      </w:r>
      <w:r>
        <w:t xml:space="preserve">1627-1639. </w:t>
      </w:r>
      <w:r>
        <w:t>https://doi.org/10.1021/ac60214a047</w:t>
      </w:r>
    </w:p>
    <w:p>
      <w:pPr>
        <w:pStyle w:val="MDPI81references"/>
        <w:widowControl/>
        <w:ind w:left="425" w:hanging="425"/>
        <w:numPr>
          <w:numId w:val="0"/>
        </w:numPr>
      </w:pPr>
      <w:r>
        <w:t xml:space="preserve">24. Torrence, C.; Compo, G.P. A Practical Guide to Wavelet Analysis. </w:t>
      </w:r>
      <w:r>
        <w:rPr>
          <w:i/>
        </w:rPr>
        <w:t>Bull. Am. Meteorol. Soc.</w:t>
      </w:r>
      <w:r>
        <w:t xml:space="preserve"> </w:t>
      </w:r>
      <w:r>
        <w:rPr>
          <w:b/>
        </w:rPr>
        <w:t>1998</w:t>
      </w:r>
      <w:r>
        <w:t xml:space="preserve">, </w:t>
      </w:r>
      <w:r>
        <w:rPr>
          <w:i/>
        </w:rPr>
        <w:t>79</w:t>
      </w:r>
      <w:r>
        <w:t xml:space="preserve">, </w:t>
      </w:r>
      <w:r>
        <w:t xml:space="preserve">61-78. </w:t>
      </w:r>
      <w:r>
        <w:br/>
      </w:r>
      <w:r>
        <w:t>https://doi.org/10.1175/1520-0477(1998)079&lt;0061:apgtwa&gt;2.0.co;2</w:t>
      </w:r>
    </w:p>
    <w:p>
      <w:pPr>
        <w:pStyle w:val="MDPI81references"/>
        <w:widowControl/>
        <w:ind w:left="425" w:hanging="425"/>
        <w:numPr>
          <w:numId w:val="0"/>
        </w:numPr>
      </w:pPr>
      <w:r>
        <w:t xml:space="preserve">25. Bellon-Maurel, V.; Fernandez-Ahumada, E.; Palagos, B.; Roger, J.-M.; McBratney, A. Critical review of chemometric indicators commonly used for assessing the quality of the prediction of soil attributes by NIR spectroscopy. </w:t>
      </w:r>
      <w:r>
        <w:rPr>
          <w:i/>
        </w:rPr>
        <w:t>TrAC Trends Anal. Chem.</w:t>
      </w:r>
      <w:r>
        <w:t xml:space="preserve"> </w:t>
      </w:r>
      <w:r>
        <w:rPr>
          <w:b/>
        </w:rPr>
        <w:t>2010</w:t>
      </w:r>
      <w:r>
        <w:t xml:space="preserve">, </w:t>
      </w:r>
      <w:r>
        <w:rPr>
          <w:i/>
        </w:rPr>
        <w:t>29</w:t>
      </w:r>
      <w:r>
        <w:t xml:space="preserve">, </w:t>
      </w:r>
      <w:r>
        <w:t xml:space="preserve">1073-1081. </w:t>
      </w:r>
      <w:r>
        <w:t>https://doi.org/10.1016/j.trac.2010.05.006</w:t>
      </w:r>
    </w:p>
    <w:p>
      <w:pPr>
        <w:pStyle w:val="MDPI81references"/>
        <w:widowControl/>
        <w:ind w:left="425" w:hanging="425"/>
        <w:numPr>
          <w:numId w:val="0"/>
        </w:numPr>
      </w:pPr>
      <w:r>
        <w:t xml:space="preserve">26. Feudale, R.N.; Woody, N.A.; Tan, H.; Myles, A.J.; Brown, S.D.; Ferré, J. Transfer of multivariate calibration models: a review. </w:t>
      </w:r>
      <w:r>
        <w:rPr>
          <w:i/>
        </w:rPr>
        <w:t>Chemom. Intell. Lab. Syst.</w:t>
      </w:r>
      <w:r>
        <w:t xml:space="preserve"> </w:t>
      </w:r>
      <w:r>
        <w:rPr>
          <w:b/>
        </w:rPr>
        <w:t>2002</w:t>
      </w:r>
      <w:r>
        <w:t xml:space="preserve">, </w:t>
      </w:r>
      <w:r>
        <w:rPr>
          <w:i/>
        </w:rPr>
        <w:t>64</w:t>
      </w:r>
      <w:r>
        <w:t xml:space="preserve">, </w:t>
      </w:r>
      <w:r>
        <w:t xml:space="preserve">181-192. </w:t>
      </w:r>
      <w:r>
        <w:t>https://doi.org/10.1016/s0169-7439(02)00085-0</w:t>
      </w:r>
    </w:p>
    <w:p>
      <w:pPr>
        <w:pStyle w:val="MDPI81references"/>
        <w:widowControl/>
        <w:ind w:left="425" w:hanging="425"/>
        <w:numPr>
          <w:numId w:val="0"/>
        </w:numPr>
      </w:pPr>
      <w:r>
        <w:t xml:space="preserve">27. Wang, Y.; Veltkamp, D.J.; Kowalski, B.R. Multivariate instrument standardization. </w:t>
      </w:r>
      <w:r>
        <w:rPr>
          <w:i/>
        </w:rPr>
        <w:t>Anal. Chem.</w:t>
      </w:r>
      <w:r>
        <w:t xml:space="preserve"> </w:t>
      </w:r>
      <w:r>
        <w:rPr>
          <w:b/>
        </w:rPr>
        <w:t>1991</w:t>
      </w:r>
      <w:r>
        <w:t xml:space="preserve">, </w:t>
      </w:r>
      <w:r>
        <w:rPr>
          <w:i/>
        </w:rPr>
        <w:t>63</w:t>
      </w:r>
      <w:r>
        <w:t xml:space="preserve">, </w:t>
      </w:r>
      <w:r>
        <w:t xml:space="preserve">2750-2756. </w:t>
      </w:r>
      <w:r>
        <w:t>https://doi.org/10.1021/ac00023a016</w:t>
      </w:r>
    </w:p>
    <w:sectPr w:rsidR="001C1F99" w:rsidRPr="002B4A2A" w:rsidSect="008D4C81">
      <w:headerReference w:type="even" r:id="rId11"/>
      <w:headerReference w:type="default" r:id="rId12"/>
      <w:footerReference w:type="default" r:id="rId13"/>
      <w:headerReference w:type="first" r:id="rId14"/>
      <w:footerReference w:type="first" r:id="rId15"/>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customizations.xml><?xml version="1.0" encoding="utf-8"?>
<wne:tcg xmlns:r="http://schemas.openxmlformats.org/officeDocument/2006/relationships" xmlns:wne="http://schemas.microsoft.com/office/word/2006/wordml">
  <wne:keymaps>
    <wne:keymap wne:kcmPrimary="0654">
      <wne:acd wne:acdName="acd0"/>
    </wne:keymap>
  </wne:keymaps>
  <wne:toolbars>
    <wne:acdManifest>
      <wne:acdEntry wne:acdName="acd0"/>
    </wne:acdManifest>
  </wne:toolbars>
  <wne:acds>
    <wne:acd wne:argValue="AgBNAEQAUABJAF8AMwAuADEAXwB0AGUAeAB0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AB98D" w14:textId="77777777" w:rsidR="00B15A05" w:rsidRPr="007839E8" w:rsidRDefault="00B15A05">
      <w:pPr>
        <w:spacing w:line="240" w:lineRule="auto"/>
      </w:pPr>
      <w:r w:rsidRPr="007839E8">
        <w:separator/>
      </w:r>
    </w:p>
  </w:endnote>
  <w:endnote w:type="continuationSeparator" w:id="0">
    <w:p w14:paraId="6D55B3E6" w14:textId="77777777" w:rsidR="00B15A05" w:rsidRPr="007839E8" w:rsidRDefault="00B15A05">
      <w:pPr>
        <w:spacing w:line="240" w:lineRule="auto"/>
      </w:pPr>
      <w:r w:rsidRPr="007839E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URWPalladioL-Ital">
    <w:altName w:val="Yu Gothic"/>
    <w:panose1 w:val="00000000000000000000"/>
    <w:charset w:val="80"/>
    <w:family w:val="auto"/>
    <w:notTrueType/>
    <w:pitch w:val="default"/>
    <w:sig w:usb0="00000001" w:usb1="0807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39AAF" w14:textId="77777777" w:rsidR="001C76F6" w:rsidRPr="007839E8" w:rsidRDefault="001C76F6" w:rsidP="001C76F6">
    <w:pPr>
      <w:pStyle w:val="Footer"/>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D9059" w14:textId="77777777" w:rsidR="00C93562" w:rsidRPr="007839E8" w:rsidRDefault="00C93562" w:rsidP="00092EF2">
    <w:pPr>
      <w:pBdr>
        <w:top w:val="single" w:sz="4" w:space="0" w:color="000000"/>
      </w:pBdr>
      <w:tabs>
        <w:tab w:val="right" w:pos="8844"/>
      </w:tabs>
      <w:adjustRightInd w:val="0"/>
      <w:snapToGrid w:val="0"/>
      <w:spacing w:before="480" w:line="100" w:lineRule="exact"/>
      <w:jc w:val="left"/>
      <w:rPr>
        <w:i/>
        <w:sz w:val="16"/>
        <w:szCs w:val="16"/>
      </w:rPr>
    </w:pPr>
  </w:p>
  <w:p w14:paraId="032782F3" w14:textId="3B817D60" w:rsidR="001C76F6" w:rsidRPr="007839E8" w:rsidRDefault="001C76F6" w:rsidP="00526502">
    <w:pPr>
      <w:tabs>
        <w:tab w:val="right" w:pos="10466"/>
      </w:tabs>
      <w:adjustRightInd w:val="0"/>
      <w:snapToGrid w:val="0"/>
      <w:spacing w:line="240" w:lineRule="auto"/>
      <w:rPr>
        <w:sz w:val="16"/>
        <w:szCs w:val="16"/>
      </w:rPr>
    </w:pPr>
    <w:r w:rsidRPr="007839E8">
      <w:rPr>
        <w:i/>
        <w:sz w:val="16"/>
        <w:szCs w:val="16"/>
      </w:rPr>
      <w:t xml:space="preserve">Foods </w:t>
    </w:r>
    <w:r w:rsidR="008D4C81" w:rsidRPr="007839E8">
      <w:rPr>
        <w:b/>
        <w:bCs/>
        <w:iCs/>
        <w:sz w:val="16"/>
        <w:szCs w:val="16"/>
      </w:rPr>
      <w:t>2026</w:t>
    </w:r>
    <w:r w:rsidR="007E13A0" w:rsidRPr="007839E8">
      <w:rPr>
        <w:bCs/>
        <w:iCs/>
        <w:sz w:val="16"/>
        <w:szCs w:val="16"/>
      </w:rPr>
      <w:t>,</w:t>
    </w:r>
    <w:r w:rsidR="008D4C81" w:rsidRPr="007839E8">
      <w:rPr>
        <w:bCs/>
        <w:i/>
        <w:iCs/>
        <w:sz w:val="16"/>
        <w:szCs w:val="16"/>
      </w:rPr>
      <w:t xml:space="preserve"> x</w:t>
    </w:r>
    <w:r w:rsidR="007E13A0" w:rsidRPr="007839E8">
      <w:rPr>
        <w:bCs/>
        <w:iCs/>
        <w:sz w:val="16"/>
        <w:szCs w:val="16"/>
      </w:rPr>
      <w:t xml:space="preserve">, </w:t>
    </w:r>
    <w:r w:rsidR="00AE6E21" w:rsidRPr="007839E8">
      <w:rPr>
        <w:bCs/>
        <w:iCs/>
        <w:sz w:val="16"/>
        <w:szCs w:val="16"/>
      </w:rPr>
      <w:t>x</w:t>
    </w:r>
    <w:r w:rsidR="00526502" w:rsidRPr="007839E8">
      <w:rPr>
        <w:sz w:val="16"/>
        <w:szCs w:val="16"/>
      </w:rPr>
      <w:tab/>
    </w:r>
    <w:r w:rsidR="008D4C81" w:rsidRPr="007839E8">
      <w:rPr>
        <w:sz w:val="16"/>
        <w:szCs w:val="16"/>
      </w:rPr>
      <w:t>[DOI to be assigned]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48157" w14:textId="77777777" w:rsidR="00B15A05" w:rsidRPr="007839E8" w:rsidRDefault="00B15A05">
      <w:pPr>
        <w:spacing w:line="240" w:lineRule="auto"/>
      </w:pPr>
      <w:r w:rsidRPr="007839E8">
        <w:separator/>
      </w:r>
    </w:p>
  </w:footnote>
  <w:footnote w:type="continuationSeparator" w:id="0">
    <w:p w14:paraId="3F0E3405" w14:textId="77777777" w:rsidR="00B15A05" w:rsidRPr="007839E8" w:rsidRDefault="00B15A05">
      <w:pPr>
        <w:spacing w:line="240" w:lineRule="auto"/>
      </w:pPr>
      <w:r w:rsidRPr="007839E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86401" w14:textId="77777777" w:rsidR="001C76F6" w:rsidRPr="007839E8" w:rsidRDefault="001C76F6" w:rsidP="001C76F6">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841AB" w14:textId="6F61EE26" w:rsidR="00C93562" w:rsidRPr="007839E8" w:rsidRDefault="001C76F6" w:rsidP="00526502">
    <w:pPr>
      <w:tabs>
        <w:tab w:val="right" w:pos="10466"/>
      </w:tabs>
      <w:adjustRightInd w:val="0"/>
      <w:snapToGrid w:val="0"/>
      <w:spacing w:line="240" w:lineRule="auto"/>
      <w:rPr>
        <w:sz w:val="16"/>
      </w:rPr>
    </w:pPr>
    <w:r w:rsidRPr="007839E8">
      <w:rPr>
        <w:i/>
        <w:sz w:val="16"/>
      </w:rPr>
      <w:t xml:space="preserve">Foods </w:t>
    </w:r>
    <w:r w:rsidR="008D4C81" w:rsidRPr="007839E8">
      <w:rPr>
        <w:b/>
        <w:sz w:val="16"/>
      </w:rPr>
      <w:t>2026</w:t>
    </w:r>
    <w:r w:rsidR="007E13A0" w:rsidRPr="007839E8">
      <w:rPr>
        <w:sz w:val="16"/>
      </w:rPr>
      <w:t>,</w:t>
    </w:r>
    <w:r w:rsidR="008D4C81" w:rsidRPr="007839E8">
      <w:rPr>
        <w:i/>
        <w:sz w:val="16"/>
      </w:rPr>
      <w:t xml:space="preserve"> x</w:t>
    </w:r>
    <w:r w:rsidR="00AE6E21" w:rsidRPr="007839E8">
      <w:rPr>
        <w:sz w:val="16"/>
      </w:rPr>
      <w:t xml:space="preserve">, x </w:t>
    </w:r>
    <w:r w:rsidR="008D4C81" w:rsidRPr="007839E8">
      <w:rPr>
        <w:sz w:val="16"/>
      </w:rPr>
      <w:t>FOR PEER REVIEW</w:t>
    </w:r>
    <w:r w:rsidR="008D4C81" w:rsidRPr="007839E8">
      <w:rPr>
        <w:sz w:val="16"/>
      </w:rPr>
      <w:ptab w:relativeTo="margin" w:alignment="right" w:leader="none"/>
    </w:r>
    <w:r w:rsidR="008D4C81" w:rsidRPr="007839E8">
      <w:rPr>
        <w:sz w:val="16"/>
      </w:rPr>
      <w:fldChar w:fldCharType="begin"/>
    </w:r>
    <w:r w:rsidR="008D4C81" w:rsidRPr="007839E8">
      <w:rPr>
        <w:sz w:val="16"/>
      </w:rPr>
      <w:instrText xml:space="preserve"> PAGE   \* MERGEFORMAT </w:instrText>
    </w:r>
    <w:r w:rsidR="008D4C81" w:rsidRPr="007839E8">
      <w:rPr>
        <w:sz w:val="16"/>
      </w:rPr>
      <w:fldChar w:fldCharType="separate"/>
    </w:r>
    <w:r w:rsidR="008D4C81" w:rsidRPr="007839E8">
      <w:rPr>
        <w:sz w:val="16"/>
      </w:rPr>
      <w:t>2</w:t>
    </w:r>
    <w:r w:rsidR="008D4C81" w:rsidRPr="007839E8">
      <w:rPr>
        <w:sz w:val="16"/>
      </w:rPr>
      <w:fldChar w:fldCharType="end"/>
    </w:r>
    <w:r w:rsidR="008D4C81" w:rsidRPr="007839E8">
      <w:rPr>
        <w:sz w:val="16"/>
      </w:rPr>
      <w:t xml:space="preserve"> of </w:t>
    </w:r>
    <w:r w:rsidR="008D4C81" w:rsidRPr="007839E8">
      <w:rPr>
        <w:sz w:val="16"/>
      </w:rPr>
      <w:fldChar w:fldCharType="begin"/>
    </w:r>
    <w:r w:rsidR="008D4C81" w:rsidRPr="007839E8">
      <w:rPr>
        <w:sz w:val="16"/>
      </w:rPr>
      <w:instrText xml:space="preserve"> NUMPAGES   \* MERGEFORMAT </w:instrText>
    </w:r>
    <w:r w:rsidR="008D4C81" w:rsidRPr="007839E8">
      <w:rPr>
        <w:sz w:val="16"/>
      </w:rPr>
      <w:fldChar w:fldCharType="separate"/>
    </w:r>
    <w:r w:rsidR="008D4C81" w:rsidRPr="007839E8">
      <w:rPr>
        <w:sz w:val="16"/>
      </w:rPr>
      <w:t>8</w:t>
    </w:r>
    <w:r w:rsidR="008D4C81" w:rsidRPr="007839E8">
      <w:rPr>
        <w:sz w:val="16"/>
      </w:rPr>
      <w:fldChar w:fldCharType="end"/>
    </w:r>
  </w:p>
  <w:p w14:paraId="429C29B1" w14:textId="77777777" w:rsidR="001C76F6" w:rsidRPr="007839E8" w:rsidRDefault="001C76F6" w:rsidP="00092EF2">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C93562" w:rsidRPr="007839E8" w14:paraId="340FFFEF" w14:textId="77777777" w:rsidTr="003767D5">
      <w:trPr>
        <w:trHeight w:val="686"/>
      </w:trPr>
      <w:tc>
        <w:tcPr>
          <w:tcW w:w="3679" w:type="dxa"/>
          <w:vAlign w:val="center"/>
        </w:tcPr>
        <w:p w14:paraId="31D539BB" w14:textId="455B0419" w:rsidR="00C93562" w:rsidRPr="007839E8" w:rsidRDefault="00AF0B89" w:rsidP="00526502">
          <w:pPr>
            <w:pStyle w:val="Header"/>
            <w:pBdr>
              <w:bottom w:val="none" w:sz="0" w:space="0" w:color="auto"/>
            </w:pBdr>
            <w:jc w:val="left"/>
            <w:rPr>
              <w:rFonts w:eastAsia="等线"/>
              <w:b/>
              <w:bCs/>
            </w:rPr>
          </w:pPr>
          <w:r w:rsidRPr="007839E8">
            <w:rPr>
              <w:rFonts w:eastAsia="等线"/>
              <w:b/>
              <w:bCs/>
              <w:noProof/>
            </w:rPr>
            <w:drawing>
              <wp:inline distT="0" distB="0" distL="0" distR="0" wp14:anchorId="4FB8FA43" wp14:editId="06E67667">
                <wp:extent cx="1037408" cy="432000"/>
                <wp:effectExtent l="0" t="0" r="0" b="6350"/>
                <wp:docPr id="1846090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090743" name=""/>
                        <pic:cNvPicPr/>
                      </pic:nvPicPr>
                      <pic:blipFill>
                        <a:blip r:embed="rId1"/>
                        <a:stretch>
                          <a:fillRect/>
                        </a:stretch>
                      </pic:blipFill>
                      <pic:spPr>
                        <a:xfrm>
                          <a:off x="0" y="0"/>
                          <a:ext cx="1037408" cy="432000"/>
                        </a:xfrm>
                        <a:prstGeom prst="rect">
                          <a:avLst/>
                        </a:prstGeom>
                      </pic:spPr>
                    </pic:pic>
                  </a:graphicData>
                </a:graphic>
              </wp:inline>
            </w:drawing>
          </w:r>
        </w:p>
      </w:tc>
      <w:tc>
        <w:tcPr>
          <w:tcW w:w="4535" w:type="dxa"/>
          <w:vAlign w:val="center"/>
        </w:tcPr>
        <w:p w14:paraId="5C147F1E" w14:textId="77777777" w:rsidR="00C93562" w:rsidRPr="007839E8" w:rsidRDefault="00C93562" w:rsidP="00526502">
          <w:pPr>
            <w:pStyle w:val="Header"/>
            <w:pBdr>
              <w:bottom w:val="none" w:sz="0" w:space="0" w:color="auto"/>
            </w:pBdr>
            <w:rPr>
              <w:rFonts w:eastAsia="等线"/>
              <w:b/>
              <w:bCs/>
            </w:rPr>
          </w:pPr>
        </w:p>
      </w:tc>
      <w:tc>
        <w:tcPr>
          <w:tcW w:w="2273" w:type="dxa"/>
          <w:vAlign w:val="center"/>
        </w:tcPr>
        <w:p w14:paraId="195D86FB" w14:textId="0BBA9987" w:rsidR="00C93562" w:rsidRPr="007839E8" w:rsidRDefault="003767D5" w:rsidP="003767D5">
          <w:pPr>
            <w:pStyle w:val="Header"/>
            <w:pBdr>
              <w:bottom w:val="none" w:sz="0" w:space="0" w:color="auto"/>
            </w:pBdr>
            <w:jc w:val="right"/>
            <w:rPr>
              <w:rFonts w:eastAsia="等线"/>
              <w:b/>
              <w:bCs/>
            </w:rPr>
          </w:pPr>
          <w:r w:rsidRPr="007839E8">
            <w:rPr>
              <w:rFonts w:eastAsia="等线"/>
              <w:b/>
              <w:bCs/>
              <w:noProof/>
            </w:rPr>
            <w:drawing>
              <wp:inline distT="0" distB="0" distL="0" distR="0" wp14:anchorId="10A0876B" wp14:editId="2253A147">
                <wp:extent cx="540000" cy="360000"/>
                <wp:effectExtent l="0" t="0" r="0" b="2540"/>
                <wp:docPr id="333099079" name="Picture 1"/>
                <wp:cNvGraphicFramePr/>
                <a:graphic xmlns:a="http://schemas.openxmlformats.org/drawingml/2006/main">
                  <a:graphicData uri="http://schemas.openxmlformats.org/drawingml/2006/picture">
                    <pic:pic xmlns:pic="http://schemas.openxmlformats.org/drawingml/2006/picture">
                      <pic:nvPicPr>
                        <pic:cNvPr id="333099079" name=""/>
                        <pic:cNvPicPr/>
                      </pic:nvPicPr>
                      <pic:blipFill>
                        <a:blip r:embed="rId2"/>
                        <a:stretch>
                          <a:fillRect/>
                        </a:stretch>
                      </pic:blipFill>
                      <pic:spPr>
                        <a:xfrm>
                          <a:off x="0" y="0"/>
                          <a:ext cx="540000" cy="360000"/>
                        </a:xfrm>
                        <a:prstGeom prst="rect">
                          <a:avLst/>
                        </a:prstGeom>
                      </pic:spPr>
                    </pic:pic>
                  </a:graphicData>
                </a:graphic>
              </wp:inline>
            </w:drawing>
          </w:r>
        </w:p>
      </w:tc>
    </w:tr>
  </w:tbl>
  <w:p w14:paraId="64DA48DE" w14:textId="77777777" w:rsidR="001C76F6" w:rsidRPr="007839E8" w:rsidRDefault="001C76F6" w:rsidP="008D4C81">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468F5"/>
    <w:multiLevelType w:val="hybridMultilevel"/>
    <w:tmpl w:val="FC806A0C"/>
    <w:lvl w:ilvl="0" w:tplc="D196E844">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2"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4"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6" w15:restartNumberingAfterBreak="0">
    <w:nsid w:val="44DA1CB9"/>
    <w:multiLevelType w:val="hybridMultilevel"/>
    <w:tmpl w:val="CCC8D13C"/>
    <w:lvl w:ilvl="0" w:tplc="4B545C06">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9" w15:restartNumberingAfterBreak="0">
    <w:nsid w:val="6D7F75A7"/>
    <w:multiLevelType w:val="hybridMultilevel"/>
    <w:tmpl w:val="A508BCE8"/>
    <w:lvl w:ilvl="0" w:tplc="C642578A">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10"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21A26FB"/>
    <w:multiLevelType w:val="hybridMultilevel"/>
    <w:tmpl w:val="366C2B86"/>
    <w:lvl w:ilvl="0" w:tplc="5B38DB86">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6885720">
    <w:abstractNumId w:val="3"/>
  </w:num>
  <w:num w:numId="2" w16cid:durableId="764572956">
    <w:abstractNumId w:val="5"/>
  </w:num>
  <w:num w:numId="3" w16cid:durableId="227352354">
    <w:abstractNumId w:val="2"/>
  </w:num>
  <w:num w:numId="4" w16cid:durableId="18915716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49691103">
    <w:abstractNumId w:val="4"/>
  </w:num>
  <w:num w:numId="6" w16cid:durableId="1652782770">
    <w:abstractNumId w:val="8"/>
  </w:num>
  <w:num w:numId="7" w16cid:durableId="1587806861">
    <w:abstractNumId w:val="1"/>
  </w:num>
  <w:num w:numId="8" w16cid:durableId="803699944">
    <w:abstractNumId w:val="8"/>
  </w:num>
  <w:num w:numId="9" w16cid:durableId="621880201">
    <w:abstractNumId w:val="1"/>
  </w:num>
  <w:num w:numId="10" w16cid:durableId="1156216967">
    <w:abstractNumId w:val="8"/>
  </w:num>
  <w:num w:numId="11" w16cid:durableId="1685089984">
    <w:abstractNumId w:val="1"/>
  </w:num>
  <w:num w:numId="12" w16cid:durableId="1053700392">
    <w:abstractNumId w:val="10"/>
  </w:num>
  <w:num w:numId="13" w16cid:durableId="362941748">
    <w:abstractNumId w:val="8"/>
  </w:num>
  <w:num w:numId="14" w16cid:durableId="47727350">
    <w:abstractNumId w:val="1"/>
  </w:num>
  <w:num w:numId="15" w16cid:durableId="498693611">
    <w:abstractNumId w:val="0"/>
  </w:num>
  <w:num w:numId="16" w16cid:durableId="1534729667">
    <w:abstractNumId w:val="7"/>
  </w:num>
  <w:num w:numId="17" w16cid:durableId="598948950">
    <w:abstractNumId w:val="0"/>
  </w:num>
  <w:num w:numId="18" w16cid:durableId="348987493">
    <w:abstractNumId w:val="8"/>
  </w:num>
  <w:num w:numId="19" w16cid:durableId="66347879">
    <w:abstractNumId w:val="1"/>
  </w:num>
  <w:num w:numId="20" w16cid:durableId="1117678135">
    <w:abstractNumId w:val="0"/>
  </w:num>
  <w:num w:numId="21" w16cid:durableId="235281920">
    <w:abstractNumId w:val="11"/>
  </w:num>
  <w:num w:numId="22" w16cid:durableId="338586943">
    <w:abstractNumId w:val="9"/>
  </w:num>
  <w:num w:numId="23" w16cid:durableId="3999115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653"/>
    <w:rsid w:val="00006EC4"/>
    <w:rsid w:val="00020432"/>
    <w:rsid w:val="00032C71"/>
    <w:rsid w:val="000407A2"/>
    <w:rsid w:val="000573A9"/>
    <w:rsid w:val="000655E2"/>
    <w:rsid w:val="00080FE0"/>
    <w:rsid w:val="00092EF2"/>
    <w:rsid w:val="000A1516"/>
    <w:rsid w:val="000C4C13"/>
    <w:rsid w:val="000E24F4"/>
    <w:rsid w:val="0012030C"/>
    <w:rsid w:val="00124D69"/>
    <w:rsid w:val="001260D5"/>
    <w:rsid w:val="001273E0"/>
    <w:rsid w:val="00134BB8"/>
    <w:rsid w:val="00152411"/>
    <w:rsid w:val="001600FE"/>
    <w:rsid w:val="00160266"/>
    <w:rsid w:val="00175630"/>
    <w:rsid w:val="001766EA"/>
    <w:rsid w:val="001836DF"/>
    <w:rsid w:val="0018545E"/>
    <w:rsid w:val="001A30E8"/>
    <w:rsid w:val="001A535F"/>
    <w:rsid w:val="001B2C94"/>
    <w:rsid w:val="001C1F99"/>
    <w:rsid w:val="001C69E7"/>
    <w:rsid w:val="001C76F6"/>
    <w:rsid w:val="001D0CDE"/>
    <w:rsid w:val="001D3E0E"/>
    <w:rsid w:val="001E2AEB"/>
    <w:rsid w:val="001F0198"/>
    <w:rsid w:val="00204BE3"/>
    <w:rsid w:val="00243653"/>
    <w:rsid w:val="00247843"/>
    <w:rsid w:val="002519D0"/>
    <w:rsid w:val="00254361"/>
    <w:rsid w:val="00265034"/>
    <w:rsid w:val="002713E0"/>
    <w:rsid w:val="00275B44"/>
    <w:rsid w:val="002919AD"/>
    <w:rsid w:val="00295161"/>
    <w:rsid w:val="002B3A4B"/>
    <w:rsid w:val="002B4A2A"/>
    <w:rsid w:val="002C2175"/>
    <w:rsid w:val="002D6A12"/>
    <w:rsid w:val="002E3A10"/>
    <w:rsid w:val="002E7247"/>
    <w:rsid w:val="00312DD0"/>
    <w:rsid w:val="003137C5"/>
    <w:rsid w:val="00313D10"/>
    <w:rsid w:val="00326141"/>
    <w:rsid w:val="00333563"/>
    <w:rsid w:val="00334387"/>
    <w:rsid w:val="003346FC"/>
    <w:rsid w:val="00350B3B"/>
    <w:rsid w:val="003767D5"/>
    <w:rsid w:val="003914DF"/>
    <w:rsid w:val="003A4B7F"/>
    <w:rsid w:val="003D0C5A"/>
    <w:rsid w:val="003F26A8"/>
    <w:rsid w:val="003F312B"/>
    <w:rsid w:val="00401D30"/>
    <w:rsid w:val="004064B7"/>
    <w:rsid w:val="00415B9C"/>
    <w:rsid w:val="004232BB"/>
    <w:rsid w:val="00426AF3"/>
    <w:rsid w:val="004315EE"/>
    <w:rsid w:val="004359FE"/>
    <w:rsid w:val="00476ADE"/>
    <w:rsid w:val="004A4199"/>
    <w:rsid w:val="004A4322"/>
    <w:rsid w:val="004B41B0"/>
    <w:rsid w:val="004D278C"/>
    <w:rsid w:val="00526502"/>
    <w:rsid w:val="00526ADB"/>
    <w:rsid w:val="00527202"/>
    <w:rsid w:val="00527533"/>
    <w:rsid w:val="0053255F"/>
    <w:rsid w:val="00545B32"/>
    <w:rsid w:val="0055562C"/>
    <w:rsid w:val="00560B0A"/>
    <w:rsid w:val="005811F5"/>
    <w:rsid w:val="005A21A7"/>
    <w:rsid w:val="005B5B5A"/>
    <w:rsid w:val="005C70B1"/>
    <w:rsid w:val="0060137B"/>
    <w:rsid w:val="00624CAE"/>
    <w:rsid w:val="00634BA3"/>
    <w:rsid w:val="00651A46"/>
    <w:rsid w:val="00652F0C"/>
    <w:rsid w:val="00676D2D"/>
    <w:rsid w:val="006815DA"/>
    <w:rsid w:val="00681D08"/>
    <w:rsid w:val="00685C15"/>
    <w:rsid w:val="00692264"/>
    <w:rsid w:val="00692393"/>
    <w:rsid w:val="006A1B40"/>
    <w:rsid w:val="006A69B7"/>
    <w:rsid w:val="006E4337"/>
    <w:rsid w:val="006E5513"/>
    <w:rsid w:val="006F3A1F"/>
    <w:rsid w:val="00720209"/>
    <w:rsid w:val="0072365C"/>
    <w:rsid w:val="00764704"/>
    <w:rsid w:val="007839E8"/>
    <w:rsid w:val="00784160"/>
    <w:rsid w:val="0078520C"/>
    <w:rsid w:val="00796463"/>
    <w:rsid w:val="007B2A2C"/>
    <w:rsid w:val="007B57CF"/>
    <w:rsid w:val="007C039F"/>
    <w:rsid w:val="007D39A8"/>
    <w:rsid w:val="007D5729"/>
    <w:rsid w:val="007E13A0"/>
    <w:rsid w:val="007E20DF"/>
    <w:rsid w:val="007E74F3"/>
    <w:rsid w:val="007F292D"/>
    <w:rsid w:val="007F500F"/>
    <w:rsid w:val="00817DF9"/>
    <w:rsid w:val="00826878"/>
    <w:rsid w:val="00835224"/>
    <w:rsid w:val="00841227"/>
    <w:rsid w:val="00847C63"/>
    <w:rsid w:val="008579E6"/>
    <w:rsid w:val="008641B9"/>
    <w:rsid w:val="00865AC6"/>
    <w:rsid w:val="008703A8"/>
    <w:rsid w:val="00873D51"/>
    <w:rsid w:val="008A1C69"/>
    <w:rsid w:val="008A5041"/>
    <w:rsid w:val="008A7E9A"/>
    <w:rsid w:val="008B21FD"/>
    <w:rsid w:val="008B289A"/>
    <w:rsid w:val="008D4C81"/>
    <w:rsid w:val="008E2664"/>
    <w:rsid w:val="008F00A1"/>
    <w:rsid w:val="0090193C"/>
    <w:rsid w:val="00906D45"/>
    <w:rsid w:val="00915C7D"/>
    <w:rsid w:val="00924029"/>
    <w:rsid w:val="0092741D"/>
    <w:rsid w:val="0093135B"/>
    <w:rsid w:val="00954EA5"/>
    <w:rsid w:val="00967C33"/>
    <w:rsid w:val="009A28F8"/>
    <w:rsid w:val="009B0F42"/>
    <w:rsid w:val="009B1312"/>
    <w:rsid w:val="009B6934"/>
    <w:rsid w:val="009C17B8"/>
    <w:rsid w:val="009E0DEB"/>
    <w:rsid w:val="009F2B63"/>
    <w:rsid w:val="009F70E6"/>
    <w:rsid w:val="00A338EE"/>
    <w:rsid w:val="00A40A4C"/>
    <w:rsid w:val="00A50652"/>
    <w:rsid w:val="00A534CD"/>
    <w:rsid w:val="00A5352B"/>
    <w:rsid w:val="00A82F41"/>
    <w:rsid w:val="00A863D2"/>
    <w:rsid w:val="00AC3148"/>
    <w:rsid w:val="00AD12E5"/>
    <w:rsid w:val="00AD547E"/>
    <w:rsid w:val="00AE2FA4"/>
    <w:rsid w:val="00AE6E21"/>
    <w:rsid w:val="00AF0B89"/>
    <w:rsid w:val="00AF4EF1"/>
    <w:rsid w:val="00AF6A72"/>
    <w:rsid w:val="00B05DC9"/>
    <w:rsid w:val="00B15A05"/>
    <w:rsid w:val="00B2597C"/>
    <w:rsid w:val="00B61C94"/>
    <w:rsid w:val="00B70808"/>
    <w:rsid w:val="00B916AE"/>
    <w:rsid w:val="00B93694"/>
    <w:rsid w:val="00BA4502"/>
    <w:rsid w:val="00BA732E"/>
    <w:rsid w:val="00BC0CB4"/>
    <w:rsid w:val="00BE01A2"/>
    <w:rsid w:val="00BE4A23"/>
    <w:rsid w:val="00BE5440"/>
    <w:rsid w:val="00BE5A33"/>
    <w:rsid w:val="00BF1202"/>
    <w:rsid w:val="00C10209"/>
    <w:rsid w:val="00C1211E"/>
    <w:rsid w:val="00C42C23"/>
    <w:rsid w:val="00C471D1"/>
    <w:rsid w:val="00C54134"/>
    <w:rsid w:val="00C80AB5"/>
    <w:rsid w:val="00C92553"/>
    <w:rsid w:val="00C93562"/>
    <w:rsid w:val="00CC7ED9"/>
    <w:rsid w:val="00CD2B32"/>
    <w:rsid w:val="00CE0600"/>
    <w:rsid w:val="00CE121B"/>
    <w:rsid w:val="00CF276C"/>
    <w:rsid w:val="00D036B1"/>
    <w:rsid w:val="00D20599"/>
    <w:rsid w:val="00D30FE8"/>
    <w:rsid w:val="00D82592"/>
    <w:rsid w:val="00D8306D"/>
    <w:rsid w:val="00D84B0A"/>
    <w:rsid w:val="00D952B3"/>
    <w:rsid w:val="00DA05D1"/>
    <w:rsid w:val="00DB493F"/>
    <w:rsid w:val="00DC4CCD"/>
    <w:rsid w:val="00DF25E8"/>
    <w:rsid w:val="00DF395F"/>
    <w:rsid w:val="00E014E9"/>
    <w:rsid w:val="00E05F48"/>
    <w:rsid w:val="00E069C0"/>
    <w:rsid w:val="00E072BA"/>
    <w:rsid w:val="00E1136E"/>
    <w:rsid w:val="00E1348D"/>
    <w:rsid w:val="00E220D5"/>
    <w:rsid w:val="00E24B0B"/>
    <w:rsid w:val="00E276ED"/>
    <w:rsid w:val="00E3292F"/>
    <w:rsid w:val="00E4281E"/>
    <w:rsid w:val="00E5223B"/>
    <w:rsid w:val="00E62255"/>
    <w:rsid w:val="00E6287B"/>
    <w:rsid w:val="00EA5F4C"/>
    <w:rsid w:val="00EE682D"/>
    <w:rsid w:val="00F00870"/>
    <w:rsid w:val="00F25161"/>
    <w:rsid w:val="00F34FEE"/>
    <w:rsid w:val="00F46911"/>
    <w:rsid w:val="00F75691"/>
    <w:rsid w:val="00F866AC"/>
    <w:rsid w:val="00FA2F11"/>
    <w:rsid w:val="00FA359D"/>
    <w:rsid w:val="00FA39C7"/>
    <w:rsid w:val="00FA3BD6"/>
    <w:rsid w:val="00FB5747"/>
    <w:rsid w:val="00FC69D1"/>
    <w:rsid w:val="00FD449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CAF432B"/>
  <w15:chartTrackingRefBase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1F99"/>
    <w:pPr>
      <w:spacing w:line="280" w:lineRule="atLeast"/>
      <w:jc w:val="both"/>
    </w:pPr>
    <w:rPr>
      <w:rFonts w:ascii="Palatino Linotype" w:hAnsi="Palatino Linotype"/>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1C1F99"/>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1C1F99"/>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1C1F99"/>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1C1F99"/>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1C1F99"/>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1C1F99"/>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1C1F99"/>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1C1F99"/>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243653"/>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1C1F99"/>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1C1F99"/>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1C1F99"/>
    <w:rPr>
      <w:rFonts w:ascii="Palatino Linotype" w:hAnsi="Palatino Linotype"/>
      <w:noProof/>
      <w:color w:val="000000"/>
      <w:szCs w:val="18"/>
    </w:rPr>
  </w:style>
  <w:style w:type="paragraph" w:styleId="Header">
    <w:name w:val="header"/>
    <w:basedOn w:val="Normal"/>
    <w:link w:val="HeaderChar"/>
    <w:uiPriority w:val="99"/>
    <w:rsid w:val="001C1F99"/>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1C1F99"/>
    <w:rPr>
      <w:rFonts w:ascii="Palatino Linotype" w:hAnsi="Palatino Linotype"/>
      <w:noProof/>
      <w:color w:val="000000"/>
      <w:szCs w:val="18"/>
    </w:rPr>
  </w:style>
  <w:style w:type="paragraph" w:customStyle="1" w:styleId="MDPI32textnoindent">
    <w:name w:val="MDPI_3.2_text_no_indent"/>
    <w:basedOn w:val="MDPI31text"/>
    <w:qFormat/>
    <w:rsid w:val="001C1F99"/>
    <w:pPr>
      <w:ind w:firstLine="0"/>
    </w:pPr>
  </w:style>
  <w:style w:type="paragraph" w:customStyle="1" w:styleId="MDPI31text">
    <w:name w:val="MDPI_3.1_text"/>
    <w:qFormat/>
    <w:rsid w:val="00B93694"/>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1C1F99"/>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1C1F99"/>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1C1F99"/>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2E7247"/>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2E7247"/>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1C1F99"/>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1C1F99"/>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1C1F99"/>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72365C"/>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1C1F99"/>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1C1F99"/>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1C1F99"/>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1C1F99"/>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1C1F99"/>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1C1F99"/>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55562C"/>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1C1F99"/>
    <w:rPr>
      <w:rFonts w:cs="Tahoma"/>
      <w:szCs w:val="18"/>
    </w:rPr>
  </w:style>
  <w:style w:type="character" w:customStyle="1" w:styleId="BalloonTextChar">
    <w:name w:val="Balloon Text Char"/>
    <w:link w:val="BalloonText"/>
    <w:uiPriority w:val="99"/>
    <w:rsid w:val="001C1F99"/>
    <w:rPr>
      <w:rFonts w:ascii="Palatino Linotype" w:hAnsi="Palatino Linotype" w:cs="Tahoma"/>
      <w:noProof/>
      <w:color w:val="000000"/>
      <w:szCs w:val="18"/>
    </w:rPr>
  </w:style>
  <w:style w:type="character" w:styleId="LineNumber">
    <w:name w:val="line number"/>
    <w:uiPriority w:val="99"/>
    <w:rsid w:val="00CF276C"/>
    <w:rPr>
      <w:rFonts w:ascii="Palatino Linotype" w:hAnsi="Palatino Linotype"/>
      <w:sz w:val="16"/>
    </w:rPr>
  </w:style>
  <w:style w:type="table" w:customStyle="1" w:styleId="MDPI41threelinetable">
    <w:name w:val="MDPI_4.1_three_line_table"/>
    <w:basedOn w:val="TableNormal"/>
    <w:uiPriority w:val="99"/>
    <w:rsid w:val="001C1F99"/>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1C1F99"/>
    <w:rPr>
      <w:color w:val="0000FF"/>
      <w:u w:val="single"/>
    </w:rPr>
  </w:style>
  <w:style w:type="character" w:styleId="UnresolvedMention">
    <w:name w:val="Unresolved Mention"/>
    <w:uiPriority w:val="99"/>
    <w:semiHidden/>
    <w:unhideWhenUsed/>
    <w:rsid w:val="00527533"/>
    <w:rPr>
      <w:color w:val="605E5C"/>
      <w:shd w:val="clear" w:color="auto" w:fill="E1DFDD"/>
    </w:rPr>
  </w:style>
  <w:style w:type="table" w:styleId="PlainTable4">
    <w:name w:val="Plain Table 4"/>
    <w:basedOn w:val="TableNormal"/>
    <w:uiPriority w:val="44"/>
    <w:rsid w:val="007E13A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1C1F99"/>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1C1F99"/>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1C1F99"/>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1C1F99"/>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1C1F99"/>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1C1F99"/>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A863D2"/>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1C1F99"/>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1C1F99"/>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1F0198"/>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1C1F99"/>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1C1F99"/>
  </w:style>
  <w:style w:type="paragraph" w:styleId="Bibliography">
    <w:name w:val="Bibliography"/>
    <w:basedOn w:val="Normal"/>
    <w:next w:val="Normal"/>
    <w:uiPriority w:val="37"/>
    <w:semiHidden/>
    <w:unhideWhenUsed/>
    <w:rsid w:val="001C1F99"/>
  </w:style>
  <w:style w:type="paragraph" w:styleId="BodyText">
    <w:name w:val="Body Text"/>
    <w:link w:val="BodyTextChar"/>
    <w:rsid w:val="001C1F99"/>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1C1F99"/>
    <w:rPr>
      <w:rFonts w:ascii="Palatino Linotype" w:hAnsi="Palatino Linotype"/>
      <w:color w:val="000000"/>
      <w:sz w:val="24"/>
      <w:lang w:eastAsia="de-DE"/>
    </w:rPr>
  </w:style>
  <w:style w:type="character" w:styleId="CommentReference">
    <w:name w:val="annotation reference"/>
    <w:rsid w:val="001C1F99"/>
    <w:rPr>
      <w:sz w:val="21"/>
      <w:szCs w:val="21"/>
    </w:rPr>
  </w:style>
  <w:style w:type="paragraph" w:styleId="CommentText">
    <w:name w:val="annotation text"/>
    <w:basedOn w:val="Normal"/>
    <w:link w:val="CommentTextChar"/>
    <w:rsid w:val="001C1F99"/>
  </w:style>
  <w:style w:type="character" w:customStyle="1" w:styleId="CommentTextChar">
    <w:name w:val="Comment Text Char"/>
    <w:link w:val="CommentText"/>
    <w:rsid w:val="001C1F99"/>
    <w:rPr>
      <w:rFonts w:ascii="Palatino Linotype" w:hAnsi="Palatino Linotype"/>
      <w:noProof/>
      <w:color w:val="000000"/>
    </w:rPr>
  </w:style>
  <w:style w:type="paragraph" w:styleId="CommentSubject">
    <w:name w:val="annotation subject"/>
    <w:basedOn w:val="CommentText"/>
    <w:next w:val="CommentText"/>
    <w:link w:val="CommentSubjectChar"/>
    <w:rsid w:val="001C1F99"/>
    <w:rPr>
      <w:b/>
      <w:bCs/>
    </w:rPr>
  </w:style>
  <w:style w:type="character" w:customStyle="1" w:styleId="CommentSubjectChar">
    <w:name w:val="Comment Subject Char"/>
    <w:link w:val="CommentSubject"/>
    <w:rsid w:val="001C1F99"/>
    <w:rPr>
      <w:rFonts w:ascii="Palatino Linotype" w:hAnsi="Palatino Linotype"/>
      <w:b/>
      <w:bCs/>
      <w:noProof/>
      <w:color w:val="000000"/>
    </w:rPr>
  </w:style>
  <w:style w:type="character" w:styleId="EndnoteReference">
    <w:name w:val="endnote reference"/>
    <w:rsid w:val="001C1F99"/>
    <w:rPr>
      <w:vertAlign w:val="superscript"/>
    </w:rPr>
  </w:style>
  <w:style w:type="paragraph" w:styleId="EndnoteText">
    <w:name w:val="endnote text"/>
    <w:basedOn w:val="Normal"/>
    <w:link w:val="EndnoteTextChar"/>
    <w:semiHidden/>
    <w:unhideWhenUsed/>
    <w:rsid w:val="001C1F99"/>
    <w:pPr>
      <w:spacing w:line="240" w:lineRule="auto"/>
    </w:pPr>
  </w:style>
  <w:style w:type="character" w:customStyle="1" w:styleId="EndnoteTextChar">
    <w:name w:val="Endnote Text Char"/>
    <w:link w:val="EndnoteText"/>
    <w:semiHidden/>
    <w:rsid w:val="001C1F99"/>
    <w:rPr>
      <w:rFonts w:ascii="Palatino Linotype" w:hAnsi="Palatino Linotype"/>
      <w:noProof/>
      <w:color w:val="000000"/>
    </w:rPr>
  </w:style>
  <w:style w:type="character" w:styleId="FollowedHyperlink">
    <w:name w:val="FollowedHyperlink"/>
    <w:rsid w:val="001C1F99"/>
    <w:rPr>
      <w:color w:val="954F72"/>
      <w:u w:val="single"/>
    </w:rPr>
  </w:style>
  <w:style w:type="paragraph" w:styleId="FootnoteText">
    <w:name w:val="footnote text"/>
    <w:basedOn w:val="Normal"/>
    <w:link w:val="FootnoteTextChar"/>
    <w:semiHidden/>
    <w:unhideWhenUsed/>
    <w:rsid w:val="001C1F99"/>
    <w:pPr>
      <w:spacing w:line="240" w:lineRule="auto"/>
    </w:pPr>
  </w:style>
  <w:style w:type="character" w:customStyle="1" w:styleId="FootnoteTextChar">
    <w:name w:val="Footnote Text Char"/>
    <w:link w:val="FootnoteText"/>
    <w:semiHidden/>
    <w:rsid w:val="001C1F99"/>
    <w:rPr>
      <w:rFonts w:ascii="Palatino Linotype" w:hAnsi="Palatino Linotype"/>
      <w:noProof/>
      <w:color w:val="000000"/>
    </w:rPr>
  </w:style>
  <w:style w:type="paragraph" w:styleId="NormalWeb">
    <w:name w:val="Normal (Web)"/>
    <w:basedOn w:val="Normal"/>
    <w:uiPriority w:val="99"/>
    <w:rsid w:val="001C1F99"/>
    <w:rPr>
      <w:szCs w:val="24"/>
    </w:rPr>
  </w:style>
  <w:style w:type="paragraph" w:customStyle="1" w:styleId="MsoFootnoteText0">
    <w:name w:val="MsoFootnoteText"/>
    <w:basedOn w:val="NormalWeb"/>
    <w:qFormat/>
    <w:rsid w:val="001C1F99"/>
    <w:rPr>
      <w:rFonts w:ascii="Times New Roman" w:hAnsi="Times New Roman"/>
    </w:rPr>
  </w:style>
  <w:style w:type="character" w:styleId="PageNumber">
    <w:name w:val="page number"/>
    <w:rsid w:val="001C1F99"/>
  </w:style>
  <w:style w:type="character" w:styleId="PlaceholderText">
    <w:name w:val="Placeholder Text"/>
    <w:uiPriority w:val="99"/>
    <w:semiHidden/>
    <w:rsid w:val="001C1F99"/>
    <w:rPr>
      <w:color w:val="808080"/>
    </w:rPr>
  </w:style>
  <w:style w:type="paragraph" w:customStyle="1" w:styleId="MDPI71footnotes">
    <w:name w:val="MDPI_7.1_footnotes"/>
    <w:qFormat/>
    <w:rsid w:val="00D82592"/>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2C21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img.mdpi.org/data/contributor-role-instruction.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foods-template.dot</Template>
  <TotalTime>2</TotalTime>
  <Pages>6</Pages>
  <Words>2390</Words>
  <Characters>13626</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15985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Bandwise Stability and Redundancy Selection for Near-Infrared Prediction of Total C21 Steroidal Glycoside Equivalents in Baishouwu</dc:title>
  <dc:subject>Baishouwu NIR chemometrics</dc:subject>
  <dc:creator>Cheng Guo; Chen Qiu; Yang Qian; Hongle An; Mingguang Zhang; Baolin Zhu; Cuiyan Han</dc:creator>
  <cp:keywords/>
  <dc:description/>
  <cp:lastModifiedBy>MDPI</cp:lastModifiedBy>
  <cp:revision>5</cp:revision>
  <dcterms:created xsi:type="dcterms:W3CDTF">2025-06-13T06:09:00Z</dcterms:created>
  <dcterms:modified xsi:type="dcterms:W3CDTF">2025-08-15T02:52:00Z</dcterms:modified>
</cp:coreProperties>
</file>