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widowControl/>
      </w:pPr>
      <w:r>
        <w:t>Supplementary Material</w:t>
      </w:r>
    </w:p>
    <w:p>
      <w:pPr>
        <w:pStyle w:val="MDPI12title"/>
        <w:widowControl/>
        <w:suppressAutoHyphens w:val="1"/>
      </w:pPr>
      <w:r>
        <w:t>Bandwise Stability and Redundancy Selection for Near-Infrared Prediction of Total C21 Steroidal Glycoside Equivalents in Baishouwu</w:t>
      </w:r>
    </w:p>
    <w:p>
      <w:pPr>
        <w:pStyle w:val="MDPI13authornames"/>
        <w:widowControl/>
      </w:pPr>
      <w:r>
        <w:t>Cheng Guo</w:t>
      </w:r>
      <w:r>
        <w:rPr>
          <w:vertAlign w:val="superscript"/>
        </w:rPr>
        <w:t xml:space="preserve"> 1</w:t>
      </w:r>
      <w:r>
        <w:t xml:space="preserve">, </w:t>
      </w:r>
      <w:r>
        <w:t>Chen Qiu</w:t>
      </w:r>
      <w:r>
        <w:rPr>
          <w:vertAlign w:val="superscript"/>
        </w:rPr>
        <w:t xml:space="preserve"> 1</w:t>
      </w:r>
      <w:r>
        <w:t xml:space="preserve">, </w:t>
      </w:r>
      <w:r>
        <w:t>Yang Qian</w:t>
      </w:r>
      <w:r>
        <w:rPr>
          <w:vertAlign w:val="superscript"/>
        </w:rPr>
        <w:t xml:space="preserve"> 1</w:t>
      </w:r>
      <w:r>
        <w:t xml:space="preserve">, </w:t>
      </w:r>
      <w:r>
        <w:t>Hongle An</w:t>
      </w:r>
      <w:r>
        <w:rPr>
          <w:vertAlign w:val="superscript"/>
        </w:rPr>
        <w:t xml:space="preserve"> 2,*</w:t>
      </w:r>
      <w:r>
        <w:t xml:space="preserve">, </w:t>
      </w:r>
      <w:r>
        <w:t>Mingguang Zhang</w:t>
      </w:r>
      <w:r>
        <w:rPr>
          <w:vertAlign w:val="superscript"/>
        </w:rPr>
        <w:t xml:space="preserve"> 1</w:t>
      </w:r>
      <w:r>
        <w:t xml:space="preserve">, </w:t>
      </w:r>
      <w:r>
        <w:t>Baolin Zhu</w:t>
      </w:r>
      <w:r>
        <w:rPr>
          <w:vertAlign w:val="superscript"/>
        </w:rPr>
        <w:t xml:space="preserve"> 3,4,*</w:t>
      </w:r>
      <w:r>
        <w:t xml:space="preserve"> and </w:t>
      </w:r>
      <w:r>
        <w:t>Cuiyan Han</w:t>
      </w:r>
      <w:r>
        <w:rPr>
          <w:vertAlign w:val="superscript"/>
        </w:rPr>
        <w:t xml:space="preserve"> 1,*</w:t>
      </w:r>
    </w:p>
    <w:p>
      <w:pPr>
        <w:pStyle w:val="MDPI16affiliation"/>
        <w:widowControl/>
        <w:tabs>
          <w:tab w:pos="2867" w:val="left"/>
        </w:tabs>
        <w:spacing w:after="40"/>
        <w:ind w:left="2867" w:hanging="259"/>
      </w:pPr>
      <w:r>
        <w:rPr>
          <w:sz w:val="16"/>
          <w:vertAlign w:val="superscript"/>
        </w:rPr>
        <w:t>1</w:t>
      </w:r>
      <w:r>
        <w:rPr>
          <w:sz w:val="16"/>
        </w:rPr>
        <w:tab/>
        <w:t>School of Pharmacy, Jiangsu Medical College, Jiangsu 224005, PR China</w:t>
      </w:r>
    </w:p>
    <w:p>
      <w:pPr>
        <w:pStyle w:val="MDPI16affiliation"/>
        <w:widowControl/>
        <w:tabs>
          <w:tab w:pos="2867" w:val="left"/>
        </w:tabs>
        <w:spacing w:after="40"/>
        <w:ind w:left="2867" w:hanging="259"/>
      </w:pPr>
      <w:r>
        <w:rPr>
          <w:sz w:val="16"/>
          <w:vertAlign w:val="superscript"/>
        </w:rPr>
        <w:t>2</w:t>
      </w:r>
      <w:r>
        <w:rPr>
          <w:sz w:val="16"/>
        </w:rPr>
        <w:tab/>
        <w:t>Key Laboratory of Magnetic Molecules and Magnetic Information Materials (Ministry of Education), College of Chemistry and Chemical Engineering, Shanxi Normal University, Taiyuan 030006, PR China</w:t>
      </w:r>
    </w:p>
    <w:p>
      <w:pPr>
        <w:pStyle w:val="MDPI16affiliation"/>
        <w:widowControl/>
        <w:tabs>
          <w:tab w:pos="2867" w:val="left"/>
        </w:tabs>
        <w:spacing w:after="40"/>
        <w:ind w:left="2867" w:hanging="259"/>
      </w:pPr>
      <w:r>
        <w:rPr>
          <w:sz w:val="16"/>
          <w:vertAlign w:val="superscript"/>
        </w:rPr>
        <w:t>3</w:t>
      </w:r>
      <w:r>
        <w:rPr>
          <w:sz w:val="16"/>
        </w:rPr>
        <w:tab/>
        <w:t>College of Chemistry, Nankai University, Tianjin 300071, China</w:t>
      </w:r>
    </w:p>
    <w:p>
      <w:pPr>
        <w:pStyle w:val="MDPI16affiliation"/>
        <w:widowControl/>
        <w:tabs>
          <w:tab w:pos="2867" w:val="left"/>
        </w:tabs>
        <w:spacing w:after="40"/>
        <w:ind w:left="2867" w:hanging="259"/>
      </w:pPr>
      <w:r>
        <w:rPr>
          <w:sz w:val="16"/>
          <w:vertAlign w:val="superscript"/>
        </w:rPr>
        <w:t>4</w:t>
      </w:r>
      <w:r>
        <w:rPr>
          <w:sz w:val="16"/>
        </w:rPr>
        <w:tab/>
        <w:t>National Demonstration Center for Experimental Chemistry Education, Nankai University, Tianjin 300071, China</w:t>
      </w:r>
    </w:p>
    <w:p>
      <w:pPr>
        <w:pStyle w:val="MDPI16affiliation"/>
        <w:widowControl/>
        <w:suppressAutoHyphens w:val="1"/>
        <w:spacing w:after="120"/>
      </w:pPr>
      <w:r>
        <w:rPr>
          <w:sz w:val="16"/>
        </w:rPr>
        <w:t>* Correspondence: honglean@sxnu.edu.cn (H.A.); zhubaolin@nankai.edu.cn (B.Z.);</w:t>
        <w:br/>
        <w:t>hancuiyan@jsmc.edu.cn (C.H.)</w:t>
      </w:r>
    </w:p>
    <w:p>
      <w:pPr>
        <w:pStyle w:val="MDPI21heading1"/>
        <w:keepNext/>
        <w:widowControl/>
      </w:pPr>
      <w:r>
        <w:t>Supplementary figures and tables</w:t>
      </w:r>
    </w:p>
    <w:p>
      <w:pPr>
        <w:pStyle w:val="MDPI31text"/>
        <w:widowControl/>
      </w:pPr>
      <w:r>
        <w:t>The analysis uses 84 samples, each measured at 141 near-infrared spectral variables. SPXY partitions the samples into 63 calibration and 21 prediction samples using normalized Euclidean distances in the full raw spectral matrix and the reference response. The main manuscript defines the preprocessing, variable-selection methods and calibration procedure.</w:t>
      </w:r>
    </w:p>
    <w:p>
      <w:pPr>
        <w:pStyle w:val="MDPI52figure"/>
        <w:keepNext/>
        <w:widowControl/>
        <w:ind w:left="2608" w:firstLine="0"/>
        <w:jc w:val="center"/>
      </w:pPr>
      <w:r>
        <w:drawing>
          <wp:inline xmlns:a="http://schemas.openxmlformats.org/drawingml/2006/main" xmlns:pic="http://schemas.openxmlformats.org/drawingml/2006/picture">
            <wp:extent cx="4983480" cy="3931412"/>
            <wp:docPr id="1" name="Picture 1" descr="Calibration spectra under (a) raw, (b) MSC, (c) SNV, (d) CWT, (e) first-derivative and (f) second-derivative preprocessing. Thin blue curves represent individual samples and black curves their means. MSC references use calibration samples; derivatives and CWT use uniform wavelength grids. Vertical scales retain the units of each transformation."/>
            <wp:cNvGraphicFramePr>
              <a:graphicFrameLocks noChangeAspect="1"/>
            </wp:cNvGraphicFramePr>
            <a:graphic>
              <a:graphicData uri="http://schemas.openxmlformats.org/drawingml/2006/picture">
                <pic:pic>
                  <pic:nvPicPr>
                    <pic:cNvPr id="0" name="Figure_S1.png"/>
                    <pic:cNvPicPr/>
                  </pic:nvPicPr>
                  <pic:blipFill>
                    <a:blip r:embed="rId18"/>
                    <a:stretch>
                      <a:fillRect/>
                    </a:stretch>
                  </pic:blipFill>
                  <pic:spPr>
                    <a:xfrm>
                      <a:off x="0" y="0"/>
                      <a:ext cx="4983480" cy="3931412"/>
                    </a:xfrm>
                    <a:prstGeom prst="rect"/>
                  </pic:spPr>
                </pic:pic>
              </a:graphicData>
            </a:graphic>
          </wp:inline>
        </w:drawing>
      </w:r>
    </w:p>
    <w:p>
      <w:pPr>
        <w:pStyle w:val="MDPI51figurecaption"/>
        <w:keepLines/>
        <w:widowControl/>
        <w:ind w:left="2608" w:firstLine="0"/>
      </w:pPr>
      <w:r>
        <w:rPr>
          <w:b/>
        </w:rPr>
        <w:t xml:space="preserve">Figure S1. </w:t>
      </w:r>
      <w:r>
        <w:t>Calibration spectra under (a) raw, (b) MSC, (c) SNV, (d) CWT, (e) first-derivative and (f) second-derivative preprocessing. Thin blue curves represent individual samples and black curves their means. MSC references use calibration samples; derivatives and CWT use uniform wavelength grids. Vertical scales retain the units of each transformation.</w:t>
      </w:r>
    </w:p>
    <w:p>
      <w:pPr>
        <w:pStyle w:val="MDPI52figure"/>
        <w:keepNext/>
        <w:widowControl/>
        <w:ind w:left="2608" w:firstLine="0"/>
        <w:jc w:val="center"/>
      </w:pPr>
      <w:r>
        <w:drawing>
          <wp:inline xmlns:a="http://schemas.openxmlformats.org/drawingml/2006/main" xmlns:pic="http://schemas.openxmlformats.org/drawingml/2006/picture">
            <wp:extent cx="4983480" cy="2380996"/>
            <wp:docPr id="2" name="Picture 2" descr="Prediction residuals for the calibration-selected BSRS model: (a) residuals versus reference content and (b) residual distribution for the 21 prediction samples. Black lines indicate zero error and red dashed lines indicate mean bias."/>
            <wp:cNvGraphicFramePr>
              <a:graphicFrameLocks noChangeAspect="1"/>
            </wp:cNvGraphicFramePr>
            <a:graphic>
              <a:graphicData uri="http://schemas.openxmlformats.org/drawingml/2006/picture">
                <pic:pic>
                  <pic:nvPicPr>
                    <pic:cNvPr id="0" name="Figure_S2.png"/>
                    <pic:cNvPicPr/>
                  </pic:nvPicPr>
                  <pic:blipFill>
                    <a:blip r:embed="rId19"/>
                    <a:stretch>
                      <a:fillRect/>
                    </a:stretch>
                  </pic:blipFill>
                  <pic:spPr>
                    <a:xfrm>
                      <a:off x="0" y="0"/>
                      <a:ext cx="4983480" cy="2380996"/>
                    </a:xfrm>
                    <a:prstGeom prst="rect"/>
                  </pic:spPr>
                </pic:pic>
              </a:graphicData>
            </a:graphic>
          </wp:inline>
        </w:drawing>
      </w:r>
    </w:p>
    <w:p>
      <w:pPr>
        <w:pStyle w:val="MDPI51figurecaption"/>
        <w:keepLines/>
        <w:widowControl/>
        <w:ind w:left="2608" w:firstLine="0"/>
      </w:pPr>
      <w:r>
        <w:rPr>
          <w:b/>
        </w:rPr>
        <w:t xml:space="preserve">Figure S2. </w:t>
      </w:r>
      <w:r>
        <w:t>Prediction residuals for the calibration-selected BSRS model: (a) residuals versus reference content and (b) residual distribution for the 21 prediction samples. Black lines indicate zero error and red dashed lines indicate mean bias.</w:t>
      </w:r>
    </w:p>
    <w:p>
      <w:pPr>
        <w:pStyle w:val="MDPI52figure"/>
        <w:keepNext/>
        <w:widowControl/>
        <w:ind w:left="2608" w:firstLine="0"/>
        <w:jc w:val="center"/>
      </w:pPr>
      <w:r>
        <w:drawing>
          <wp:inline xmlns:a="http://schemas.openxmlformats.org/drawingml/2006/main" xmlns:pic="http://schemas.openxmlformats.org/drawingml/2006/picture">
            <wp:extent cx="4983480" cy="3322320"/>
            <wp:docPr id="3" name="Picture 3" descr="BSRS diagnostics: (a) log coefficient reliability, (b) sign consistency, (c) the five-variable local mean of sign-weighted log reliability and (d) fivefold selection frequency. Red points mark selected variables. Reliability uses 100 subsamples containing 80% of calibration samples without replacement; selection frequency describes consistency across calibration folds."/>
            <wp:cNvGraphicFramePr>
              <a:graphicFrameLocks noChangeAspect="1"/>
            </wp:cNvGraphicFramePr>
            <a:graphic>
              <a:graphicData uri="http://schemas.openxmlformats.org/drawingml/2006/picture">
                <pic:pic>
                  <pic:nvPicPr>
                    <pic:cNvPr id="0" name="Figure_S3.png"/>
                    <pic:cNvPicPr/>
                  </pic:nvPicPr>
                  <pic:blipFill>
                    <a:blip r:embed="rId20"/>
                    <a:stretch>
                      <a:fillRect/>
                    </a:stretch>
                  </pic:blipFill>
                  <pic:spPr>
                    <a:xfrm>
                      <a:off x="0" y="0"/>
                      <a:ext cx="4983480" cy="3322320"/>
                    </a:xfrm>
                    <a:prstGeom prst="rect"/>
                  </pic:spPr>
                </pic:pic>
              </a:graphicData>
            </a:graphic>
          </wp:inline>
        </w:drawing>
      </w:r>
    </w:p>
    <w:p>
      <w:pPr>
        <w:pStyle w:val="MDPI51figurecaption"/>
        <w:keepLines/>
        <w:widowControl/>
        <w:ind w:left="2608" w:firstLine="0"/>
      </w:pPr>
      <w:r>
        <w:rPr>
          <w:b/>
        </w:rPr>
        <w:t xml:space="preserve">Figure S3. </w:t>
      </w:r>
      <w:r>
        <w:t>BSRS diagnostics: (a) log coefficient reliability, (b) sign consistency, (c) the five-variable local mean of sign-weighted log reliability and (d) fivefold selection frequency. Red points mark selected variables. Reliability uses 100 subsamples containing 80% of calibration samples without replacement; selection frequency describes consistency across calibration folds.</w:t>
      </w:r>
    </w:p>
    <w:p>
      <w:pPr>
        <w:pStyle w:val="MDPI52figure"/>
        <w:keepNext/>
        <w:widowControl/>
        <w:ind w:left="2608" w:firstLine="0"/>
        <w:jc w:val="center"/>
      </w:pPr>
      <w:r>
        <w:drawing>
          <wp:inline xmlns:a="http://schemas.openxmlformats.org/drawingml/2006/main" xmlns:pic="http://schemas.openxmlformats.org/drawingml/2006/picture">
            <wp:extent cx="4983480" cy="2729049"/>
            <wp:docPr id="4" name="Picture 4" descr="BSRS component ablations with separately optimized variable budgets and latent-variable counts. Blue bars show fivefold calibration RMSECV and red bars show prediction RMSEP. Each ablation omits sign weighting, local smoothing or redundancy penalization."/>
            <wp:cNvGraphicFramePr>
              <a:graphicFrameLocks noChangeAspect="1"/>
            </wp:cNvGraphicFramePr>
            <a:graphic>
              <a:graphicData uri="http://schemas.openxmlformats.org/drawingml/2006/picture">
                <pic:pic>
                  <pic:nvPicPr>
                    <pic:cNvPr id="0" name="Figure_S4.png"/>
                    <pic:cNvPicPr/>
                  </pic:nvPicPr>
                  <pic:blipFill>
                    <a:blip r:embed="rId21"/>
                    <a:stretch>
                      <a:fillRect/>
                    </a:stretch>
                  </pic:blipFill>
                  <pic:spPr>
                    <a:xfrm>
                      <a:off x="0" y="0"/>
                      <a:ext cx="4983480" cy="2729049"/>
                    </a:xfrm>
                    <a:prstGeom prst="rect"/>
                  </pic:spPr>
                </pic:pic>
              </a:graphicData>
            </a:graphic>
          </wp:inline>
        </w:drawing>
      </w:r>
    </w:p>
    <w:p>
      <w:pPr>
        <w:pStyle w:val="MDPI51figurecaption"/>
        <w:keepLines/>
        <w:widowControl/>
        <w:ind w:left="2608" w:firstLine="0"/>
      </w:pPr>
      <w:r>
        <w:rPr>
          <w:b/>
        </w:rPr>
        <w:t xml:space="preserve">Figure S4. </w:t>
      </w:r>
      <w:r>
        <w:t>BSRS component ablations with separately optimized variable budgets and latent-variable counts. Blue bars show fivefold calibration RMSECV and red bars show prediction RMSEP. Each ablation omits sign weighting, local smoothing or redundancy penalization.</w:t>
      </w:r>
    </w:p>
    <w:p>
      <w:pPr>
        <w:pStyle w:val="MDPI41tablecaption"/>
        <w:keepNext/>
        <w:keepLines/>
        <w:widowControl/>
        <w:ind w:left="2608"/>
      </w:pPr>
      <w:r>
        <w:rPr>
          <w:b/>
        </w:rPr>
        <w:t xml:space="preserve">Table S1. </w:t>
      </w:r>
      <w:r>
        <w:t>Complete sample assignment for the SPXY 75:25 partition.</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1152"/>
        <w:gridCol w:w="1584"/>
        <w:gridCol w:w="2448"/>
        <w:gridCol w:w="2664"/>
      </w:tblGrid>
      <w:tr>
        <w:trPr>
          <w:tblHeader/>
          <w:cantSplit/>
        </w:trPr>
        <w:tc>
          <w:tcPr>
            <w:tcW w:type="dxa" w:w="1152"/>
            <w:vAlign w:val="center"/>
            <w:tcBorders>
              <w:bottom w:val="single" w:sz="6"/>
            </w:tcBorders>
            <w:tcMar>
              <w:top w:w="25" w:type="dxa"/>
              <w:bottom w:w="25" w:type="dxa"/>
              <w:left w:w="35" w:type="dxa"/>
              <w:right w:w="35" w:type="dxa"/>
            </w:tcMar>
          </w:tcPr>
          <w:p>
            <w:pPr>
              <w:pStyle w:val="MDPI42tablebody"/>
              <w:spacing w:after="0" w:before="0"/>
              <w:ind w:left="0" w:firstLine="0"/>
              <w:jc w:val="center"/>
            </w:pPr>
            <w:r>
              <w:rPr>
                <w:b/>
                <w:sz w:val="20"/>
              </w:rPr>
              <w:t>Sample row</w:t>
            </w:r>
          </w:p>
        </w:tc>
        <w:tc>
          <w:tcPr>
            <w:tcW w:type="dxa" w:w="1584"/>
            <w:vAlign w:val="center"/>
            <w:tcBorders>
              <w:bottom w:val="single" w:sz="6"/>
            </w:tcBorders>
            <w:tcMar>
              <w:top w:w="25" w:type="dxa"/>
              <w:bottom w:w="25" w:type="dxa"/>
              <w:left w:w="35" w:type="dxa"/>
              <w:right w:w="35" w:type="dxa"/>
            </w:tcMar>
          </w:tcPr>
          <w:p>
            <w:pPr>
              <w:pStyle w:val="MDPI42tablebody"/>
              <w:spacing w:after="0" w:before="0"/>
              <w:ind w:left="0" w:firstLine="0"/>
              <w:jc w:val="center"/>
            </w:pPr>
            <w:r>
              <w:rPr>
                <w:b/>
                <w:sz w:val="20"/>
              </w:rPr>
              <w:t>Source ID</w:t>
            </w:r>
          </w:p>
        </w:tc>
        <w:tc>
          <w:tcPr>
            <w:tcW w:type="dxa" w:w="2448"/>
            <w:vAlign w:val="center"/>
            <w:tcBorders>
              <w:bottom w:val="single" w:sz="6"/>
            </w:tcBorders>
            <w:tcMar>
              <w:top w:w="25" w:type="dxa"/>
              <w:bottom w:w="25" w:type="dxa"/>
              <w:left w:w="35" w:type="dxa"/>
              <w:right w:w="35" w:type="dxa"/>
            </w:tcMar>
          </w:tcPr>
          <w:p>
            <w:pPr>
              <w:pStyle w:val="MDPI42tablebody"/>
              <w:spacing w:after="0" w:before="0"/>
              <w:ind w:left="0" w:firstLine="0"/>
              <w:jc w:val="center"/>
            </w:pPr>
            <w:r>
              <w:rPr>
                <w:b/>
                <w:sz w:val="20"/>
              </w:rPr>
              <w:t>Reference</w:t>
              <w:br/>
              <w:t xml:space="preserve">(mg </w:t>
            </w:r>
            <w:r>
              <w:rPr>
                <w:b/>
                <w:sz w:val="20"/>
              </w:rPr>
              <w:t>g</w:t>
            </w:r>
            <w:r>
              <w:rPr>
                <w:b/>
                <w:sz w:val="20"/>
                <w:vertAlign w:val="superscript"/>
              </w:rPr>
              <w:t>−1</w:t>
            </w:r>
            <w:r>
              <w:rPr>
                <w:b/>
                <w:sz w:val="20"/>
              </w:rPr>
              <w:t>)</w:t>
            </w:r>
          </w:p>
        </w:tc>
        <w:tc>
          <w:tcPr>
            <w:tcW w:type="dxa" w:w="2664"/>
            <w:vAlign w:val="center"/>
            <w:tcBorders>
              <w:bottom w:val="single" w:sz="6"/>
            </w:tcBorders>
            <w:tcMar>
              <w:top w:w="25" w:type="dxa"/>
              <w:bottom w:w="25" w:type="dxa"/>
              <w:left w:w="35" w:type="dxa"/>
              <w:right w:w="35" w:type="dxa"/>
            </w:tcMar>
          </w:tcPr>
          <w:p>
            <w:pPr>
              <w:pStyle w:val="MDPI42tablebody"/>
              <w:spacing w:after="0" w:before="0"/>
              <w:ind w:left="0" w:firstLine="0"/>
              <w:jc w:val="center"/>
            </w:pPr>
            <w:r>
              <w:rPr>
                <w:b/>
                <w:sz w:val="20"/>
              </w:rPr>
              <w:t>Set</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15.51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12.24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17.81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18.93</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19.34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12.72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15.16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13.28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A09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16.14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16.42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13.98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16.42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17.04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17.81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14.74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18.86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16.97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A18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19.34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19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A20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19.97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B01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15.72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B02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16.35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B03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14.19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B04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17.60</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B05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16.28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23.66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24.57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26.59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28.61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29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28.54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29.45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21.99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24.15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C09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22.13</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25.20</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27.22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25.96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27.85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26.17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39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22.90</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23.94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27.64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25.27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C19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23.39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24.64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23.53</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27.78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27.36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21.57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49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21.37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C26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22.62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31.19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35.79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37.95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35.51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36.07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30.22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32.38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30.91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59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D09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37.05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39.55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42.69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34.47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38.02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38.09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32.45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33.70</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36.91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36.21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69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D19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33.98</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D20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35.30</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D21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31.12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D22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35.16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D23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30.77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D25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45.13</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75</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E01</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15.35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76</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E02</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21.64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77</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E03</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21.95</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78</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E04</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15.91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79</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E05</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11.31</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80</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E06</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12.42</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81</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E07</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11.66</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82</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E08</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11.49</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83</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E09</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11.14</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Calibration</w:t>
            </w:r>
          </w:p>
        </w:tc>
      </w:tr>
      <w:tr>
        <w:trPr>
          <w:cantSplit/>
        </w:trPr>
        <w:tc>
          <w:tcPr>
            <w:tcW w:type="dxa" w:w="1152"/>
            <w:vAlign w:val="center"/>
            <w:tcMar>
              <w:top w:w="25" w:type="dxa"/>
              <w:bottom w:w="25" w:type="dxa"/>
              <w:left w:w="35" w:type="dxa"/>
              <w:right w:w="35" w:type="dxa"/>
            </w:tcMar>
          </w:tcPr>
          <w:p>
            <w:pPr>
              <w:pStyle w:val="MDPI42tablebody"/>
              <w:spacing w:after="0" w:before="0"/>
              <w:ind w:left="0" w:firstLine="0"/>
              <w:jc w:val="center"/>
            </w:pPr>
            <w:r>
              <w:rPr>
                <w:b w:val="0"/>
                <w:sz w:val="20"/>
              </w:rPr>
              <w:t>84</w:t>
            </w:r>
          </w:p>
        </w:tc>
        <w:tc>
          <w:tcPr>
            <w:tcW w:type="dxa" w:w="1584"/>
            <w:vAlign w:val="center"/>
            <w:tcMar>
              <w:top w:w="25" w:type="dxa"/>
              <w:bottom w:w="25" w:type="dxa"/>
              <w:left w:w="35" w:type="dxa"/>
              <w:right w:w="35" w:type="dxa"/>
            </w:tcMar>
          </w:tcPr>
          <w:p>
            <w:pPr>
              <w:pStyle w:val="MDPI42tablebody"/>
              <w:spacing w:after="0" w:before="0"/>
              <w:ind w:left="0" w:firstLine="0"/>
              <w:jc w:val="center"/>
            </w:pPr>
            <w:r>
              <w:rPr>
                <w:b w:val="0"/>
                <w:sz w:val="20"/>
              </w:rPr>
              <w:t>E10</w:t>
            </w:r>
          </w:p>
        </w:tc>
        <w:tc>
          <w:tcPr>
            <w:tcW w:type="dxa" w:w="2448"/>
            <w:vAlign w:val="center"/>
            <w:tcMar>
              <w:top w:w="25" w:type="dxa"/>
              <w:bottom w:w="25" w:type="dxa"/>
              <w:left w:w="35" w:type="dxa"/>
              <w:right w:w="35" w:type="dxa"/>
            </w:tcMar>
          </w:tcPr>
          <w:p>
            <w:pPr>
              <w:pStyle w:val="MDPI42tablebody"/>
              <w:spacing w:after="0" w:before="0"/>
              <w:ind w:left="0" w:firstLine="0"/>
              <w:jc w:val="center"/>
            </w:pPr>
            <w:r>
              <w:rPr>
                <w:b w:val="0"/>
                <w:sz w:val="20"/>
              </w:rPr>
              <w:t>12.17</w:t>
            </w:r>
          </w:p>
        </w:tc>
        <w:tc>
          <w:tcPr>
            <w:tcW w:type="dxa" w:w="2664"/>
            <w:vAlign w:val="center"/>
            <w:tcMar>
              <w:top w:w="25" w:type="dxa"/>
              <w:bottom w:w="25" w:type="dxa"/>
              <w:left w:w="35" w:type="dxa"/>
              <w:right w:w="35" w:type="dxa"/>
            </w:tcMar>
          </w:tcPr>
          <w:p>
            <w:pPr>
              <w:pStyle w:val="MDPI42tablebody"/>
              <w:spacing w:after="0" w:before="0"/>
              <w:ind w:left="0" w:firstLine="0"/>
              <w:jc w:val="center"/>
            </w:pPr>
            <w:r>
              <w:rPr>
                <w:b w:val="0"/>
                <w:sz w:val="20"/>
              </w:rPr>
              <w:t>Prediction</w:t>
            </w:r>
          </w:p>
        </w:tc>
      </w:tr>
    </w:tbl>
    <w:p>
      <w:pPr>
        <w:pStyle w:val="MDPI43tablefooter"/>
        <w:widowControl/>
      </w:pPr>
      <w:r>
        <w:t>Source identifiers link the numerical data to the companion reference-content records. No sample exclusion was applied.</w:t>
      </w:r>
    </w:p>
    <w:p>
      <w:pPr>
        <w:pStyle w:val="MDPI41tablecaption"/>
        <w:keepNext/>
        <w:keepLines/>
        <w:widowControl/>
        <w:ind w:left="2608"/>
      </w:pPr>
      <w:r>
        <w:rPr>
          <w:b/>
        </w:rPr>
        <w:t xml:space="preserve">Table S2. </w:t>
      </w:r>
      <w:r>
        <w:t>Additional prediction performance for the SPXY prediction set.</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2952"/>
        <w:gridCol w:w="1224"/>
        <w:gridCol w:w="1224"/>
        <w:gridCol w:w="1224"/>
        <w:gridCol w:w="1224"/>
      </w:tblGrid>
      <w:tr>
        <w:trPr>
          <w:tblHeader/>
          <w:cantSplit/>
        </w:trPr>
        <w:tc>
          <w:tcPr>
            <w:tcW w:type="dxa" w:w="2952"/>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Method</w:t>
            </w:r>
          </w:p>
        </w:tc>
        <w:tc>
          <w:tcPr>
            <w:tcW w:type="dxa" w:w="122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MAE</w:t>
            </w:r>
          </w:p>
        </w:tc>
        <w:tc>
          <w:tcPr>
            <w:tcW w:type="dxa" w:w="122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Bias</w:t>
            </w:r>
          </w:p>
        </w:tc>
        <w:tc>
          <w:tcPr>
            <w:tcW w:type="dxa" w:w="122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RPD</w:t>
            </w:r>
          </w:p>
        </w:tc>
        <w:tc>
          <w:tcPr>
            <w:tcW w:type="dxa" w:w="122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RPIQ</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Full-spectrum 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2.125</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0.857</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2.815</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4.594</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UVE rank-PLS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2.552</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0.948</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2.483</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4.053</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MC-UVE rank-PLS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2.294</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1.119</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2.942</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4.801</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RT-PLS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2.190</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1.145</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2.971</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4.848</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C-value-PLS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2.476</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0.635</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2.566</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4.188</w:t>
            </w:r>
          </w:p>
        </w:tc>
      </w:tr>
      <w:tr>
        <w:trPr>
          <w:cantSplit/>
        </w:trPr>
        <w:tc>
          <w:tcPr>
            <w:tcW w:type="dxa" w:w="2952"/>
            <w:vAlign w:val="center"/>
            <w:tcMar>
              <w:top w:w="35" w:type="dxa"/>
              <w:bottom w:w="35" w:type="dxa"/>
              <w:left w:w="35" w:type="dxa"/>
              <w:right w:w="35" w:type="dxa"/>
            </w:tcMar>
          </w:tcPr>
          <w:p>
            <w:pPr>
              <w:pStyle w:val="MDPI42tablebody"/>
              <w:spacing w:after="0" w:before="0"/>
              <w:ind w:left="0" w:firstLine="0"/>
              <w:jc w:val="center"/>
            </w:pPr>
            <w:r>
              <w:rPr>
                <w:b w:val="0"/>
                <w:sz w:val="20"/>
              </w:rPr>
              <w:t>BSRS-PLS</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2.146</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1.035</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2.907</w:t>
            </w:r>
          </w:p>
        </w:tc>
        <w:tc>
          <w:tcPr>
            <w:tcW w:type="dxa" w:w="1224"/>
            <w:vAlign w:val="center"/>
            <w:tcMar>
              <w:top w:w="35" w:type="dxa"/>
              <w:bottom w:w="35" w:type="dxa"/>
              <w:left w:w="35" w:type="dxa"/>
              <w:right w:w="35" w:type="dxa"/>
            </w:tcMar>
          </w:tcPr>
          <w:p>
            <w:pPr>
              <w:pStyle w:val="MDPI42tablebody"/>
              <w:spacing w:after="0" w:before="0"/>
              <w:ind w:left="0" w:firstLine="0"/>
              <w:jc w:val="center"/>
            </w:pPr>
            <w:r>
              <w:rPr>
                <w:b w:val="0"/>
                <w:sz w:val="20"/>
              </w:rPr>
              <w:t>4.744</w:t>
            </w:r>
          </w:p>
        </w:tc>
      </w:tr>
    </w:tbl>
    <w:p>
      <w:pPr>
        <w:pStyle w:val="MDPI43tablefooter"/>
        <w:widowControl/>
      </w:pPr>
      <w:r>
        <w:t xml:space="preserve">MAE and bias are in mg </w:t>
      </w:r>
      <w:r>
        <w:t>g</w:t>
      </w:r>
      <w:r>
        <w:rPr>
          <w:vertAlign w:val="superscript"/>
        </w:rPr>
        <w:t>−1</w:t>
      </w:r>
      <w:r>
        <w:t>. RPD and RPIQ are dimensionless.</w:t>
      </w:r>
    </w:p>
    <w:p>
      <w:pPr>
        <w:pStyle w:val="MDPI41tablecaption"/>
        <w:keepNext/>
        <w:keepLines/>
        <w:widowControl/>
        <w:ind w:left="2608"/>
      </w:pPr>
      <w:r>
        <w:rPr>
          <w:b/>
        </w:rPr>
        <w:t xml:space="preserve">Table S3. </w:t>
      </w:r>
      <w:r>
        <w:t>Descriptive selection consistency across calibration CV folds.</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2880"/>
        <w:gridCol w:w="1440"/>
        <w:gridCol w:w="3528"/>
      </w:tblGrid>
      <w:tr>
        <w:trPr>
          <w:tblHeader/>
          <w:cantSplit/>
        </w:trPr>
        <w:tc>
          <w:tcPr>
            <w:tcW w:type="dxa" w:w="288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Method</w:t>
            </w:r>
          </w:p>
        </w:tc>
        <w:tc>
          <w:tcPr>
            <w:tcW w:type="dxa" w:w="144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Final variables</w:t>
            </w:r>
          </w:p>
        </w:tc>
        <w:tc>
          <w:tcPr>
            <w:tcW w:type="dxa" w:w="3528"/>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Mean fold Jaccard</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Full-spectrum 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141</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1.000</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UVE rank-PLS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0.560</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MC-UVE rank-PLS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0.515</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RT-PLS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0.707</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C-value-PLS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32</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0.295</w:t>
            </w:r>
          </w:p>
        </w:tc>
      </w:tr>
      <w:tr>
        <w:trPr>
          <w:cantSplit/>
        </w:trPr>
        <w:tc>
          <w:tcPr>
            <w:tcW w:type="dxa" w:w="2880"/>
            <w:vAlign w:val="center"/>
            <w:tcMar>
              <w:top w:w="35" w:type="dxa"/>
              <w:bottom w:w="35" w:type="dxa"/>
              <w:left w:w="35" w:type="dxa"/>
              <w:right w:w="35" w:type="dxa"/>
            </w:tcMar>
          </w:tcPr>
          <w:p>
            <w:pPr>
              <w:pStyle w:val="MDPI42tablebody"/>
              <w:spacing w:after="0" w:before="0"/>
              <w:ind w:left="0" w:firstLine="0"/>
              <w:jc w:val="center"/>
            </w:pPr>
            <w:r>
              <w:rPr>
                <w:b w:val="0"/>
                <w:sz w:val="20"/>
              </w:rPr>
              <w:t>BSRS-PLS</w:t>
            </w:r>
          </w:p>
        </w:tc>
        <w:tc>
          <w:tcPr>
            <w:tcW w:type="dxa" w:w="1440"/>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3528"/>
            <w:vAlign w:val="center"/>
            <w:tcMar>
              <w:top w:w="35" w:type="dxa"/>
              <w:bottom w:w="35" w:type="dxa"/>
              <w:left w:w="35" w:type="dxa"/>
              <w:right w:w="35" w:type="dxa"/>
            </w:tcMar>
          </w:tcPr>
          <w:p>
            <w:pPr>
              <w:pStyle w:val="MDPI42tablebody"/>
              <w:spacing w:after="0" w:before="0"/>
              <w:ind w:left="0" w:firstLine="0"/>
              <w:jc w:val="center"/>
            </w:pPr>
            <w:r>
              <w:rPr>
                <w:b w:val="0"/>
                <w:sz w:val="20"/>
              </w:rPr>
              <w:t>0.410</w:t>
            </w:r>
          </w:p>
        </w:tc>
      </w:tr>
    </w:tbl>
    <w:p>
      <w:pPr>
        <w:pStyle w:val="MDPI43tablefooter"/>
        <w:widowControl/>
      </w:pPr>
      <w:r>
        <w:t>Pairwise Jaccard similarity is averaged across ten pairs of five calibration CV training folds. The subsets may have different sizes.</w:t>
      </w:r>
    </w:p>
    <w:p>
      <w:pPr>
        <w:pStyle w:val="MDPI41tablecaption"/>
        <w:keepNext/>
        <w:keepLines/>
        <w:widowControl/>
        <w:ind w:left="0"/>
      </w:pPr>
      <w:r>
        <w:rPr>
          <w:b/>
        </w:rPr>
        <w:t xml:space="preserve">Table S4. </w:t>
      </w:r>
      <w:r>
        <w:t>Final BSRS wavelength positions.</w:t>
      </w:r>
    </w:p>
    <w:tbl>
      <w:tblPr>
        <w:tblStyle w:val="MDPI41threelinetable"/>
        <w:tblW w:type="auto" w:w="0"/>
        <w:jc w:val="left"/>
        <w:tblLayout w:type="fixed"/>
        <w:tblLook w:firstColumn="1" w:firstRow="1" w:lastColumn="0" w:lastRow="0" w:noHBand="0" w:noVBand="1" w:val="04A0"/>
        <w:tblInd w:w="0" w:type="dxa"/>
        <w:tblBorders>
          <w:top w:val="single" w:sz="6" w:color="000000"/>
          <w:bottom w:val="single" w:sz="6" w:color="000000"/>
          <w:left w:val="nil" w:sz="6" w:color="000000"/>
          <w:right w:val="nil" w:sz="6" w:color="000000"/>
          <w:insideH w:val="nil" w:sz="6" w:color="000000"/>
          <w:insideV w:val="nil" w:sz="6" w:color="000000"/>
        </w:tblBorders>
      </w:tblPr>
      <w:tblGrid>
        <w:gridCol w:w="1560"/>
        <w:gridCol w:w="780"/>
        <w:gridCol w:w="8114"/>
      </w:tblGrid>
      <w:tr>
        <w:trPr>
          <w:tblHeader/>
          <w:cantSplit/>
        </w:trPr>
        <w:tc>
          <w:tcPr>
            <w:tcW w:type="dxa" w:w="156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Grid</w:t>
            </w:r>
          </w:p>
        </w:tc>
        <w:tc>
          <w:tcPr>
            <w:tcW w:type="dxa" w:w="780"/>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Count</w:t>
            </w:r>
          </w:p>
        </w:tc>
        <w:tc>
          <w:tcPr>
            <w:tcW w:type="dxa" w:w="811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Selected wavelength positions (nm)</w:t>
            </w:r>
          </w:p>
        </w:tc>
      </w:tr>
      <w:tr>
        <w:trPr>
          <w:cantSplit/>
        </w:trPr>
        <w:tc>
          <w:tcPr>
            <w:tcW w:type="dxa" w:w="1560"/>
            <w:vAlign w:val="center"/>
            <w:tcMar>
              <w:top w:w="35" w:type="dxa"/>
              <w:bottom w:w="35" w:type="dxa"/>
              <w:left w:w="35" w:type="dxa"/>
              <w:right w:w="35" w:type="dxa"/>
            </w:tcMar>
          </w:tcPr>
          <w:p>
            <w:pPr>
              <w:pStyle w:val="MDPI42tablebody"/>
              <w:spacing w:after="0" w:before="0"/>
              <w:ind w:left="0" w:firstLine="0"/>
              <w:jc w:val="center"/>
            </w:pPr>
            <w:r>
              <w:rPr>
                <w:b w:val="0"/>
                <w:sz w:val="20"/>
              </w:rPr>
              <w:t>Uniform grid</w:t>
            </w:r>
          </w:p>
        </w:tc>
        <w:tc>
          <w:tcPr>
            <w:tcW w:type="dxa" w:w="780"/>
            <w:vAlign w:val="center"/>
            <w:tcMar>
              <w:top w:w="35" w:type="dxa"/>
              <w:bottom w:w="35" w:type="dxa"/>
              <w:left w:w="35" w:type="dxa"/>
              <w:right w:w="35" w:type="dxa"/>
            </w:tcMar>
          </w:tcPr>
          <w:p>
            <w:pPr>
              <w:pStyle w:val="MDPI42tablebody"/>
              <w:spacing w:after="0" w:before="0"/>
              <w:ind w:left="0" w:firstLine="0"/>
              <w:jc w:val="center"/>
            </w:pPr>
            <w:r>
              <w:rPr>
                <w:b w:val="0"/>
                <w:sz w:val="20"/>
              </w:rPr>
              <w:t>8</w:t>
            </w:r>
          </w:p>
        </w:tc>
        <w:tc>
          <w:tcPr>
            <w:tcW w:type="dxa" w:w="8114"/>
            <w:vAlign w:val="center"/>
            <w:tcMar>
              <w:top w:w="35" w:type="dxa"/>
              <w:bottom w:w="35" w:type="dxa"/>
              <w:left w:w="35" w:type="dxa"/>
              <w:right w:w="35" w:type="dxa"/>
            </w:tcMar>
          </w:tcPr>
          <w:p>
            <w:pPr>
              <w:pStyle w:val="MDPI42tablebody"/>
              <w:spacing w:after="0" w:before="0"/>
              <w:ind w:left="0" w:firstLine="0"/>
              <w:jc w:val="center"/>
            </w:pPr>
            <w:r>
              <w:rPr>
                <w:b w:val="0"/>
                <w:sz w:val="20"/>
              </w:rPr>
              <w:t>1614.8, 1709.4, 1812.6, 1993.1, 2044.7, 2405.8, 2423.0, 2440.2</w:t>
            </w:r>
          </w:p>
        </w:tc>
      </w:tr>
    </w:tbl>
    <w:p>
      <w:pPr>
        <w:pStyle w:val="MDPI43tablefooter"/>
        <w:widowControl/>
      </w:pPr>
      <w:r>
        <w:t>These positions are predictive features rather than molecular assignments. selected_wavelengths.csv records the selections of every comparator at full precision.</w:t>
      </w:r>
    </w:p>
    <w:p>
      <w:pPr>
        <w:pStyle w:val="MDPI41tablecaption"/>
        <w:keepNext/>
        <w:keepLines/>
        <w:widowControl/>
        <w:ind w:left="2608"/>
      </w:pPr>
      <w:r>
        <w:rPr>
          <w:b/>
        </w:rPr>
        <w:t xml:space="preserve">Table S5. </w:t>
      </w:r>
      <w:r>
        <w:t>Settings required to reproduce the comparisons.</w:t>
      </w:r>
    </w:p>
    <w:tbl>
      <w:tblPr>
        <w:tblStyle w:val="MDPI41threelinetable"/>
        <w:tblW w:type="auto" w:w="0"/>
        <w:jc w:val="left"/>
        <w:tblLayout w:type="fixed"/>
        <w:tblLook w:firstColumn="1" w:firstRow="1" w:lastColumn="0" w:lastRow="0" w:noHBand="0" w:noVBand="1" w:val="04A0"/>
        <w:tblInd w:w="2608" w:type="dxa"/>
        <w:tblBorders>
          <w:top w:val="single" w:sz="6" w:color="000000"/>
          <w:bottom w:val="single" w:sz="6" w:color="000000"/>
          <w:left w:val="nil" w:sz="6" w:color="000000"/>
          <w:right w:val="nil" w:sz="6" w:color="000000"/>
          <w:insideH w:val="nil" w:sz="6" w:color="000000"/>
          <w:insideV w:val="nil" w:sz="6" w:color="000000"/>
        </w:tblBorders>
      </w:tblPr>
      <w:tblGrid>
        <w:gridCol w:w="2304"/>
        <w:gridCol w:w="5544"/>
      </w:tblGrid>
      <w:tr>
        <w:trPr>
          <w:tblHeader/>
          <w:cantSplit/>
        </w:trPr>
        <w:tc>
          <w:tcPr>
            <w:tcW w:type="dxa" w:w="230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Setting</w:t>
            </w:r>
          </w:p>
        </w:tc>
        <w:tc>
          <w:tcPr>
            <w:tcW w:type="dxa" w:w="5544"/>
            <w:vAlign w:val="center"/>
            <w:tcBorders>
              <w:bottom w:val="single" w:sz="6"/>
            </w:tcBorders>
            <w:tcMar>
              <w:top w:w="35" w:type="dxa"/>
              <w:bottom w:w="35" w:type="dxa"/>
              <w:left w:w="35" w:type="dxa"/>
              <w:right w:w="35" w:type="dxa"/>
            </w:tcMar>
          </w:tcPr>
          <w:p>
            <w:pPr>
              <w:pStyle w:val="MDPI42tablebody"/>
              <w:spacing w:after="0" w:before="0"/>
              <w:ind w:left="0" w:firstLine="0"/>
              <w:jc w:val="center"/>
            </w:pPr>
            <w:r>
              <w:rPr>
                <w:b/>
                <w:sz w:val="20"/>
              </w:rPr>
              <w:t>Value</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Input</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84 samples; 141 near-infrared spectral variables</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Partition</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SPXY; 63 calibration and 21 prediction samples</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SPXY distance</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Full raw spectral Euclidean distance divided by its maximum plus response Euclidean distance divided by its maximum</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Random seed</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20261006; deterministic offsets for selector and fold draws</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Preprocessing selection</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Minimum five-fold full-spectrum calibration tuning RMSECV</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PLS</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Mean centering; no autoscaling; 1–10 requested LVs</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Derivative</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Uniform grid; cubic Savitzky–Golay; 15 points; mirror edges</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CWT</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Uniform grid; Mexican hat; scale 10; integration precision 10; 40-point reflected boundary extension</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Stability sampling</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100 subsamples; 80% without replacement</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UVE</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Leave-one-out reliability; appended Gaussian noise; CV-tuned rank prefix</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MC-UVE</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100-subsample reliability; appended Gaussian noise; CV-tuned rank prefix</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RT</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199 response permutations; finite-sample correction</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C-value adapted</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2p binary subset rows; 70% inclusion; three-fold internal CV</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BSRS</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Sign-weighted log reliability; five-point smoothing; redundancy weight 2</w:t>
            </w:r>
          </w:p>
        </w:tc>
      </w:tr>
      <w:tr>
        <w:trPr>
          <w:cantSplit/>
        </w:trPr>
        <w:tc>
          <w:tcPr>
            <w:tcW w:type="dxa" w:w="2304"/>
            <w:vAlign w:val="center"/>
            <w:tcMar>
              <w:top w:w="35" w:type="dxa"/>
              <w:bottom w:w="35" w:type="dxa"/>
              <w:left w:w="35" w:type="dxa"/>
              <w:right w:w="35" w:type="dxa"/>
            </w:tcMar>
          </w:tcPr>
          <w:p>
            <w:pPr>
              <w:pStyle w:val="MDPI42tablebody"/>
              <w:spacing w:after="0" w:before="0"/>
              <w:ind w:left="0" w:firstLine="0"/>
              <w:jc w:val="center"/>
            </w:pPr>
            <w:r>
              <w:rPr>
                <w:b w:val="0"/>
                <w:sz w:val="20"/>
              </w:rPr>
              <w:t>Subset budgets</w:t>
            </w:r>
          </w:p>
        </w:tc>
        <w:tc>
          <w:tcPr>
            <w:tcW w:type="dxa" w:w="5544"/>
            <w:vAlign w:val="center"/>
            <w:tcMar>
              <w:top w:w="35" w:type="dxa"/>
              <w:bottom w:w="35" w:type="dxa"/>
              <w:left w:w="35" w:type="dxa"/>
              <w:right w:w="35" w:type="dxa"/>
            </w:tcMar>
          </w:tcPr>
          <w:p>
            <w:pPr>
              <w:pStyle w:val="MDPI42tablebody"/>
              <w:spacing w:after="0" w:before="0"/>
              <w:ind w:left="0" w:firstLine="0"/>
              <w:jc w:val="center"/>
            </w:pPr>
            <w:r>
              <w:rPr>
                <w:b w:val="0"/>
                <w:sz w:val="20"/>
              </w:rPr>
              <w:t>4, 8, 16, 32, 64, 71 and 128</w:t>
            </w:r>
          </w:p>
        </w:tc>
      </w:tr>
    </w:tbl>
    <w:p>
      <w:pPr>
        <w:pStyle w:val="MDPI21heading1"/>
        <w:keepNext/>
        <w:widowControl/>
      </w:pPr>
      <w:r>
        <w:t>Computational reproducibility</w:t>
      </w:r>
    </w:p>
    <w:p>
      <w:pPr>
        <w:pStyle w:val="MDPI31text"/>
        <w:widowControl/>
      </w:pPr>
      <w:r>
        <w:t>The complete program includes data_io.py, analysis.py, plot_figures.py, verify_results.py, predict_new.py and build_manuscript.py. run_all.py executes the pipeline. The input MAT file contains the 141-variable spectral matrix, its wavelength vector and the reference response; its SHA-256 hash, SPXY assignments, model coefficients and numerical outputs are included. Requirements and tested package versions are documented. Figures are generated directly from result tables.</w:t>
      </w:r>
    </w:p>
    <w:sectPr w:rsidR="001C1F99" w:rsidRPr="002B4A2A" w:rsidSect="008D4C81">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B98D" w14:textId="77777777" w:rsidR="00B15A05" w:rsidRPr="007839E8" w:rsidRDefault="00B15A05">
      <w:pPr>
        <w:spacing w:line="240" w:lineRule="auto"/>
      </w:pPr>
      <w:r w:rsidRPr="007839E8">
        <w:separator/>
      </w:r>
    </w:p>
  </w:endnote>
  <w:endnote w:type="continuationSeparator" w:id="0">
    <w:p w14:paraId="6D55B3E6" w14:textId="77777777" w:rsidR="00B15A05" w:rsidRPr="007839E8" w:rsidRDefault="00B15A05">
      <w:pPr>
        <w:spacing w:line="240" w:lineRule="auto"/>
      </w:pPr>
      <w:r w:rsidRPr="007839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9AAF" w14:textId="77777777" w:rsidR="001C76F6" w:rsidRPr="007839E8" w:rsidRDefault="001C76F6" w:rsidP="001C76F6">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9059" w14:textId="77777777" w:rsidR="00C93562" w:rsidRPr="007839E8" w:rsidRDefault="00C93562" w:rsidP="00092EF2">
    <w:pPr>
      <w:pBdr>
        <w:top w:val="single" w:sz="4" w:space="0" w:color="000000"/>
      </w:pBdr>
      <w:tabs>
        <w:tab w:val="right" w:pos="8844"/>
      </w:tabs>
      <w:adjustRightInd w:val="0"/>
      <w:snapToGrid w:val="0"/>
      <w:spacing w:before="480" w:line="100" w:lineRule="exact"/>
      <w:jc w:val="left"/>
      <w:rPr>
        <w:i/>
        <w:sz w:val="16"/>
        <w:szCs w:val="16"/>
      </w:rPr>
    </w:pPr>
  </w:p>
  <w:p w14:paraId="032782F3" w14:textId="3B817D60" w:rsidR="001C76F6" w:rsidRPr="007839E8" w:rsidRDefault="001C76F6" w:rsidP="00526502">
    <w:pPr>
      <w:tabs>
        <w:tab w:val="right" w:pos="10466"/>
      </w:tabs>
      <w:adjustRightInd w:val="0"/>
      <w:snapToGrid w:val="0"/>
      <w:spacing w:line="240" w:lineRule="auto"/>
      <w:rPr>
        <w:sz w:val="16"/>
        <w:szCs w:val="16"/>
      </w:rPr>
    </w:pPr>
    <w:r w:rsidRPr="007839E8">
      <w:rPr>
        <w:i/>
        <w:sz w:val="16"/>
        <w:szCs w:val="16"/>
      </w:rPr>
      <w:t xml:space="preserve">Foods </w:t>
    </w:r>
    <w:r w:rsidR="008D4C81" w:rsidRPr="007839E8">
      <w:rPr>
        <w:b/>
        <w:bCs/>
        <w:iCs/>
        <w:sz w:val="16"/>
        <w:szCs w:val="16"/>
      </w:rPr>
      <w:t>2026</w:t>
    </w:r>
    <w:r w:rsidR="007E13A0" w:rsidRPr="007839E8">
      <w:rPr>
        <w:bCs/>
        <w:iCs/>
        <w:sz w:val="16"/>
        <w:szCs w:val="16"/>
      </w:rPr>
      <w:t>,</w:t>
    </w:r>
    <w:r w:rsidR="008D4C81" w:rsidRPr="007839E8">
      <w:rPr>
        <w:bCs/>
        <w:i/>
        <w:iCs/>
        <w:sz w:val="16"/>
        <w:szCs w:val="16"/>
      </w:rPr>
      <w:t xml:space="preserve"> x</w:t>
    </w:r>
    <w:r w:rsidR="007E13A0" w:rsidRPr="007839E8">
      <w:rPr>
        <w:bCs/>
        <w:iCs/>
        <w:sz w:val="16"/>
        <w:szCs w:val="16"/>
      </w:rPr>
      <w:t xml:space="preserve">, </w:t>
    </w:r>
    <w:r w:rsidR="00AE6E21" w:rsidRPr="007839E8">
      <w:rPr>
        <w:bCs/>
        <w:iCs/>
        <w:sz w:val="16"/>
        <w:szCs w:val="16"/>
      </w:rPr>
      <w:t>x</w:t>
    </w:r>
    <w:r w:rsidR="00526502" w:rsidRPr="007839E8">
      <w:rPr>
        <w:sz w:val="16"/>
        <w:szCs w:val="16"/>
      </w:rPr>
      <w:tab/>
    </w:r>
    <w:r w:rsidR="008D4C81" w:rsidRPr="007839E8">
      <w:rPr>
        <w:sz w:val="16"/>
        <w:szCs w:val="16"/>
      </w:rPr>
      <w:t>[DOI to be assigned]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8157" w14:textId="77777777" w:rsidR="00B15A05" w:rsidRPr="007839E8" w:rsidRDefault="00B15A05">
      <w:pPr>
        <w:spacing w:line="240" w:lineRule="auto"/>
      </w:pPr>
      <w:r w:rsidRPr="007839E8">
        <w:separator/>
      </w:r>
    </w:p>
  </w:footnote>
  <w:footnote w:type="continuationSeparator" w:id="0">
    <w:p w14:paraId="3F0E3405" w14:textId="77777777" w:rsidR="00B15A05" w:rsidRPr="007839E8" w:rsidRDefault="00B15A05">
      <w:pPr>
        <w:spacing w:line="240" w:lineRule="auto"/>
      </w:pPr>
      <w:r w:rsidRPr="007839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401" w14:textId="77777777" w:rsidR="001C76F6" w:rsidRPr="007839E8" w:rsidRDefault="001C76F6" w:rsidP="001C76F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41AB" w14:textId="6F61EE26" w:rsidR="00C93562" w:rsidRPr="007839E8" w:rsidRDefault="001C76F6" w:rsidP="00526502">
    <w:pPr>
      <w:tabs>
        <w:tab w:val="right" w:pos="10466"/>
      </w:tabs>
      <w:adjustRightInd w:val="0"/>
      <w:snapToGrid w:val="0"/>
      <w:spacing w:line="240" w:lineRule="auto"/>
      <w:rPr>
        <w:sz w:val="16"/>
      </w:rPr>
    </w:pPr>
    <w:r w:rsidRPr="007839E8">
      <w:rPr>
        <w:i/>
        <w:sz w:val="16"/>
      </w:rPr>
      <w:t xml:space="preserve">Foods </w:t>
    </w:r>
    <w:r w:rsidR="008D4C81" w:rsidRPr="007839E8">
      <w:rPr>
        <w:b/>
        <w:sz w:val="16"/>
      </w:rPr>
      <w:t>2026</w:t>
    </w:r>
    <w:r w:rsidR="007E13A0" w:rsidRPr="007839E8">
      <w:rPr>
        <w:sz w:val="16"/>
      </w:rPr>
      <w:t>,</w:t>
    </w:r>
    <w:r w:rsidR="008D4C81" w:rsidRPr="007839E8">
      <w:rPr>
        <w:i/>
        <w:sz w:val="16"/>
      </w:rPr>
      <w:t xml:space="preserve"> x</w:t>
    </w:r>
    <w:r w:rsidR="00AE6E21" w:rsidRPr="007839E8">
      <w:rPr>
        <w:sz w:val="16"/>
      </w:rPr>
      <w:t xml:space="preserve">, x </w:t>
    </w:r>
    <w:r w:rsidR="008D4C81" w:rsidRPr="007839E8">
      <w:rPr>
        <w:sz w:val="16"/>
      </w:rPr>
      <w:t>FOR PEER REVIEW</w:t>
    </w:r>
    <w:r w:rsidR="008D4C81" w:rsidRPr="007839E8">
      <w:rPr>
        <w:sz w:val="16"/>
      </w:rPr>
      <w:ptab w:relativeTo="margin" w:alignment="right" w:leader="none"/>
    </w:r>
    <w:r w:rsidR="008D4C81" w:rsidRPr="007839E8">
      <w:rPr>
        <w:sz w:val="16"/>
      </w:rPr>
      <w:fldChar w:fldCharType="begin"/>
    </w:r>
    <w:r w:rsidR="008D4C81" w:rsidRPr="007839E8">
      <w:rPr>
        <w:sz w:val="16"/>
      </w:rPr>
      <w:instrText xml:space="preserve"> PAGE   \* MERGEFORMAT </w:instrText>
    </w:r>
    <w:r w:rsidR="008D4C81" w:rsidRPr="007839E8">
      <w:rPr>
        <w:sz w:val="16"/>
      </w:rPr>
      <w:fldChar w:fldCharType="separate"/>
    </w:r>
    <w:r w:rsidR="008D4C81" w:rsidRPr="007839E8">
      <w:rPr>
        <w:sz w:val="16"/>
      </w:rPr>
      <w:t>2</w:t>
    </w:r>
    <w:r w:rsidR="008D4C81" w:rsidRPr="007839E8">
      <w:rPr>
        <w:sz w:val="16"/>
      </w:rPr>
      <w:fldChar w:fldCharType="end"/>
    </w:r>
    <w:r w:rsidR="008D4C81" w:rsidRPr="007839E8">
      <w:rPr>
        <w:sz w:val="16"/>
      </w:rPr>
      <w:t xml:space="preserve"> of </w:t>
    </w:r>
    <w:r w:rsidR="008D4C81" w:rsidRPr="007839E8">
      <w:rPr>
        <w:sz w:val="16"/>
      </w:rPr>
      <w:fldChar w:fldCharType="begin"/>
    </w:r>
    <w:r w:rsidR="008D4C81" w:rsidRPr="007839E8">
      <w:rPr>
        <w:sz w:val="16"/>
      </w:rPr>
      <w:instrText xml:space="preserve"> NUMPAGES   \* MERGEFORMAT </w:instrText>
    </w:r>
    <w:r w:rsidR="008D4C81" w:rsidRPr="007839E8">
      <w:rPr>
        <w:sz w:val="16"/>
      </w:rPr>
      <w:fldChar w:fldCharType="separate"/>
    </w:r>
    <w:r w:rsidR="008D4C81" w:rsidRPr="007839E8">
      <w:rPr>
        <w:sz w:val="16"/>
      </w:rPr>
      <w:t>8</w:t>
    </w:r>
    <w:r w:rsidR="008D4C81" w:rsidRPr="007839E8">
      <w:rPr>
        <w:sz w:val="16"/>
      </w:rPr>
      <w:fldChar w:fldCharType="end"/>
    </w:r>
  </w:p>
  <w:p w14:paraId="429C29B1" w14:textId="77777777" w:rsidR="001C76F6" w:rsidRPr="007839E8" w:rsidRDefault="001C76F6" w:rsidP="00092EF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93562" w:rsidRPr="007839E8" w14:paraId="340FFFEF" w14:textId="77777777" w:rsidTr="003767D5">
      <w:trPr>
        <w:trHeight w:val="686"/>
      </w:trPr>
      <w:tc>
        <w:tcPr>
          <w:tcW w:w="3679" w:type="dxa"/>
          <w:vAlign w:val="center"/>
        </w:tcPr>
        <w:p w14:paraId="31D539BB" w14:textId="455B0419" w:rsidR="00C93562" w:rsidRPr="007839E8" w:rsidRDefault="00AF0B89" w:rsidP="00526502">
          <w:pPr>
            <w:pStyle w:val="Header"/>
            <w:pBdr>
              <w:bottom w:val="none" w:sz="0" w:space="0" w:color="auto"/>
            </w:pBdr>
            <w:jc w:val="left"/>
            <w:rPr>
              <w:rFonts w:eastAsia="等线"/>
              <w:b/>
              <w:bCs/>
            </w:rPr>
          </w:pPr>
          <w:r w:rsidRPr="007839E8">
            <w:rPr>
              <w:rFonts w:eastAsia="等线"/>
              <w:b/>
              <w:bCs/>
              <w:noProof/>
            </w:rPr>
            <w:drawing>
              <wp:inline distT="0" distB="0" distL="0" distR="0" wp14:anchorId="4FB8FA43" wp14:editId="06E67667">
                <wp:extent cx="1037408" cy="432000"/>
                <wp:effectExtent l="0" t="0" r="0" b="6350"/>
                <wp:docPr id="18460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0743" name=""/>
                        <pic:cNvPicPr/>
                      </pic:nvPicPr>
                      <pic:blipFill>
                        <a:blip r:embed="rId1"/>
                        <a:stretch>
                          <a:fillRect/>
                        </a:stretch>
                      </pic:blipFill>
                      <pic:spPr>
                        <a:xfrm>
                          <a:off x="0" y="0"/>
                          <a:ext cx="1037408" cy="432000"/>
                        </a:xfrm>
                        <a:prstGeom prst="rect">
                          <a:avLst/>
                        </a:prstGeom>
                      </pic:spPr>
                    </pic:pic>
                  </a:graphicData>
                </a:graphic>
              </wp:inline>
            </w:drawing>
          </w:r>
        </w:p>
      </w:tc>
      <w:tc>
        <w:tcPr>
          <w:tcW w:w="4535" w:type="dxa"/>
          <w:vAlign w:val="center"/>
        </w:tcPr>
        <w:p w14:paraId="5C147F1E" w14:textId="77777777" w:rsidR="00C93562" w:rsidRPr="007839E8" w:rsidRDefault="00C93562" w:rsidP="00526502">
          <w:pPr>
            <w:pStyle w:val="Header"/>
            <w:pBdr>
              <w:bottom w:val="none" w:sz="0" w:space="0" w:color="auto"/>
            </w:pBdr>
            <w:rPr>
              <w:rFonts w:eastAsia="等线"/>
              <w:b/>
              <w:bCs/>
            </w:rPr>
          </w:pPr>
        </w:p>
      </w:tc>
      <w:tc>
        <w:tcPr>
          <w:tcW w:w="2273" w:type="dxa"/>
          <w:vAlign w:val="center"/>
        </w:tcPr>
        <w:p w14:paraId="195D86FB" w14:textId="0BBA9987" w:rsidR="00C93562" w:rsidRPr="007839E8" w:rsidRDefault="003767D5" w:rsidP="003767D5">
          <w:pPr>
            <w:pStyle w:val="Header"/>
            <w:pBdr>
              <w:bottom w:val="none" w:sz="0" w:space="0" w:color="auto"/>
            </w:pBdr>
            <w:jc w:val="right"/>
            <w:rPr>
              <w:rFonts w:eastAsia="等线"/>
              <w:b/>
              <w:bCs/>
            </w:rPr>
          </w:pPr>
          <w:r w:rsidRPr="007839E8">
            <w:rPr>
              <w:rFonts w:eastAsia="等线"/>
              <w:b/>
              <w:bCs/>
              <w:noProof/>
            </w:rPr>
            <w:drawing>
              <wp:inline distT="0" distB="0" distL="0" distR="0" wp14:anchorId="10A0876B" wp14:editId="2253A147">
                <wp:extent cx="540000" cy="360000"/>
                <wp:effectExtent l="0" t="0" r="0" b="2540"/>
                <wp:docPr id="333099079" name="Picture 1"/>
                <wp:cNvGraphicFramePr/>
                <a:graphic xmlns:a="http://schemas.openxmlformats.org/drawingml/2006/main">
                  <a:graphicData uri="http://schemas.openxmlformats.org/drawingml/2006/picture">
                    <pic:pic xmlns:pic="http://schemas.openxmlformats.org/drawingml/2006/picture">
                      <pic:nvPicPr>
                        <pic:cNvPr id="333099079" name=""/>
                        <pic:cNvPicPr/>
                      </pic:nvPicPr>
                      <pic:blipFill>
                        <a:blip r:embed="rId2"/>
                        <a:stretch>
                          <a:fillRect/>
                        </a:stretch>
                      </pic:blipFill>
                      <pic:spPr>
                        <a:xfrm>
                          <a:off x="0" y="0"/>
                          <a:ext cx="540000" cy="360000"/>
                        </a:xfrm>
                        <a:prstGeom prst="rect">
                          <a:avLst/>
                        </a:prstGeom>
                      </pic:spPr>
                    </pic:pic>
                  </a:graphicData>
                </a:graphic>
              </wp:inline>
            </w:drawing>
          </w:r>
        </w:p>
      </w:tc>
    </w:tr>
  </w:tbl>
  <w:p w14:paraId="64DA48DE" w14:textId="77777777" w:rsidR="001C76F6" w:rsidRPr="007839E8" w:rsidRDefault="001C76F6" w:rsidP="008D4C8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FC806A0C"/>
    <w:lvl w:ilvl="0" w:tplc="D196E84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44DA1CB9"/>
    <w:multiLevelType w:val="hybridMultilevel"/>
    <w:tmpl w:val="CCC8D13C"/>
    <w:lvl w:ilvl="0" w:tplc="4B545C0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D7F75A7"/>
    <w:multiLevelType w:val="hybridMultilevel"/>
    <w:tmpl w:val="A508BCE8"/>
    <w:lvl w:ilvl="0" w:tplc="C642578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1A26FB"/>
    <w:multiLevelType w:val="hybridMultilevel"/>
    <w:tmpl w:val="366C2B86"/>
    <w:lvl w:ilvl="0" w:tplc="5B38DB8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885720">
    <w:abstractNumId w:val="3"/>
  </w:num>
  <w:num w:numId="2" w16cid:durableId="764572956">
    <w:abstractNumId w:val="5"/>
  </w:num>
  <w:num w:numId="3" w16cid:durableId="227352354">
    <w:abstractNumId w:val="2"/>
  </w:num>
  <w:num w:numId="4" w16cid:durableId="189157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9691103">
    <w:abstractNumId w:val="4"/>
  </w:num>
  <w:num w:numId="6" w16cid:durableId="1652782770">
    <w:abstractNumId w:val="8"/>
  </w:num>
  <w:num w:numId="7" w16cid:durableId="1587806861">
    <w:abstractNumId w:val="1"/>
  </w:num>
  <w:num w:numId="8" w16cid:durableId="803699944">
    <w:abstractNumId w:val="8"/>
  </w:num>
  <w:num w:numId="9" w16cid:durableId="621880201">
    <w:abstractNumId w:val="1"/>
  </w:num>
  <w:num w:numId="10" w16cid:durableId="1156216967">
    <w:abstractNumId w:val="8"/>
  </w:num>
  <w:num w:numId="11" w16cid:durableId="1685089984">
    <w:abstractNumId w:val="1"/>
  </w:num>
  <w:num w:numId="12" w16cid:durableId="1053700392">
    <w:abstractNumId w:val="10"/>
  </w:num>
  <w:num w:numId="13" w16cid:durableId="362941748">
    <w:abstractNumId w:val="8"/>
  </w:num>
  <w:num w:numId="14" w16cid:durableId="47727350">
    <w:abstractNumId w:val="1"/>
  </w:num>
  <w:num w:numId="15" w16cid:durableId="498693611">
    <w:abstractNumId w:val="0"/>
  </w:num>
  <w:num w:numId="16" w16cid:durableId="1534729667">
    <w:abstractNumId w:val="7"/>
  </w:num>
  <w:num w:numId="17" w16cid:durableId="598948950">
    <w:abstractNumId w:val="0"/>
  </w:num>
  <w:num w:numId="18" w16cid:durableId="348987493">
    <w:abstractNumId w:val="8"/>
  </w:num>
  <w:num w:numId="19" w16cid:durableId="66347879">
    <w:abstractNumId w:val="1"/>
  </w:num>
  <w:num w:numId="20" w16cid:durableId="1117678135">
    <w:abstractNumId w:val="0"/>
  </w:num>
  <w:num w:numId="21" w16cid:durableId="235281920">
    <w:abstractNumId w:val="11"/>
  </w:num>
  <w:num w:numId="22" w16cid:durableId="338586943">
    <w:abstractNumId w:val="9"/>
  </w:num>
  <w:num w:numId="23" w16cid:durableId="399911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53"/>
    <w:rsid w:val="00006EC4"/>
    <w:rsid w:val="00020432"/>
    <w:rsid w:val="00032C71"/>
    <w:rsid w:val="000407A2"/>
    <w:rsid w:val="000573A9"/>
    <w:rsid w:val="000655E2"/>
    <w:rsid w:val="00080FE0"/>
    <w:rsid w:val="00092EF2"/>
    <w:rsid w:val="000A1516"/>
    <w:rsid w:val="000C4C13"/>
    <w:rsid w:val="000E24F4"/>
    <w:rsid w:val="0012030C"/>
    <w:rsid w:val="00124D69"/>
    <w:rsid w:val="001260D5"/>
    <w:rsid w:val="001273E0"/>
    <w:rsid w:val="00134BB8"/>
    <w:rsid w:val="00152411"/>
    <w:rsid w:val="001600FE"/>
    <w:rsid w:val="00160266"/>
    <w:rsid w:val="00175630"/>
    <w:rsid w:val="001766EA"/>
    <w:rsid w:val="001836DF"/>
    <w:rsid w:val="0018545E"/>
    <w:rsid w:val="001A30E8"/>
    <w:rsid w:val="001A535F"/>
    <w:rsid w:val="001B2C94"/>
    <w:rsid w:val="001C1F99"/>
    <w:rsid w:val="001C69E7"/>
    <w:rsid w:val="001C76F6"/>
    <w:rsid w:val="001D0CDE"/>
    <w:rsid w:val="001D3E0E"/>
    <w:rsid w:val="001E2AEB"/>
    <w:rsid w:val="001F0198"/>
    <w:rsid w:val="00204BE3"/>
    <w:rsid w:val="00243653"/>
    <w:rsid w:val="00247843"/>
    <w:rsid w:val="002519D0"/>
    <w:rsid w:val="00254361"/>
    <w:rsid w:val="00265034"/>
    <w:rsid w:val="002713E0"/>
    <w:rsid w:val="00275B44"/>
    <w:rsid w:val="002919AD"/>
    <w:rsid w:val="00295161"/>
    <w:rsid w:val="002B3A4B"/>
    <w:rsid w:val="002B4A2A"/>
    <w:rsid w:val="002C2175"/>
    <w:rsid w:val="002D6A12"/>
    <w:rsid w:val="002E3A10"/>
    <w:rsid w:val="002E7247"/>
    <w:rsid w:val="00312DD0"/>
    <w:rsid w:val="003137C5"/>
    <w:rsid w:val="00313D10"/>
    <w:rsid w:val="00326141"/>
    <w:rsid w:val="00333563"/>
    <w:rsid w:val="00334387"/>
    <w:rsid w:val="003346FC"/>
    <w:rsid w:val="00350B3B"/>
    <w:rsid w:val="003767D5"/>
    <w:rsid w:val="003914DF"/>
    <w:rsid w:val="003A4B7F"/>
    <w:rsid w:val="003D0C5A"/>
    <w:rsid w:val="003F26A8"/>
    <w:rsid w:val="003F312B"/>
    <w:rsid w:val="00401D30"/>
    <w:rsid w:val="004064B7"/>
    <w:rsid w:val="00415B9C"/>
    <w:rsid w:val="004232BB"/>
    <w:rsid w:val="00426AF3"/>
    <w:rsid w:val="004315EE"/>
    <w:rsid w:val="004359FE"/>
    <w:rsid w:val="00476ADE"/>
    <w:rsid w:val="004A4199"/>
    <w:rsid w:val="004A4322"/>
    <w:rsid w:val="004B41B0"/>
    <w:rsid w:val="004D278C"/>
    <w:rsid w:val="00526502"/>
    <w:rsid w:val="00526ADB"/>
    <w:rsid w:val="00527202"/>
    <w:rsid w:val="00527533"/>
    <w:rsid w:val="0053255F"/>
    <w:rsid w:val="00545B32"/>
    <w:rsid w:val="0055562C"/>
    <w:rsid w:val="00560B0A"/>
    <w:rsid w:val="005811F5"/>
    <w:rsid w:val="005A21A7"/>
    <w:rsid w:val="005B5B5A"/>
    <w:rsid w:val="005C70B1"/>
    <w:rsid w:val="0060137B"/>
    <w:rsid w:val="00624CAE"/>
    <w:rsid w:val="00634BA3"/>
    <w:rsid w:val="00651A46"/>
    <w:rsid w:val="00652F0C"/>
    <w:rsid w:val="00676D2D"/>
    <w:rsid w:val="006815DA"/>
    <w:rsid w:val="00681D08"/>
    <w:rsid w:val="00685C15"/>
    <w:rsid w:val="00692264"/>
    <w:rsid w:val="00692393"/>
    <w:rsid w:val="006A1B40"/>
    <w:rsid w:val="006A69B7"/>
    <w:rsid w:val="006E4337"/>
    <w:rsid w:val="006E5513"/>
    <w:rsid w:val="006F3A1F"/>
    <w:rsid w:val="00720209"/>
    <w:rsid w:val="0072365C"/>
    <w:rsid w:val="00764704"/>
    <w:rsid w:val="007839E8"/>
    <w:rsid w:val="00784160"/>
    <w:rsid w:val="0078520C"/>
    <w:rsid w:val="00796463"/>
    <w:rsid w:val="007B2A2C"/>
    <w:rsid w:val="007B57CF"/>
    <w:rsid w:val="007C039F"/>
    <w:rsid w:val="007D39A8"/>
    <w:rsid w:val="007D5729"/>
    <w:rsid w:val="007E13A0"/>
    <w:rsid w:val="007E20DF"/>
    <w:rsid w:val="007E74F3"/>
    <w:rsid w:val="007F292D"/>
    <w:rsid w:val="007F500F"/>
    <w:rsid w:val="00817DF9"/>
    <w:rsid w:val="00826878"/>
    <w:rsid w:val="00835224"/>
    <w:rsid w:val="00841227"/>
    <w:rsid w:val="00847C63"/>
    <w:rsid w:val="008579E6"/>
    <w:rsid w:val="008641B9"/>
    <w:rsid w:val="00865AC6"/>
    <w:rsid w:val="008703A8"/>
    <w:rsid w:val="00873D51"/>
    <w:rsid w:val="008A1C69"/>
    <w:rsid w:val="008A5041"/>
    <w:rsid w:val="008A7E9A"/>
    <w:rsid w:val="008B21FD"/>
    <w:rsid w:val="008B289A"/>
    <w:rsid w:val="008D4C81"/>
    <w:rsid w:val="008E2664"/>
    <w:rsid w:val="008F00A1"/>
    <w:rsid w:val="0090193C"/>
    <w:rsid w:val="00906D45"/>
    <w:rsid w:val="00915C7D"/>
    <w:rsid w:val="00924029"/>
    <w:rsid w:val="0092741D"/>
    <w:rsid w:val="0093135B"/>
    <w:rsid w:val="00954EA5"/>
    <w:rsid w:val="00967C33"/>
    <w:rsid w:val="009A28F8"/>
    <w:rsid w:val="009B0F42"/>
    <w:rsid w:val="009B1312"/>
    <w:rsid w:val="009B6934"/>
    <w:rsid w:val="009C17B8"/>
    <w:rsid w:val="009E0DEB"/>
    <w:rsid w:val="009F2B63"/>
    <w:rsid w:val="009F70E6"/>
    <w:rsid w:val="00A338EE"/>
    <w:rsid w:val="00A40A4C"/>
    <w:rsid w:val="00A50652"/>
    <w:rsid w:val="00A534CD"/>
    <w:rsid w:val="00A5352B"/>
    <w:rsid w:val="00A82F41"/>
    <w:rsid w:val="00A863D2"/>
    <w:rsid w:val="00AC3148"/>
    <w:rsid w:val="00AD12E5"/>
    <w:rsid w:val="00AD547E"/>
    <w:rsid w:val="00AE2FA4"/>
    <w:rsid w:val="00AE6E21"/>
    <w:rsid w:val="00AF0B89"/>
    <w:rsid w:val="00AF4EF1"/>
    <w:rsid w:val="00AF6A72"/>
    <w:rsid w:val="00B05DC9"/>
    <w:rsid w:val="00B15A05"/>
    <w:rsid w:val="00B2597C"/>
    <w:rsid w:val="00B61C94"/>
    <w:rsid w:val="00B70808"/>
    <w:rsid w:val="00B916AE"/>
    <w:rsid w:val="00B93694"/>
    <w:rsid w:val="00BA4502"/>
    <w:rsid w:val="00BA732E"/>
    <w:rsid w:val="00BC0CB4"/>
    <w:rsid w:val="00BE01A2"/>
    <w:rsid w:val="00BE4A23"/>
    <w:rsid w:val="00BE5440"/>
    <w:rsid w:val="00BE5A33"/>
    <w:rsid w:val="00BF1202"/>
    <w:rsid w:val="00C10209"/>
    <w:rsid w:val="00C1211E"/>
    <w:rsid w:val="00C42C23"/>
    <w:rsid w:val="00C471D1"/>
    <w:rsid w:val="00C54134"/>
    <w:rsid w:val="00C80AB5"/>
    <w:rsid w:val="00C92553"/>
    <w:rsid w:val="00C93562"/>
    <w:rsid w:val="00CC7ED9"/>
    <w:rsid w:val="00CD2B32"/>
    <w:rsid w:val="00CE0600"/>
    <w:rsid w:val="00CE121B"/>
    <w:rsid w:val="00CF276C"/>
    <w:rsid w:val="00D036B1"/>
    <w:rsid w:val="00D20599"/>
    <w:rsid w:val="00D30FE8"/>
    <w:rsid w:val="00D82592"/>
    <w:rsid w:val="00D8306D"/>
    <w:rsid w:val="00D84B0A"/>
    <w:rsid w:val="00D952B3"/>
    <w:rsid w:val="00DA05D1"/>
    <w:rsid w:val="00DB493F"/>
    <w:rsid w:val="00DC4CCD"/>
    <w:rsid w:val="00DF25E8"/>
    <w:rsid w:val="00DF395F"/>
    <w:rsid w:val="00E014E9"/>
    <w:rsid w:val="00E05F48"/>
    <w:rsid w:val="00E069C0"/>
    <w:rsid w:val="00E072BA"/>
    <w:rsid w:val="00E1136E"/>
    <w:rsid w:val="00E1348D"/>
    <w:rsid w:val="00E220D5"/>
    <w:rsid w:val="00E24B0B"/>
    <w:rsid w:val="00E276ED"/>
    <w:rsid w:val="00E3292F"/>
    <w:rsid w:val="00E4281E"/>
    <w:rsid w:val="00E5223B"/>
    <w:rsid w:val="00E62255"/>
    <w:rsid w:val="00E6287B"/>
    <w:rsid w:val="00EA5F4C"/>
    <w:rsid w:val="00EE682D"/>
    <w:rsid w:val="00F00870"/>
    <w:rsid w:val="00F25161"/>
    <w:rsid w:val="00F34FEE"/>
    <w:rsid w:val="00F46911"/>
    <w:rsid w:val="00F75691"/>
    <w:rsid w:val="00F866AC"/>
    <w:rsid w:val="00FA2F11"/>
    <w:rsid w:val="00FA359D"/>
    <w:rsid w:val="00FA39C7"/>
    <w:rsid w:val="00FA3BD6"/>
    <w:rsid w:val="00FB5747"/>
    <w:rsid w:val="00FC69D1"/>
    <w:rsid w:val="00FD44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AF432B"/>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C1F99"/>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C1F99"/>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C1F99"/>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C1F99"/>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4365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C1F99"/>
    <w:rPr>
      <w:rFonts w:ascii="Palatino Linotype" w:hAnsi="Palatino Linotype"/>
      <w:noProof/>
      <w:color w:val="000000"/>
      <w:szCs w:val="18"/>
    </w:rPr>
  </w:style>
  <w:style w:type="paragraph" w:styleId="Header">
    <w:name w:val="header"/>
    <w:basedOn w:val="Normal"/>
    <w:link w:val="HeaderChar"/>
    <w:uiPriority w:val="99"/>
    <w:rsid w:val="001C1F9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C1F99"/>
    <w:rPr>
      <w:rFonts w:ascii="Palatino Linotype" w:hAnsi="Palatino Linotype"/>
      <w:noProof/>
      <w:color w:val="000000"/>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C1F99"/>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C1F9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C1F99"/>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E724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C1F99"/>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C1F99"/>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C1F99"/>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C1F99"/>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C1F99"/>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5562C"/>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C1F99"/>
    <w:rPr>
      <w:rFonts w:cs="Tahoma"/>
      <w:szCs w:val="18"/>
    </w:rPr>
  </w:style>
  <w:style w:type="character" w:customStyle="1" w:styleId="BalloonTextChar">
    <w:name w:val="Balloon Text Char"/>
    <w:link w:val="BalloonText"/>
    <w:uiPriority w:val="99"/>
    <w:rsid w:val="001C1F99"/>
    <w:rPr>
      <w:rFonts w:ascii="Palatino Linotype" w:hAnsi="Palatino Linotype" w:cs="Tahoma"/>
      <w:noProof/>
      <w:color w:val="000000"/>
      <w:szCs w:val="18"/>
    </w:rPr>
  </w:style>
  <w:style w:type="character" w:styleId="LineNumber">
    <w:name w:val="line number"/>
    <w:uiPriority w:val="99"/>
    <w:rsid w:val="00CF276C"/>
    <w:rPr>
      <w:rFonts w:ascii="Palatino Linotype" w:hAnsi="Palatino Linotype"/>
      <w:sz w:val="16"/>
    </w:rPr>
  </w:style>
  <w:style w:type="table" w:customStyle="1" w:styleId="MDPI41threelinetable">
    <w:name w:val="MDPI_4.1_three_line_table"/>
    <w:basedOn w:val="TableNormal"/>
    <w:uiPriority w:val="99"/>
    <w:rsid w:val="001C1F99"/>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C1F99"/>
    <w:rPr>
      <w:color w:val="0000FF"/>
      <w:u w:val="single"/>
    </w:rPr>
  </w:style>
  <w:style w:type="character" w:styleId="UnresolvedMention">
    <w:name w:val="Unresolved Mention"/>
    <w:uiPriority w:val="99"/>
    <w:semiHidden/>
    <w:unhideWhenUsed/>
    <w:rsid w:val="00527533"/>
    <w:rPr>
      <w:color w:val="605E5C"/>
      <w:shd w:val="clear" w:color="auto" w:fill="E1DFDD"/>
    </w:r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C1F9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C1F99"/>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C1F99"/>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C1F99"/>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C1F99"/>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863D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C1F99"/>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F019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C1F99"/>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C1F99"/>
  </w:style>
  <w:style w:type="paragraph" w:styleId="Bibliography">
    <w:name w:val="Bibliography"/>
    <w:basedOn w:val="Normal"/>
    <w:next w:val="Normal"/>
    <w:uiPriority w:val="37"/>
    <w:semiHidden/>
    <w:unhideWhenUsed/>
    <w:rsid w:val="001C1F99"/>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C1F99"/>
    <w:rPr>
      <w:rFonts w:ascii="Palatino Linotype" w:hAnsi="Palatino Linotype"/>
      <w:color w:val="000000"/>
      <w:sz w:val="24"/>
      <w:lang w:eastAsia="de-DE"/>
    </w:rPr>
  </w:style>
  <w:style w:type="character" w:styleId="CommentReference">
    <w:name w:val="annotation reference"/>
    <w:rsid w:val="001C1F99"/>
    <w:rPr>
      <w:sz w:val="21"/>
      <w:szCs w:val="21"/>
    </w:rPr>
  </w:style>
  <w:style w:type="paragraph" w:styleId="CommentText">
    <w:name w:val="annotation text"/>
    <w:basedOn w:val="Normal"/>
    <w:link w:val="CommentTextChar"/>
    <w:rsid w:val="001C1F99"/>
  </w:style>
  <w:style w:type="character" w:customStyle="1" w:styleId="CommentTextChar">
    <w:name w:val="Comment Text Char"/>
    <w:link w:val="CommentText"/>
    <w:rsid w:val="001C1F99"/>
    <w:rPr>
      <w:rFonts w:ascii="Palatino Linotype" w:hAnsi="Palatino Linotype"/>
      <w:noProof/>
      <w:color w:val="000000"/>
    </w:rPr>
  </w:style>
  <w:style w:type="paragraph" w:styleId="CommentSubject">
    <w:name w:val="annotation subject"/>
    <w:basedOn w:val="CommentText"/>
    <w:next w:val="CommentText"/>
    <w:link w:val="CommentSubjectChar"/>
    <w:rsid w:val="001C1F99"/>
    <w:rPr>
      <w:b/>
      <w:bCs/>
    </w:rPr>
  </w:style>
  <w:style w:type="character" w:customStyle="1" w:styleId="CommentSubjectChar">
    <w:name w:val="Comment Subject Char"/>
    <w:link w:val="CommentSubject"/>
    <w:rsid w:val="001C1F99"/>
    <w:rPr>
      <w:rFonts w:ascii="Palatino Linotype" w:hAnsi="Palatino Linotype"/>
      <w:b/>
      <w:bCs/>
      <w:noProof/>
      <w:color w:val="000000"/>
    </w:rPr>
  </w:style>
  <w:style w:type="character" w:styleId="EndnoteReference">
    <w:name w:val="endnote reference"/>
    <w:rsid w:val="001C1F99"/>
    <w:rPr>
      <w:vertAlign w:val="superscript"/>
    </w:rPr>
  </w:style>
  <w:style w:type="paragraph" w:styleId="EndnoteText">
    <w:name w:val="endnote text"/>
    <w:basedOn w:val="Normal"/>
    <w:link w:val="EndnoteTextChar"/>
    <w:semiHidden/>
    <w:unhideWhenUsed/>
    <w:rsid w:val="001C1F99"/>
    <w:pPr>
      <w:spacing w:line="240" w:lineRule="auto"/>
    </w:pPr>
  </w:style>
  <w:style w:type="character" w:customStyle="1" w:styleId="EndnoteTextChar">
    <w:name w:val="Endnote Text Char"/>
    <w:link w:val="EndnoteText"/>
    <w:semiHidden/>
    <w:rsid w:val="001C1F99"/>
    <w:rPr>
      <w:rFonts w:ascii="Palatino Linotype" w:hAnsi="Palatino Linotype"/>
      <w:noProof/>
      <w:color w:val="000000"/>
    </w:rPr>
  </w:style>
  <w:style w:type="character" w:styleId="FollowedHyperlink">
    <w:name w:val="FollowedHyperlink"/>
    <w:rsid w:val="001C1F99"/>
    <w:rPr>
      <w:color w:val="954F72"/>
      <w:u w:val="single"/>
    </w:rPr>
  </w:style>
  <w:style w:type="paragraph" w:styleId="FootnoteText">
    <w:name w:val="footnote text"/>
    <w:basedOn w:val="Normal"/>
    <w:link w:val="FootnoteTextChar"/>
    <w:semiHidden/>
    <w:unhideWhenUsed/>
    <w:rsid w:val="001C1F99"/>
    <w:pPr>
      <w:spacing w:line="240" w:lineRule="auto"/>
    </w:pPr>
  </w:style>
  <w:style w:type="character" w:customStyle="1" w:styleId="FootnoteTextChar">
    <w:name w:val="Footnote Text Char"/>
    <w:link w:val="FootnoteText"/>
    <w:semiHidden/>
    <w:rsid w:val="001C1F99"/>
    <w:rPr>
      <w:rFonts w:ascii="Palatino Linotype" w:hAnsi="Palatino Linotype"/>
      <w:noProof/>
      <w:color w:val="000000"/>
    </w:rPr>
  </w:style>
  <w:style w:type="paragraph" w:styleId="NormalWeb">
    <w:name w:val="Normal (Web)"/>
    <w:basedOn w:val="Normal"/>
    <w:uiPriority w:val="99"/>
    <w:rsid w:val="001C1F99"/>
    <w:rPr>
      <w:szCs w:val="24"/>
    </w:rPr>
  </w:style>
  <w:style w:type="paragraph" w:customStyle="1" w:styleId="MsoFootnoteText0">
    <w:name w:val="MsoFootnoteText"/>
    <w:basedOn w:val="NormalWeb"/>
    <w:qFormat/>
    <w:rsid w:val="001C1F99"/>
    <w:rPr>
      <w:rFonts w:ascii="Times New Roman" w:hAnsi="Times New Roman"/>
    </w:rPr>
  </w:style>
  <w:style w:type="character" w:styleId="PageNumber">
    <w:name w:val="page number"/>
    <w:rsid w:val="001C1F99"/>
  </w:style>
  <w:style w:type="character" w:styleId="PlaceholderText">
    <w:name w:val="Placeholder Text"/>
    <w:uiPriority w:val="99"/>
    <w:semiHidden/>
    <w:rsid w:val="001C1F99"/>
    <w:rPr>
      <w:color w:val="808080"/>
    </w:rPr>
  </w:style>
  <w:style w:type="paragraph" w:customStyle="1" w:styleId="MDPI71footnotes">
    <w:name w:val="MDPI_7.1_footnotes"/>
    <w:qFormat/>
    <w:rsid w:val="00D82592"/>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2C2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foods-template.dot</Template>
  <TotalTime>2</TotalTime>
  <Pages>6</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Bandwise Stability and Redundancy Selection for Near-Infrared Prediction of Total C21 Steroidal Glycoside Equivalents in Baishouwu Supplementary Material</dc:title>
  <dc:subject>Baishouwu NIR chemometrics</dc:subject>
  <dc:creator>Cheng Guo; Chen Qiu; Yang Qian; Hongle An; Mingguang Zhang; Baolin Zhu; Cuiyan Han</dc:creator>
  <cp:keywords/>
  <dc:description/>
  <cp:lastModifiedBy>MDPI</cp:lastModifiedBy>
  <cp:revision>5</cp:revision>
  <dcterms:created xsi:type="dcterms:W3CDTF">2025-06-13T06:09:00Z</dcterms:created>
  <dcterms:modified xsi:type="dcterms:W3CDTF">2025-08-15T02:52:00Z</dcterms:modified>
</cp:coreProperties>
</file>