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A Heart-to-Liver Angptl4-Sdc/Cdh5 Axis in Cardiohepatic Syndrome: Target Redirection and Structure-Based Repurposing of Ezetimibe and Pioglitazone — Supplemental Figures, Tables, and Text</w:t>
      </w:r>
    </w:p>
    <w:p>
      <w:pPr>
        <w:pStyle w:val="Heading1"/>
        <w:spacing w:after="150" w:before="300"/>
      </w:pPr>
      <w:r>
        <w:t xml:space="preserve">Code and Analysis Workflow</w:t>
      </w:r>
    </w:p>
    <w:p>
      <w:pPr>
        <w:spacing w:after="150" w:line="320"/>
        <w:jc w:val="both"/>
      </w:pPr>
      <w:r>
        <w:rPr>
          <w:sz w:val="20"/>
          <w:szCs w:val="20"/>
        </w:rPr>
        <w:t xml:space="preserve">All code, intermediate results, and figures for this study are version-controlled at github.com/bioinform25/essay. The repository is organized into scripts/ (analysis code, run in the numeric order below), results/ (CSV outputs and text summaries), figures/ (all PNG figures, with composite multi-panel images under figures/composite/), docking/ (receptor/ligand PDBQT files and Vina/DiffDock outputs), and manuscript/ (this document's build scripts and content). The list below walks through every script in execution order so that the analysis can be fully reproduced or audited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Description</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Verify/install required R packages (DESeq2, clusterProfiler, fgsea, msigdbr, EnhancedVolcano, pheatmap, igraph, CellChat, RCy3) before running the pipeline.</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Load the Zenodo raw count matrices and metadata, run DESeq2 independently for Liver and LV, apply apeglm shrinkage, export full and significant (padj&lt;0.01, |log2FC|&gt;1.5) DEG tables, volcano plots, and heatmaps.</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Hallmark GSEA (fgsea) ranked by sign(log2FC)*-log10(p), plus GO-BP and KEGG over-representation analysis (clusterProfiler) on the significant DEG lists, for each organ.</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Match upregulated DEGs (ligand candidates) against CellChatDB.mouse ligand-receptor pairs, receptor side relaxed to baseMean&gt;=10 expression, tested in both liver-to-LV and LV-to-liver directions.</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Query the STRING API for the combined significant gene set to search directly for cross-organ edges (result: zero in the hypothesized direction).</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Expand the Angptl4/Cdh5/Sdc1-4 seed set with STRING first-shell interactors, compute degree/betweenness centrality with igraph, and render the network figure.</w:t>
            </w:r>
          </w:p>
        </w:tc>
      </w:tr>
      <w:tr>
        <w:tc>
          <w:tcPr>
            <w:tcMar>
              <w:top w:type="dxa" w:w="60"/>
              <w:left w:type="dxa" w:w="80"/>
              <w:bottom w:type="dxa" w:w="60"/>
              <w:right w:type="dxa" w:w="80"/>
            </w:tcMar>
          </w:tcPr>
          <w:p>
            <w:r>
              <w:rPr>
                <w:b w:val="false"/>
                <w:bCs w:val="false"/>
                <w:sz w:val="17"/>
                <w:szCs w:val="17"/>
              </w:rPr>
              <w:t xml:space="preserve">06_liver_localization_atlas.R</w:t>
            </w:r>
          </w:p>
        </w:tc>
        <w:tc>
          <w:tcPr>
            <w:tcMar>
              <w:top w:type="dxa" w:w="60"/>
              <w:left w:type="dxa" w:w="80"/>
              <w:bottom w:type="dxa" w:w="60"/>
              <w:right w:type="dxa" w:w="80"/>
            </w:tcMar>
          </w:tcPr>
          <w:p>
            <w:r>
              <w:rPr>
                <w:b w:val="false"/>
                <w:bCs w:val="false"/>
                <w:sz w:val="17"/>
                <w:szCs w:val="17"/>
              </w:rPr>
              <w:t xml:space="preserve">Reload the previously constructed and annotated GSE136103 Seurat atlas (construction pipeline in Supplemental Text S3) and generate DotPlots of Angptl4-axis genes across annotated liver cell types.</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Query the STITCH API for chemical partners of each hub gene and resolve PubChem CIDs to compound names.</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Query the DGIdb 5.0 GraphQL API for existing drug interactions of each hub gene (human ortholog symbols).</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Resolve canonical SMILES for the 21-compound docking library from PubChem PUG-REST.</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Strip waters/crystallization additives from PDB 6EUB, compute the 1PE-site centroid as the docking box center, and generate a receptor PDBQT with Meeko.</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Generate 3D conformers (RDKit ETKDGv3/MMFF94) for all 21 ligands and convert to PDBQT with Meeko.</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Run AutoDock Vina for every ligand against the prepared receptor and collate best binding affinities.</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Render the ranked Vina results as a categorized bar chart.</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Early-stage pose visualization attempts (py3Dmol web-rendering, then a matplotlib-based static fallback) before the PyMOL pipeline below was added.</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Headless PyMOL (installed via a dedicated Miniconda environment) rendering of the final publication-quality binding-pose figures, run via `pymol -cq`.</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Combine paired single-panel figures (volcano, heatmap, GSEA, docking pose, GO) into single composite Figure images with panel letters (A)/(B)/(C), matching standard journal figure layout.</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Regenerate the Liver heatmap alone (reusing the cached DESeq2 object) with a smaller row font and taller canvas so 86 gene labels no longer overlap.</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Cross-check Sdc1/Sdc4/Sdc3/Cdh5 hepatocyte/Kupffer/endothelial localization directly in mouse tissue using the public Tabula Muris FACS liver atlas, closing the human-only cross-species gap.</w:t>
            </w:r>
          </w:p>
        </w:tc>
      </w:tr>
    </w:tbl>
    <w:p>
      <w:pPr>
        <w:spacing w:after="150"/>
      </w:pPr>
    </w:p>
    <w:p>
      <w:pPr>
        <w:spacing w:after="150" w:line="320"/>
        <w:jc w:val="both"/>
      </w:pPr>
      <w:r>
        <w:rPr>
          <w:sz w:val="20"/>
          <w:szCs w:val="20"/>
        </w:rPr>
        <w:t xml:space="preserve">Software versions: R 4.5.2 (DESeq2, apeglm, clusterProfiler, fgsea, msigdbr, CellChat, igraph, httr/jsonlite, EnhancedVolcano, pheatmap); Python 3.14 (RDKit, Meeko, PyMuPDF, matplotlib, py3Dmol); AutoDock Vina 1.2.7; PyMOL (open-source build, installed via a dedicated Miniconda environment); Cytoscape 3.10.4 (installed, available for manual use). DiffDock was not installed locally (no CUDA-capable GPU on this machine) and was instead run through a publicly hosted Gradio Space mirroring the original gcorso/DiffDock inference code, for the top Vina candidates only (Resmetirom, Ezetimibe, Pioglitazone). The full commit history of the repository constitutes a complete, chronological log of the analysis as it was actually performed, including the initial (liver-to-heart) hypothesis, the point at which it was found unsupported, and the subsequent re-direction of the target and screening strategy.</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enrichment. (A) Liver (34 significant terms, padj&lt;0.05). (B) LV (10 significant terms, padj&lt;0.05). Complements the Hallmark GSEA in Figure 3 with a complementary, non-overlapping ontology.</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Liver KEGG pathway enrichment (9 significant pathways, padj&lt;0.05). No KEGG pathway reached significance in LV under the same threshold, which is reported here rather than omitted.</w:t>
      </w:r>
    </w:p>
    <w:p>
      <w:pPr>
        <w:spacing w:after="100" w:before="200"/>
        <w:jc w:val="center"/>
      </w:pPr>
      <w:r>
        <w:drawing>
          <wp:inline distT="0" distB="0" distL="0" distR="0">
            <wp:extent cx="5734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438525"/>
                    </a:xfrm>
                    <a:prstGeom prst="rect">
                      <a:avLst/>
                    </a:prstGeom>
                  </pic:spPr>
                </pic:pic>
              </a:graphicData>
            </a:graphic>
          </wp:inline>
        </w:drawing>
      </w:r>
    </w:p>
    <w:p>
      <w:pPr>
        <w:spacing w:after="300"/>
        <w:jc w:val="center"/>
      </w:pPr>
      <w:r>
        <w:rPr>
          <w:i/>
          <w:iCs/>
          <w:sz w:val="18"/>
          <w:szCs w:val="18"/>
        </w:rPr>
        <w:t xml:space="preserve">Figure S3. Liver cell-type localization of Angptl4-axis genes, split by disease condition (healthy vs. cirrhotic; GSE136103 cross-species reference atlas, see Methods 2.6 and Supplemental Text S3 for construction). Provided in addition to Figure 5 to show whether localization itself, rather than only expression level, shifts with disease state.</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Independent mouse-native cross-check of Angptl4-axis gene localization (Tabula Muris, FACS/Smart-seq2 liver atlas, n=714 cells, 5 annotated cell types). Sdc4 (91.8%) and Sdc1 (68.3%) were detected predominantly in hepatocytes, Sdc3 in Kupffer cells (80.3%), and Cdh5 in hepatic sinusoidal endothelial cells (98.4%) - reproducing the human-atlas pattern shown in Figure 5 directly in the same species as the bulk cohort.</w:t>
      </w:r>
    </w:p>
    <w:p>
      <w:pPr>
        <w:pStyle w:val="Heading1"/>
        <w:pageBreakBefore/>
        <w:spacing w:after="150" w:before="300"/>
      </w:pPr>
      <w:r>
        <w:t xml:space="preserve">Supplemental Tables</w:t>
      </w:r>
    </w:p>
    <w:p>
      <w:pPr>
        <w:pStyle w:val="Heading2"/>
        <w:spacing w:after="100" w:before="200"/>
      </w:pPr>
      <w:r>
        <w:t xml:space="preserve">Table S1. Full significant DEG list, Liver (n=86, padj&lt;0.01, |log2FC|&gt;1.5)</w:t>
      </w:r>
    </w:p>
    <w:p>
      <w:pPr>
        <w:spacing w:after="150" w:line="300"/>
      </w:pPr>
      <w:r>
        <w:rPr>
          <w:i/>
          <w:iCs/>
          <w:sz w:val="19"/>
          <w:szCs w:val="19"/>
        </w:rPr>
        <w:t xml:space="preserve">Complete Liver DEG table underlying Figure 1A and the 86-gene count reported in Section 3.1 (all columns from the DESeq2/apeglm output: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Full significant DEG list, LV (n=20, padj&lt;0.01, |log2FC|&gt;1.5)</w:t>
      </w:r>
    </w:p>
    <w:p>
      <w:pPr>
        <w:spacing w:after="150" w:line="300"/>
      </w:pPr>
      <w:r>
        <w:rPr>
          <w:i/>
          <w:iCs/>
          <w:sz w:val="19"/>
          <w:szCs w:val="19"/>
        </w:rPr>
        <w:t xml:space="preserve">Complete LV DEG table underlying Figure 1B and the 20-gene count reported in Section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Liver GO-BP enrichment (full, padj&lt;0.05)</w:t>
      </w:r>
    </w:p>
    <w:p>
      <w:pPr>
        <w:spacing w:after="150" w:line="300"/>
      </w:pPr>
      <w:r>
        <w:rPr>
          <w:i/>
          <w:iCs/>
          <w:sz w:val="19"/>
          <w:szCs w:val="19"/>
        </w:rPr>
        <w:t xml:space="preserve">Complete Liver GO-BP enrichment table underlying Figure S1A.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enrichment (full, padj&lt;0.05)</w:t>
      </w:r>
    </w:p>
    <w:p>
      <w:pPr>
        <w:spacing w:after="150" w:line="300"/>
      </w:pPr>
      <w:r>
        <w:rPr>
          <w:i/>
          <w:iCs/>
          <w:sz w:val="19"/>
          <w:szCs w:val="19"/>
        </w:rPr>
        <w:t xml:space="preserve">Complete LV GO-BP enrichment table underlying Figure S1B.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Liver KEGG pathway enrichment (full, padj&lt;0.05)</w:t>
      </w:r>
    </w:p>
    <w:p>
      <w:pPr>
        <w:spacing w:after="150" w:line="300"/>
      </w:pPr>
      <w:r>
        <w:rPr>
          <w:i/>
          <w:iCs/>
          <w:sz w:val="19"/>
          <w:szCs w:val="19"/>
        </w:rPr>
        <w:t xml:space="preserve">Complete Liver KEGG enrichment table underlying Figure S2.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network hub genes (Angptl4-Sdc/Cdh5 axis + first-shell interactors)</w:t>
      </w:r>
    </w:p>
    <w:p>
      <w:pPr>
        <w:spacing w:after="150" w:line="300"/>
      </w:pPr>
      <w:r>
        <w:rPr>
          <w:i/>
          <w:iCs/>
          <w:sz w:val="19"/>
          <w:szCs w:val="19"/>
        </w:rPr>
        <w:t xml:space="preserve">Complete STRING network hub-gene ranking (degree, betweenness) underlying the discussion of Sdc1/Sdc4 centrality in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Full AutoDock Vina ranking (all 21 compounds)</w:t>
      </w:r>
    </w:p>
    <w:p>
      <w:pPr>
        <w:spacing w:after="150" w:line="300"/>
      </w:pPr>
      <w:r>
        <w:rPr>
          <w:i/>
          <w:iCs/>
          <w:sz w:val="19"/>
          <w:szCs w:val="19"/>
        </w:rPr>
        <w:t xml:space="preserve">Complete AutoDock Vina ranking for all 21 screened compounds (Section 3.8), including the fatty-acid and unrelated-control categories omitted from the main-text Table 4 top-5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STITCH chemical partners of Angptl4-axis genes (full)</w:t>
      </w:r>
    </w:p>
    <w:p>
      <w:pPr>
        <w:spacing w:after="150" w:line="300"/>
      </w:pPr>
      <w:r>
        <w:rPr>
          <w:i/>
          <w:iCs/>
          <w:sz w:val="19"/>
          <w:szCs w:val="19"/>
        </w:rPr>
        <w:t xml:space="preserve">Complete STITCH chemical-partner query results for all Angptl4-axis genes (Section 3.6), including compound identity resolved via PubChem.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summary</w:t>
      </w:r>
    </w:p>
    <w:p>
      <w:pPr>
        <w:spacing w:after="150" w:line="300"/>
      </w:pPr>
      <w:r>
        <w:rPr>
          <w:i/>
          <w:iCs/>
          <w:sz w:val="19"/>
          <w:szCs w:val="19"/>
        </w:rPr>
        <w:t xml:space="preserve">Complete DGIdb druggability query results underlying Table 3 and the target-selection rationale in Section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Final target selection rationale</w:t>
      </w:r>
    </w:p>
    <w:p>
      <w:pPr>
        <w:spacing w:after="150" w:line="320"/>
        <w:jc w:val="both"/>
      </w:pPr>
      <w:r>
        <w:rPr>
          <w:sz w:val="20"/>
          <w:szCs w:val="20"/>
        </w:rPr>
        <w:t xml:space="preserve">Five candidates arising from the Angptl4-Sdc/Cdh5 axis were evaluated as the final structure-based screening target: Angptl4 itself, and its four curated receptors Sdc1, Sdc2, Sdc3, and Cdh5.</w:t>
      </w:r>
    </w:p>
    <w:p>
      <w:pPr>
        <w:spacing w:after="150" w:line="320"/>
        <w:jc w:val="both"/>
      </w:pPr>
      <w:r>
        <w:rPr>
          <w:sz w:val="20"/>
          <w:szCs w:val="20"/>
        </w:rPr>
        <w:t xml:space="preserve">Sdc1 is the top network hub (degree 16) and localizes to hepatocytes, but DGIdb lists 3 existing interactions (heparin, and the antibody-drug conjugate indatuximab ravtansine) and, more importantly, its only solved structures (e.g., PDB 4GVC/4GVD/6EJE) cover small ectodomain fragments rather than a druggable ligand-binding pocket.</w:t>
      </w:r>
    </w:p>
    <w:p>
      <w:pPr>
        <w:spacing w:after="150" w:line="320"/>
        <w:jc w:val="both"/>
      </w:pPr>
      <w:r>
        <w:rPr>
          <w:sz w:val="20"/>
          <w:szCs w:val="20"/>
        </w:rPr>
        <w:t xml:space="preserve">Sdc4 is the second network hub (degree 14) and also localizes to hepatocytes, but its only solved structures (e.g., PDB 8BLV) resolve the cytoplasmic tail in complex with the syntenin PDZ domain - the opposite side of the membrane from where a secreted ligand such as Angptl4 would engage - and DGIdb's single hit (repotrectinib, an oncology kinase inhibitor) has no plausible mechanistic connection to Sdc4 and is most likely a text-mining artifact.</w:t>
      </w:r>
    </w:p>
    <w:p>
      <w:pPr>
        <w:spacing w:after="150" w:line="320"/>
        <w:jc w:val="both"/>
      </w:pPr>
      <w:r>
        <w:rPr>
          <w:sz w:val="20"/>
          <w:szCs w:val="20"/>
        </w:rPr>
        <w:t xml:space="preserve">Sdc3 has no solved structure at all and zero DGIdb interactions; while genuinely undrugged, it is simply not structurally actionable.</w:t>
      </w:r>
    </w:p>
    <w:p>
      <w:pPr>
        <w:spacing w:after="150" w:line="320"/>
        <w:jc w:val="both"/>
      </w:pPr>
      <w:r>
        <w:rPr>
          <w:sz w:val="20"/>
          <w:szCs w:val="20"/>
        </w:rPr>
        <w:t xml:space="preserve">Cdh5 is an isolated node in the network (linked to Angptl4 only) and localizes to endothelia (the expected, canonical result for this marker, serving as a positive control for the localization method rather than a disease-specific finding). Its one DGIdb hit, FX06, is a fibrin-derived peptide, not a small molecule.</w:t>
      </w:r>
    </w:p>
    <w:p>
      <w:pPr>
        <w:spacing w:after="150" w:line="320"/>
        <w:jc w:val="both"/>
      </w:pPr>
      <w:r>
        <w:rPr>
          <w:sz w:val="20"/>
          <w:szCs w:val="20"/>
        </w:rPr>
        <w:t xml:space="preserve">Angptl4 itself was therefore selected: it has zero DGIdb drug interactions (genuinely undrugged); its C-terminal fibrinogen-like domain has a solved 2.3-A crystal structure (PDB 6EUB) with a visible, ligand-accommodating surface (a pentaethylene glycol molecule from the crystallization buffer occupies this site in the deposited structure, marking a real surface pocket rather than a computationally predicted one); and it is validated by two independent lines of evidence - our own stricter DEG reanalysis (LV upregulated, Section 3.1) and an independent 2024 single-cell study demonstrating cardiac-fibroblast-specific Angptl4 secretion in HFpEF (Li et al., 2024).</w:t>
      </w:r>
    </w:p>
    <w:p>
      <w:pPr>
        <w:spacing w:after="150" w:line="320"/>
        <w:jc w:val="both"/>
      </w:pPr>
      <w:r>
        <w:rPr>
          <w:sz w:val="20"/>
          <w:szCs w:val="20"/>
        </w:rPr>
        <w:t xml:space="preserve">We explicitly note the resulting limitation: this choice reframes the docking target from the network-centrality hub genes (Sdc1/Sdc4) to the ligand itself, purely because of a structural-biology constraint (no usable receptor ectodomain structure), not because the network analysis itself pointed away from the syndecans. Sdc1/Sdc4 remain the top computational hubs of this axis and should be revisited once a structure of their heparan-sulfate-bearing ectodomain becomes available.</w:t>
      </w:r>
    </w:p>
    <w:p>
      <w:pPr>
        <w:pStyle w:val="Heading2"/>
        <w:spacing w:after="100" w:before="200"/>
      </w:pPr>
      <w:r>
        <w:t xml:space="preserve">Text S2. DiffDock cross-check summary</w:t>
      </w:r>
    </w:p>
    <w:p>
      <w:pPr>
        <w:spacing w:after="150" w:line="320"/>
        <w:jc w:val="both"/>
      </w:pPr>
      <w:r>
        <w:rPr>
          <w:sz w:val="20"/>
          <w:szCs w:val="20"/>
        </w:rPr>
        <w:t xml:space="preserve">Three Vina hits were cross-checked with DiffDock: Resmetirom and Ezetimibe (the top two by Vina score), plus Pioglitazone, added because it was independently flagged by STITCH as a genuine ANGPTL4 chemical partner (Section 3.6) rather than purely on its Vina rank.</w:t>
      </w:r>
    </w:p>
    <w:p>
      <w:pPr>
        <w:spacing w:after="150" w:line="320"/>
        <w:jc w:val="both"/>
      </w:pPr>
      <w:r>
        <w:rPr>
          <w:sz w:val="20"/>
          <w:szCs w:val="20"/>
        </w:rPr>
        <w:t xml:space="preserve">Pioglitazone and Ezetimibe emerged as the cross-validated candidates: an orthogonal, box-free method (DiffDock) independently converged on essentially the same surface pocket that Vina was constrained to search for both compounds, with Pioglitazone's top pose 3.9 A from the Vina pocket centroid (confidence -1.06, the best of the three) and Ezetimibe's 3.5 A away (confidence -1.32). The two poses share the majority of their contact residues (Leu304, Leu312, Gly313, Ala314, Leu322, Val324, Gly352, Thr353, His356 in common), and Pioglitazone additionally contacts Ala309, Val317, and Lys381. This overlap, from two chemically unrelated scaffolds docked independently, is itself evidence that the site is a real, druggable pocket rather than a coincidental surface depression.</w:t>
      </w:r>
    </w:p>
    <w:p>
      <w:pPr>
        <w:spacing w:after="150" w:line="320"/>
        <w:jc w:val="both"/>
      </w:pPr>
      <w:r>
        <w:rPr>
          <w:sz w:val="20"/>
          <w:szCs w:val="20"/>
        </w:rPr>
        <w:t xml:space="preserve">Resmetirom scored best on Vina, which only searched the predefined pocket, but DiffDock's unconstrained search preferred a completely different surface region (contact residues Trp280, Asp281, Ile367, Leu374, Tyr387, Tyr388, Pro389). We report this as a genuine discrepancy rather than smoothing it over: Resmetirom's top Vina score should be read as "the best-fitting pose within the pocket we searched," not as strong independent evidence that this is its preferred binding site on ANGPTL4.</w:t>
      </w:r>
    </w:p>
    <w:p>
      <w:pPr>
        <w:spacing w:after="150" w:line="320"/>
        <w:jc w:val="both"/>
      </w:pPr>
      <w:r>
        <w:rPr>
          <w:sz w:val="20"/>
          <w:szCs w:val="20"/>
        </w:rPr>
        <w:t xml:space="preserve">All three DiffDock confidence scores (-2.06 for Resmetirom, -1.32 for Ezetimibe, -1.06 for Pioglitazone) fall within that method's own low-to-moderate confidence range (published benchmarks treat a confidence score above 0 as high-confidence), so none of the three results should be oversold as a confirmed binder - all remain hypothesis-generating leads from this screen, not validated hits. Pioglitazone is nonetheless the most consistently supported of the three across independent lines of in silico evidence (STITCH annotation, Vina rank, and DiffDock pocket convergence).</w:t>
      </w:r>
    </w:p>
    <w:p>
      <w:pPr>
        <w:spacing w:after="150" w:line="320"/>
        <w:jc w:val="both"/>
      </w:pPr>
      <w:r>
        <w:rPr>
          <w:sz w:val="20"/>
          <w:szCs w:val="20"/>
        </w:rPr>
        <w:t xml:space="preserve">DiffDock was not run locally: this machine has no CUDA-capable GPU, and a local from-scratch install (PyTorch, PyTorch Geometric, e3nn, and the ESM protein language model) would have made CPU-only inference impractically slow for even a single complex. Instead, a publicly running DiffDock Gradio Space (swcanner/DiffDock-Web, mirroring the original gcorso/DiffDock inference code) was used via its web interface for the approved top-hit compounds only (Resmetirom, Ezetimibe, Pioglitazone), consistent with the earlier CPU-budget decision to restrict DiffDock to a handful of final candidates rather than the full 21-compound library.</w:t>
      </w:r>
    </w:p>
    <w:p>
      <w:pPr>
        <w:pStyle w:val="Heading2"/>
        <w:pageBreakBefore/>
        <w:spacing w:after="100" w:before="200"/>
      </w:pPr>
      <w:r>
        <w:t xml:space="preserve">Text S3. Methodology of the prior human-cohort analyses cited in this study (GSE135251, GSE136103)</w:t>
      </w:r>
    </w:p>
    <w:p>
      <w:pPr>
        <w:spacing w:after="150" w:line="320"/>
        <w:jc w:val="both"/>
      </w:pPr>
      <w:r>
        <w:rPr>
          <w:sz w:val="20"/>
          <w:szCs w:val="20"/>
        </w:rPr>
        <w:t xml:space="preserve">The Introduction and Methods 2.6 cite two prior human-cohort re-analyses, carried out by the same author as separate, fully version-controlled projects, as the source of (a) the candidate-gene list that motivated this study's broader research program and (b) the human liver scRNA-seq atlas reused in Section 3.5/Figure 5 as an independent cross-species reference. Because those two prior analyses are not otherwise published, this section documents their methodology and results in full, so that this manuscript is self-contained and does not require access to any external project repository to be understood.</w:t>
      </w:r>
    </w:p>
    <w:p>
      <w:pPr>
        <w:spacing w:after="150" w:line="320"/>
        <w:jc w:val="both"/>
      </w:pPr>
      <w:r>
        <w:rPr>
          <w:sz w:val="20"/>
          <w:szCs w:val="20"/>
        </w:rPr>
        <w:t xml:space="preserve">Prior analysis 1 - GSE135251 (bulk RNA-seq, 216 human liver biopsies; Govaere et al., 2020): this public MASLD cohort comprises 206 biopsy-confirmed MASLD/NAFLD patients (fibrosis-staged F0-F4) plus 10 healthy controls. The 10 healthy controls were excluded and the 206 MASLD patients were split into an early-fibrosis group (F0-F1, n=85) and a moderate/advanced-fibrosis group (F2-F4, n=121). Differential expression was computed with DESeq2 (Wald test, apeglm log2FC shrinkage; genes pre-filtered to count&gt;=10 in &gt;=20 samples, 64,258 to 17,421 genes tested), identifying 167 significantly upregulated and 5 significantly downregulated genes in advanced versus early fibrosis (padj&lt;0.05). Gene set enrichment (fgsea, ranked by Wald statistic; MSigDB Hallmark and KEGG_MEDICUS) showed advanced fibrosis enriched for EMT, TNFA/NFKB signaling, and angiogenesis, and depleted for fatty-acid metabolism and oxidative phosphorylation; GO/KEGG over-representation analysis (clusterProfiler) returned extracellular-matrix organization, collagen fibril organization, and integrin signaling as the dominant enriched terms. The 172 significant DEGs were submitted to the STRING API (confidence score&gt;=700) and formed a 157-node, 60-edge network resolving into a chemokine/immune-recruitment module (CXCL8, CXCL1, CXCL6, CCL19, CCL20, CCL21) and a collagen/ECM module anchored on COL1A1. The 15 hub genes (degree&gt;=3) were queried against DGIdb and cross-referenced against a hand-curated list of ~26 already-canonical fibrosis genes (collagens, the core TGF-beta/myofibroblast axis); excluding that canonical set left seven druggable, network-central candidates that had not already been deeply studied in this specific cohort: CCL21, CXCL8, CCL20, EPCAM, LUM, THY1, and THBS2. These seven genes, not literally novel in the broader fibrosis literature but data-driven and network-centrality-ranked in this cohort, are the candidate list referenced in the Introduction.</w:t>
      </w:r>
    </w:p>
    <w:p>
      <w:pPr>
        <w:spacing w:after="150" w:line="320"/>
        <w:jc w:val="both"/>
      </w:pPr>
      <w:r>
        <w:rPr>
          <w:sz w:val="20"/>
          <w:szCs w:val="20"/>
        </w:rPr>
        <w:t xml:space="preserve">Prior analysis 2 - GSE136103 (single-cell RNA-seq atlas construction and localization; Ramachandran et al., 2019): this public dataset comprises 20 human liver 10x samples (5 healthy + 5 cirrhotic patients, CD45+/CD45- sorted fractions; blood and mouse samples in the same GEO series were excluded as not relevant). Cells were quality-filtered per-sample (nFeature_RNA&gt;300, percent.mt&lt;30, following the original paper's Methods), yielding 60,925 cells, then normalized, scaled, PCA'd, and batch-corrected across individual 10x runs with Harmony (RunHarmony, batch = individual sample, converging in 3 iterations; post-integration UMAP confirmed cells mixed by cell type rather than by patient-of-origin). Clusters were called with FindClusters (Harmony embedding, dims 1:15, resolution 0.6), yielding 20 clusters, matching the original paper's reported cluster count at the same resolution. Each cluster was assigned to one of 12 cell lineages (T cell, ILC, MP, B cell, Plasma cell, pDC, Mast cell, Endothelia, Mesenchyme, Hepatocyte, Cholangiocyte, Cycling) by scoring it with Seurat's AddModuleScore against the original paper's own supplementary lineage-signature gene sets and taking the highest-scoring lineage per cluster, with every assignment cross-checked against a marker-gene dotplot before being finalized. This atlas was then used, in the prior analysis, to localize the seven GSE135251-derived candidate genes: LUM, THY1, and THBS2 all localized specifically to the Mesenchyme cluster (hepatic stellate cells/portal fibroblasts) and were each far more expressed in cirrhotic than healthy liver within that same cell type (e.g. THY1, 5.4% to 41.9% of cells expressing); EPCAM localized just as cleanly to Cholangiocytes, consistent with the cirrhosis-associated ductular reaction; CXCL8 and CCL20 did not resolve to one clear producer cell type. A composition-shift test (chi-square plus per-type proportion tests, BH-adjusted) additionally showed Cholangiocyte proportion nearly tripling in cirrhosis (3.2% to 9.1% of cells) and Endothelia more than doubling (8.9% to 19.3%), while Mesenchyme's own proportion slightly decreased (4.6% to 3.0%) even as LUM/THY1/THBS2 expression within that population rose sharply - i.e., the fibrogenic signal reflects activation of existing stellate cells rather than net stellate-cell expansion.</w:t>
      </w:r>
    </w:p>
    <w:p>
      <w:pPr>
        <w:spacing w:after="150" w:line="320"/>
        <w:jc w:val="both"/>
      </w:pPr>
      <w:r>
        <w:rPr>
          <w:sz w:val="20"/>
          <w:szCs w:val="20"/>
        </w:rPr>
        <w:t xml:space="preserve">Relationship to the present study: the present manuscript does not reuse the GSE135251 bulk analysis or its LUM/THY1/THBS2/EPCAM findings at all - that analysis is cited only in the Introduction as motivating background for why a network-centrality-and-druggability screening strategy was judged worth extending to a genuinely inter-organ mouse dataset. The GSE136103 atlas described above, however, is directly reused in Section 3.5/Figure 5 and Supplemental Figure S3 - but in an entirely different role: as an independent, cross-species reference for localizing this study's own candidate genes (Sdc1, Sdc2, Sdc3, Sdc4, Cdh5, Angptl4), which are unrelated to the LUM/THY1/THBS2/EPCAM genes the atlas was originally built to localize. The same limitation flagged in that prior work applies here: GSE135251 and GSE136103 are different patient cohorts with no paired samples, and the present study's own mouse cohort is a third, entirely independent dataset - so every cross-reference among the three (bulk-to-atlas, mouse-to-human) is a plausible biological inference drawn across independent datasets, not a directly matched, within-subject validation. All raw data, analysis code, and full result tables for both prior analyses are version-controlled in their own dedicated repositories (referenced generically above rather than by internal project name, consistent with the rest of this manuscript), and are available from the corresponding author on request.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c115839fcb9d11598af312467bcc6b7d0645c199.png"/><Relationship Id="rId10" Type="http://schemas.openxmlformats.org/officeDocument/2006/relationships/image" Target="media/351ac56ec5686d16c925c54c0f981d9d72495e0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2026-07-15T22:41:55.039Z</dcterms:created>
  <dcterms:modified xsi:type="dcterms:W3CDTF">2026-07-15T22:41:55.039Z</dcterms:modified>
</cp:coreProperties>
</file>

<file path=docProps/custom.xml><?xml version="1.0" encoding="utf-8"?>
<Properties xmlns="http://schemas.openxmlformats.org/officeDocument/2006/custom-properties" xmlns:vt="http://schemas.openxmlformats.org/officeDocument/2006/docPropsVTypes"/>
</file>