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A Heart-to-Liver Angptl4-Sdc/Cdh5 Axis in Cardiohepatic Syndrome: Target Redirection and Structure-Based Repurposing of Ezetimibe and Pioglitazone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Reload the previously constructed and annotated GSE136103 Seurat atlas (construction pipeline in Supplemental Text S3)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(A)/(B)/(C), matching standard journal figure layout.</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Regenerate the Liver heatmap alone (reusing the cached DESeq2 object) with a smaller row font and taller canvas so 86 gene labels no longer overlap.</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Cross-check Sdc1/Sdc4/Sdc3/Cdh5 hepatocyte/Kupffer/endothelial localization directly in mouse tissue using the public Tabula Muris FACS liver atlas, closing the human-only cross-species gap.</w:t>
            </w:r>
          </w:p>
        </w:tc>
      </w:tr>
      <w:tr>
        <w:tc>
          <w:tcPr>
            <w:tcMar>
              <w:top w:type="dxa" w:w="60"/>
              <w:left w:type="dxa" w:w="80"/>
              <w:bottom w:type="dxa" w:w="60"/>
              <w:right w:type="dxa" w:w="80"/>
            </w:tcMar>
          </w:tcPr>
          <w:p>
            <w:r>
              <w:rPr>
                <w:b w:val="false"/>
                <w:bCs w:val="false"/>
                <w:sz w:val="17"/>
                <w:szCs w:val="17"/>
              </w:rPr>
              <w:t xml:space="preserve">20_check_ggraph.R</w:t>
            </w:r>
          </w:p>
        </w:tc>
        <w:tc>
          <w:tcPr>
            <w:tcMar>
              <w:top w:type="dxa" w:w="60"/>
              <w:left w:type="dxa" w:w="80"/>
              <w:bottom w:type="dxa" w:w="60"/>
              <w:right w:type="dxa" w:w="80"/>
            </w:tcMar>
          </w:tcPr>
          <w:p>
            <w:r>
              <w:rPr>
                <w:b w:val="false"/>
                <w:bCs w:val="false"/>
                <w:sz w:val="17"/>
                <w:szCs w:val="17"/>
              </w:rPr>
              <w:t xml:space="preserve">Verify ggraph/tidygraph/ggrepel package availability before rebuilding Figure 4.</w:t>
            </w:r>
          </w:p>
        </w:tc>
      </w:tr>
      <w:tr>
        <w:tc>
          <w:tcPr>
            <w:tcMar>
              <w:top w:type="dxa" w:w="60"/>
              <w:left w:type="dxa" w:w="80"/>
              <w:bottom w:type="dxa" w:w="60"/>
              <w:right w:type="dxa" w:w="80"/>
            </w:tcMar>
          </w:tcPr>
          <w:p>
            <w:r>
              <w:rPr>
                <w:b w:val="false"/>
                <w:bCs w:val="false"/>
                <w:sz w:val="17"/>
                <w:szCs w:val="17"/>
              </w:rPr>
              <w:t xml:space="preserve">21_network_ggraph.R</w:t>
            </w:r>
          </w:p>
        </w:tc>
        <w:tc>
          <w:tcPr>
            <w:tcMar>
              <w:top w:type="dxa" w:w="60"/>
              <w:left w:type="dxa" w:w="80"/>
              <w:bottom w:type="dxa" w:w="60"/>
              <w:right w:type="dxa" w:w="80"/>
            </w:tcMar>
          </w:tcPr>
          <w:p>
            <w:r>
              <w:rPr>
                <w:b w:val="false"/>
                <w:bCs w:val="false"/>
                <w:sz w:val="17"/>
                <w:szCs w:val="17"/>
              </w:rPr>
              <w:t xml:space="preserve">Rebuild Figure 4 (STRING network) with ggraph/tidygraph/ggrepel: node size by degree, edge width/opacity by STRING confidence, and non-overlapping repelled gene labels.</w:t>
            </w:r>
          </w:p>
        </w:tc>
      </w:tr>
      <w:tr>
        <w:tc>
          <w:tcPr>
            <w:tcMar>
              <w:top w:type="dxa" w:w="60"/>
              <w:left w:type="dxa" w:w="80"/>
              <w:bottom w:type="dxa" w:w="60"/>
              <w:right w:type="dxa" w:w="80"/>
            </w:tcMar>
          </w:tcPr>
          <w:p>
            <w:r>
              <w:rPr>
                <w:b w:val="false"/>
                <w:bCs w:val="false"/>
                <w:sz w:val="17"/>
                <w:szCs w:val="17"/>
              </w:rPr>
              <w:t xml:space="preserve">22_check_score_range.R</w:t>
            </w:r>
          </w:p>
        </w:tc>
        <w:tc>
          <w:tcPr>
            <w:tcMar>
              <w:top w:type="dxa" w:w="60"/>
              <w:left w:type="dxa" w:w="80"/>
              <w:bottom w:type="dxa" w:w="60"/>
              <w:right w:type="dxa" w:w="80"/>
            </w:tcMar>
          </w:tcPr>
          <w:p>
            <w:r>
              <w:rPr>
                <w:b w:val="false"/>
                <w:bCs w:val="false"/>
                <w:sz w:val="17"/>
                <w:szCs w:val="17"/>
              </w:rPr>
              <w:t xml:space="preserve">Debug check confirming the STRING edge score column is already a 0-1 fraction (not 0-1000), used to fix a division bug in the initial version of script 21.</w:t>
            </w:r>
          </w:p>
        </w:tc>
      </w:tr>
      <w:tr>
        <w:tc>
          <w:tcPr>
            <w:tcMar>
              <w:top w:type="dxa" w:w="60"/>
              <w:left w:type="dxa" w:w="80"/>
              <w:bottom w:type="dxa" w:w="60"/>
              <w:right w:type="dxa" w:w="80"/>
            </w:tcMar>
          </w:tcPr>
          <w:p>
            <w:r>
              <w:rPr>
                <w:b w:val="false"/>
                <w:bCs w:val="false"/>
                <w:sz w:val="17"/>
                <w:szCs w:val="17"/>
              </w:rPr>
              <w:t xml:space="preserve">23_graphical_abstract.py</w:t>
            </w:r>
          </w:p>
        </w:tc>
        <w:tc>
          <w:tcPr>
            <w:tcMar>
              <w:top w:type="dxa" w:w="60"/>
              <w:left w:type="dxa" w:w="80"/>
              <w:bottom w:type="dxa" w:w="60"/>
              <w:right w:type="dxa" w:w="80"/>
            </w:tcMar>
          </w:tcPr>
          <w:p>
            <w:r>
              <w:rPr>
                <w:b w:val="false"/>
                <w:bCs w:val="false"/>
                <w:sz w:val="17"/>
                <w:szCs w:val="17"/>
              </w:rPr>
              <w:t xml:space="preserve">Render the graphical-abstract pipeline schematic (matplotlib) summarizing the full study workflow, from data to repurposing candidates.</w:t>
            </w:r>
          </w:p>
        </w:tc>
      </w:tr>
      <w:tr>
        <w:tc>
          <w:tcPr>
            <w:tcMar>
              <w:top w:type="dxa" w:w="60"/>
              <w:left w:type="dxa" w:w="80"/>
              <w:bottom w:type="dxa" w:w="60"/>
              <w:right w:type="dxa" w:w="80"/>
            </w:tcMar>
          </w:tcPr>
          <w:p>
            <w:r>
              <w:rPr>
                <w:b w:val="false"/>
                <w:bCs w:val="false"/>
                <w:sz w:val="17"/>
                <w:szCs w:val="17"/>
              </w:rPr>
              <w:t xml:space="preserve">24_gsea_running_score.R</w:t>
            </w:r>
          </w:p>
        </w:tc>
        <w:tc>
          <w:tcPr>
            <w:tcMar>
              <w:top w:type="dxa" w:w="60"/>
              <w:left w:type="dxa" w:w="80"/>
              <w:bottom w:type="dxa" w:w="60"/>
              <w:right w:type="dxa" w:w="80"/>
            </w:tcMar>
          </w:tcPr>
          <w:p>
            <w:r>
              <w:rPr>
                <w:b w:val="false"/>
                <w:bCs w:val="false"/>
                <w:sz w:val="17"/>
                <w:szCs w:val="17"/>
              </w:rPr>
              <w:t xml:space="preserve">Rerun Hallmark GSEA via clusterProfiler::GSEA (identical ranking metric to the fgsea run in script 02) and render classic running-enrichment-score plots (enrichplot::gseaplot2) for the two most significant pathways per organ, added as Figure 3C-F.</w:t>
            </w:r>
          </w:p>
        </w:tc>
      </w:tr>
      <w:tr>
        <w:tc>
          <w:tcPr>
            <w:tcMar>
              <w:top w:type="dxa" w:w="60"/>
              <w:left w:type="dxa" w:w="80"/>
              <w:bottom w:type="dxa" w:w="60"/>
              <w:right w:type="dxa" w:w="80"/>
            </w:tcMar>
          </w:tcPr>
          <w:p>
            <w:r>
              <w:rPr>
                <w:b w:val="false"/>
                <w:bCs w:val="false"/>
                <w:sz w:val="17"/>
                <w:szCs w:val="17"/>
              </w:rPr>
              <w:t xml:space="preserve">25_umap_featureplot_condition.R</w:t>
            </w:r>
          </w:p>
        </w:tc>
        <w:tc>
          <w:tcPr>
            <w:tcMar>
              <w:top w:type="dxa" w:w="60"/>
              <w:left w:type="dxa" w:w="80"/>
              <w:bottom w:type="dxa" w:w="60"/>
              <w:right w:type="dxa" w:w="80"/>
            </w:tcMar>
          </w:tcPr>
          <w:p>
            <w:r>
              <w:rPr>
                <w:b w:val="false"/>
                <w:bCs w:val="false"/>
                <w:sz w:val="17"/>
                <w:szCs w:val="17"/>
              </w:rPr>
              <w:t xml:space="preserve">Generate UMAP FeaturePlot (Seurat, split by condition) for Sdc1/Sdc4/Angptl4 on the GSE136103 atlas; combined with the existing dot plot into Figure S3.</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Vina candidates only (Resmetirom, Ezetimibe, Pioglitazone).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enrichment. (A) Liver (34 significant terms, padj&lt;0.05). (B) LV (10 significant terms, padj&lt;0.05). Complements the Hallmark GSEA in Figure 3 with a complementary, non-overlapping ontology.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Liver KEGG pathway enrichment (9 significant pathways, padj&lt;0.05). No KEGG pathway reached significance in LV under the same threshold, which is reported here rather than omitted.</w:t>
      </w:r>
    </w:p>
    <w:p>
      <w:pPr>
        <w:spacing w:after="100" w:before="200"/>
        <w:jc w:val="center"/>
      </w:pPr>
      <w:r>
        <w:drawing>
          <wp:inline distT="0" distB="0" distL="0" distR="0">
            <wp:extent cx="41529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52900" cy="6667500"/>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GSE136103 cross-species reference atlas, see Methods 2.6 and Supplemental Text S3 for construction). Provided in addition to Figure 5 to show whether localization itself, rather than only expression level, shifts with disease state. (A) Dot plot, all six axis genes, cell types labeled on the y-axis. (B) UMAP feature plots (SDC1, SDC4, ANGPTL4), healthy vs. cirrhotic side by side, showing the same shift as a spread of expressing cells across the embedding rather than a per-cell-type summary; cluster identities match the labeled dot plot in panel A and the annotated UMAP in Supplemental Text S3.</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Independent mouse-native cross-check of Angptl4-axis gene localization (Tabula Muris, FACS/Smart-seq2 liver atlas, n=714 cells, 5 annotated cell types). Sdc4 (91.8%) and Sdc1 (68.3%) were detected predominantly in hepatocytes, Sdc3 in Kupffer cells (80.3%), and Cdh5 in hepatic sinusoidal endothelial cells (98.4%) - reproducing the human-atlas pattern shown in Figure 5 directly in the same species as the bulk cohort.</w:t>
      </w:r>
    </w:p>
    <w:p>
      <w:pPr>
        <w:pStyle w:val="Heading1"/>
        <w:pageBreakBefore/>
        <w:spacing w:after="150" w:before="300"/>
      </w:pPr>
      <w:r>
        <w:t xml:space="preserve">Supplemental Tables</w:t>
      </w:r>
    </w:p>
    <w:p>
      <w:pPr>
        <w:pStyle w:val="Heading2"/>
        <w:spacing w:after="100" w:before="200"/>
      </w:pPr>
      <w:r>
        <w:t xml:space="preserve">Table S1. Full significant DEG list, Liver (n=86, padj&lt;0.01, |log2FC|&gt;1.5)</w:t>
      </w:r>
    </w:p>
    <w:p>
      <w:pPr>
        <w:spacing w:after="150" w:line="300"/>
      </w:pPr>
      <w:r>
        <w:rPr>
          <w:i/>
          <w:iCs/>
          <w:sz w:val="19"/>
          <w:szCs w:val="19"/>
        </w:rPr>
        <w:t xml:space="preserve">Complete Liver DEG table underlying Figure 1A and the 86-gene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Full significant DEG list, LV (n=20, padj&lt;0.01, |log2FC|&gt;1.5)</w:t>
      </w:r>
    </w:p>
    <w:p>
      <w:pPr>
        <w:spacing w:after="150" w:line="300"/>
      </w:pPr>
      <w:r>
        <w:rPr>
          <w:i/>
          <w:iCs/>
          <w:sz w:val="19"/>
          <w:szCs w:val="19"/>
        </w:rPr>
        <w:t xml:space="preserve">Complete LV DEG table underlying Figure 1B and the 20-gene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Liver GO-BP enrichment (full, padj&lt;0.05)</w:t>
      </w:r>
    </w:p>
    <w:p>
      <w:pPr>
        <w:spacing w:after="150" w:line="300"/>
      </w:pPr>
      <w:r>
        <w:rPr>
          <w:i/>
          <w:iCs/>
          <w:sz w:val="19"/>
          <w:szCs w:val="19"/>
        </w:rPr>
        <w:t xml:space="preserve">Complete Liver GO-BP enrichment table underlying Figure S1A.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enrichment (full, padj&lt;0.05)</w:t>
      </w:r>
    </w:p>
    <w:p>
      <w:pPr>
        <w:spacing w:after="150" w:line="300"/>
      </w:pPr>
      <w:r>
        <w:rPr>
          <w:i/>
          <w:iCs/>
          <w:sz w:val="19"/>
          <w:szCs w:val="19"/>
        </w:rPr>
        <w:t xml:space="preserve">Complete LV GO-BP enrichment table underlying Figure S1B.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Liver KEGG pathway enrichment (full, padj&lt;0.05)</w:t>
      </w:r>
    </w:p>
    <w:p>
      <w:pPr>
        <w:spacing w:after="150" w:line="300"/>
      </w:pPr>
      <w:r>
        <w:rPr>
          <w:i/>
          <w:iCs/>
          <w:sz w:val="19"/>
          <w:szCs w:val="19"/>
        </w:rPr>
        <w:t xml:space="preserve">Complete Liver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Full AutoDock Vina ranking (all 21 compounds)</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summary</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Final target selection rationale</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(Li et al., 2024).</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pStyle w:val="Heading2"/>
        <w:spacing w:after="100" w:before="200"/>
      </w:pPr>
      <w:r>
        <w:t xml:space="preserve">Text S2. DiffDock cross-check summary</w:t>
      </w:r>
    </w:p>
    <w:p>
      <w:pPr>
        <w:spacing w:after="150" w:line="320"/>
        <w:jc w:val="both"/>
      </w:pPr>
      <w:r>
        <w:rPr>
          <w:sz w:val="20"/>
          <w:szCs w:val="20"/>
        </w:rPr>
        <w:t xml:space="preserve">Three Vina hits were cross-checked with DiffDock: Resmetirom and Ezetimibe (the top two by Vina score), plus Pioglitazone, added because it was independently flagged by STITCH as a genuine ANGPTL4 chemical partner (Section 3.6) rather than purely on its Vina rank.</w:t>
      </w:r>
    </w:p>
    <w:p>
      <w:pPr>
        <w:spacing w:after="150" w:line="320"/>
        <w:jc w:val="both"/>
      </w:pPr>
      <w:r>
        <w:rPr>
          <w:sz w:val="20"/>
          <w:szCs w:val="20"/>
        </w:rPr>
        <w:t xml:space="preserve">Pioglitazone and Ezetimibe emerged as the cross-validated candidates: an orthogonal, box-free method (DiffDock) independently converged on essentially the same surface pocket that Vina was constrained to search for both compounds, with Pioglitazone's top pose 3.9 A from the Vina pocket centroid (confidence -1.06, the best of the three) and Ezetimibe's 3.5 A away (confidence -1.32). The two poses share the majority of their contact residues (Leu304, Leu312, Gly313, Ala314, Leu322, Val324, Gly352, Thr353, His356 in common), and Pioglitazone additionally contacts Ala309, Val317, and Lys381. This overlap, from two chemically unrelated scaffolds docked independently, is itself evidence that the site is a real, druggable pocket rather than a coincidental surface depression.</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All three DiffDock confidence scores (-2.06 for Resmetirom, -1.32 for Ezetimibe, -1.06 for Pioglitazone) fall within that method's own low-to-moderate confidence range (published benchmarks treat a confidence score above 0 as high-confidence), so none of the three results should be oversold as a confirmed binder - all remain hypothesis-generating leads from this screen, not validated hits. Pioglitazone is nonetheless the most consistently supported of the three across independent lines of in silico evidence (STITCH annotation, Vina rank, and DiffDock pocket convergence).</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approved top-hit compounds only (Resmetirom, Ezetimibe, Pioglitazone), consistent with the earlier CPU-budget decision to restrict DiffDock to a handful of final candidates rather than the full 21-compound library.</w:t>
      </w:r>
    </w:p>
    <w:p>
      <w:pPr>
        <w:pStyle w:val="Heading2"/>
        <w:pageBreakBefore/>
        <w:spacing w:after="100" w:before="200"/>
      </w:pPr>
      <w:r>
        <w:t xml:space="preserve">Text S3. Methodology of the prior human-cohort analyses cited in this study (GSE135251, GSE136103)</w:t>
      </w:r>
    </w:p>
    <w:p>
      <w:pPr>
        <w:spacing w:after="150" w:line="320"/>
        <w:jc w:val="both"/>
      </w:pPr>
      <w:r>
        <w:rPr>
          <w:sz w:val="20"/>
          <w:szCs w:val="20"/>
        </w:rPr>
        <w:t xml:space="preserve">The Introduction and Methods 2.6 cite two prior human-cohort re-analyses, carried out by the same author as separate, fully version-controlled projects, as the source of (a) the candidate-gene list that motivated this study's broader research program and (b) the human liver scRNA-seq atlas reused in Section 3.5/Figure 5 as an independent cross-species reference. Because those two prior analyses are not otherwise published, this section documents their methodology and results in full, with the key figures from each, so that this manuscript is self-contained and does not require access to any external project repository to be understood.</w:t>
      </w:r>
    </w:p>
    <w:p>
      <w:pPr>
        <w:spacing w:after="150" w:line="320"/>
        <w:jc w:val="both"/>
      </w:pPr>
      <w:r>
        <w:rPr>
          <w:sz w:val="20"/>
          <w:szCs w:val="20"/>
        </w:rPr>
        <w:t xml:space="preserve">Prior analysis 1 - GSE135251 (bulk RNA-seq, 216 human liver biopsies; Govaere et al., 2020): this public MASLD cohort comprises 206 biopsy-confirmed MASLD/NAFLD patients (fibrosis-staged F0-F4) plus 10 healthy controls. The 10 healthy controls were excluded and the 206 MASLD patients were split into an early-fibrosis group (F0-F1, n=85) and a moderate/advanced-fibrosis group (F2-F4, n=121). Differential expression was computed with DESeq2 (Wald test, apeglm log2FC shrinkage; genes pre-filtered to count&gt;=10 in &gt;=20 samples, 64,258 to 17,421 genes tested), identifying 167 significantly upregulated and 5 significantly downregulated genes in advanced versus early fibrosis (padj&lt;0.05). Gene set enrichment (fgsea, ranked by Wald statistic; MSigDB Hallmark and KEGG_MEDICUS) showed advanced fibrosis enriched for EMT, TNFA/NFKB signaling, and angiogenesis, and depleted for fatty-acid metabolism and oxidative phosphorylation; GO/KEGG over-representation analysis (clusterProfiler) returned extracellular-matrix organization, collagen fibril organization, and integrin signaling as the dominant enriched terms. The 172 significant DEGs were submitted to the STRING API (confidence score&gt;=700) and formed a 157-node, 60-edge network resolving into a chemokine/immune-recruitment module (CXCL8, CXCL1, CXCL6, CCL19, CCL20, CCL21) and a collagen/ECM module anchored on COL1A1 (below). The 15 hub genes (degree&gt;=3) were queried against DGIdb and cross-referenced against a hand-curated list of ~26 already-canonical fibrosis genes (collagens, the core TGF-beta/myofibroblast axis); excluding that canonical set left seven druggable, network-central candidates that had not already been deeply studied in this specific cohort: CCL21, CXCL8, CCL20, EPCAM, LUM, THY1, and THBS2. These seven genes, not literally novel in the broader fibrosis literature but data-driven and network-centrality-ranked in this cohort, are the candidate list referenced in the Introduction.</w:t>
      </w:r>
    </w:p>
    <w:p>
      <w:pPr>
        <w:spacing w:after="100" w:before="20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300"/>
        <w:jc w:val="center"/>
      </w:pPr>
      <w:r>
        <w:rPr>
          <w:i/>
          <w:iCs/>
          <w:sz w:val="18"/>
          <w:szCs w:val="18"/>
        </w:rPr>
        <w:t xml:space="preserve">GSE135251 hub-gene PPI network (prior analysis 1). Red: the seven novel druggable candidates; blue: canonical fibrosis genes / not druggable. Two modules resolve: a chemokine/immune-recruitment cluster and a collagen/ECM cluster anchored on COL1A1.</w:t>
      </w:r>
    </w:p>
    <w:p>
      <w:pPr>
        <w:spacing w:after="150" w:line="320"/>
        <w:jc w:val="both"/>
      </w:pPr>
      <w:r>
        <w:rPr>
          <w:sz w:val="20"/>
          <w:szCs w:val="20"/>
        </w:rPr>
        <w:t xml:space="preserve">Prior analysis 2 - GSE136103 (single-cell RNA-seq atlas construction and localization; Ramachandran et al., 2019): this public dataset comprises 20 human liver 10x samples (5 healthy + 5 cirrhotic patients, CD45+/CD45- sorted fractions; blood and mouse samples in the same GEO series were excluded as not relevant). Cells were quality-filtered per-sample (nFeature_RNA&gt;300, percent.mt&lt;30, following the original paper's Methods), yielding 60,925 cells, then normalized, scaled, PCA'd, and batch-corrected across individual 10x runs with Harmony (RunHarmony, batch = individual sample, converging in 3 iterations; post-integration UMAP confirmed cells mixed by cell type rather than by patient-of-origin). Clusters were called with FindClusters (Harmony embedding, dims 1:15, resolution 0.6), yielding 20 clusters, matching the original paper's reported cluster count at the same resolution. Each cluster was assigned to one of 12 cell lineages (T cell, ILC, MP, B cell, Plasma cell, pDC, Mast cell, Endothelia, Mesenchyme, Hepatocyte, Cholangiocyte, Cycling) by scoring it with Seurat's AddModuleScore against the original paper's own supplementary lineage-signature gene sets and taking the highest-scoring lineage per cluster, with every assignment cross-checked against a marker-gene dotplot before being finalized (annotated UMAP below - the same embedding reused for the Figure S3B feature plots in the main analysis).</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GSE136103 annotated UMAP (prior analysis 2), 12 cell lineages, 60,925 cells. This is the same embedding underlying Figure 5, Figure S3, and the FeaturePlots in Figure S3B.</w:t>
      </w:r>
    </w:p>
    <w:p>
      <w:pPr>
        <w:spacing w:after="150" w:line="320"/>
        <w:jc w:val="both"/>
      </w:pPr>
      <w:r>
        <w:rPr>
          <w:sz w:val="20"/>
          <w:szCs w:val="20"/>
        </w:rPr>
        <w:t xml:space="preserve">This atlas was then used, in the prior analysis, to localize the seven GSE135251-derived candidate genes (below): LUM, THY1, and THBS2 all localized specifically to the Mesenchyme cluster (hepatic stellate cells/portal fibroblasts) and were each far more expressed in cirrhotic than healthy liver within that same cell type (e.g. THY1, 5.4% to 41.9% of cells expressing); EPCAM localized just as cleanly to Cholangiocytes, consistent with the cirrhosis-associated ductular reaction; CXCL8 and CCL20 did not resolve to one clear producer cell type.</w:t>
      </w:r>
    </w:p>
    <w:p>
      <w:pPr>
        <w:spacing w:after="100" w:before="200"/>
        <w:jc w:val="center"/>
      </w:pPr>
      <w:r>
        <w:drawing>
          <wp:inline distT="0" distB="0" distL="0" distR="0">
            <wp:extent cx="5734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591050"/>
                    </a:xfrm>
                    <a:prstGeom prst="rect">
                      <a:avLst/>
                    </a:prstGeom>
                  </pic:spPr>
                </pic:pic>
              </a:graphicData>
            </a:graphic>
          </wp:inline>
        </w:drawing>
      </w:r>
    </w:p>
    <w:p>
      <w:pPr>
        <w:spacing w:after="300"/>
        <w:jc w:val="center"/>
      </w:pPr>
      <w:r>
        <w:rPr>
          <w:i/>
          <w:iCs/>
          <w:sz w:val="18"/>
          <w:szCs w:val="18"/>
        </w:rPr>
        <w:t xml:space="preserve">GSE136103 localization of the seven GSE135251-derived candidate genes (prior analysis 2), split by condition. LUM/THY1/THBS2 localize to Mesenchyme and rise sharply in cirrhosis; EPCAM localizes to Cholangiocyte.</w:t>
      </w:r>
    </w:p>
    <w:p>
      <w:pPr>
        <w:spacing w:after="150" w:line="320"/>
        <w:jc w:val="both"/>
      </w:pPr>
      <w:r>
        <w:rPr>
          <w:sz w:val="20"/>
          <w:szCs w:val="20"/>
        </w:rPr>
        <w:t xml:space="preserve">A composition-shift test (chi-square plus per-type proportion tests, BH-adjusted) additionally showed Cholangiocyte proportion nearly tripling in cirrhosis (3.2% to 9.1% of cells) and Endothelia more than doubling (8.9% to 19.3%), while Mesenchyme's own proportion slightly decreased (4.6% to 3.0%) even as LUM/THY1/THBS2 expression within that population rose sharply - i.e., the fibrogenic signal reflects activation of existing stellate cells rather than net stellate-cell expansion.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GSE136103 cell-type composition, healthy vs. cirrhotic (prior analysis 2). Cholangiocyte and Endothelia proportions rise with cirrhosis; Mesenchyme's proportion does not, despite its rising fibrogenic gene expression - activation, not expansion.</w:t>
      </w:r>
    </w:p>
    <w:p>
      <w:pPr>
        <w:spacing w:after="150" w:line="320"/>
        <w:jc w:val="both"/>
      </w:pPr>
      <w:r>
        <w:rPr>
          <w:sz w:val="20"/>
          <w:szCs w:val="20"/>
        </w:rPr>
        <w:t xml:space="preserve">Relationship to the present study: the present manuscript does not reuse the GSE135251 bulk analysis or its LUM/THY1/THBS2/EPCAM findings at all - that analysis is cited only in the Introduction as motivating background for why a network-centrality-and-druggability screening strategy was judged worth extending to a genuinely inter-organ mouse dataset. The GSE136103 atlas described above, however, is directly reused in Section 3.5/Figure 5 and Supplemental Figure S3 - but in an entirely different role: as an independent, cross-species reference for localizing this study's own candidate genes (Sdc1, Sdc2, Sdc3, Sdc4, Cdh5, Angptl4), which are unrelated to the LUM/THY1/THBS2/EPCAM genes the atlas was originally built to localize. The same limitation flagged in that prior work applies here: GSE135251 and GSE136103 are different patient cohorts with no paired samples, and the present study's own mouse cohort is a third, entirely independent dataset - so every cross-reference among the three (bulk-to-atlas, mouse-to-human) is a plausible biological inference drawn across independent datasets, not a directly matched, within-subject validation. All raw data, analysis code, and full result tables for both prior analyses are version-controlled in their own dedicated repositories (referenced generically above rather than by internal project name, consistent with the rest of this manuscript), and are available from the corresponding author on request.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5f241894cf8527da25a083876b6bf48df052c39b.png"/><Relationship Id="rId10" Type="http://schemas.openxmlformats.org/officeDocument/2006/relationships/image" Target="media/351ac56ec5686d16c925c54c0f981d9d72495e09.png"/><Relationship Id="rId11" Type="http://schemas.openxmlformats.org/officeDocument/2006/relationships/image" Target="media/f48637a8e2b18376e250adf84cee13a7dcbbdc87.png"/><Relationship Id="rId12" Type="http://schemas.openxmlformats.org/officeDocument/2006/relationships/image" Target="media/676e19a1eb2b768705e15802b5b288b50718c68a.png"/><Relationship Id="rId13" Type="http://schemas.openxmlformats.org/officeDocument/2006/relationships/image" Target="media/9a951b02dfce85f6943ccda73d7cc32b99951b5c.png"/><Relationship Id="rId14" Type="http://schemas.openxmlformats.org/officeDocument/2006/relationships/image" Target="media/92f12a71e162440c5e3ef9c51ba7cf00287cfef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2026-07-18T08:08:20.761Z</dcterms:created>
  <dcterms:modified xsi:type="dcterms:W3CDTF">2026-07-18T08:08:20.761Z</dcterms:modified>
</cp:coreProperties>
</file>

<file path=docProps/custom.xml><?xml version="1.0" encoding="utf-8"?>
<Properties xmlns="http://schemas.openxmlformats.org/officeDocument/2006/custom-properties" xmlns:vt="http://schemas.openxmlformats.org/officeDocument/2006/docPropsVTypes"/>
</file>