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A Heart-to-Liver Angptl4-Sdc/Cdh5 Axis in Cardiohepatic Syndrome: Target Redirection and Structure-Based Repurposing of Ezetimibe and Pioglitazone</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ranked Resmetirom (the first FDA-approved MASH drug), Ezetimibe, and Pioglitazone as the top three hits (-9.07, -8.88, and -8.28 kcal/mol). Cross-checking these three with box-free DiffDock showed Pioglitazone (confidence -1.06, best of the three) and Ezetimibe (-1.32) both converging within 4 A of the Vina-defined pocket, while Resmetirom's pose landed 23.5 A away at a distinct site - reframing Pioglitazone and Ezetimibe, not the top Vina scorer, as the structurally cross-validated candidates, with Pioglitazone further backed by an independent STITCH-annotated ANGPTL4 association.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Paired liver/left-ventricle transcriptomics reversed the hypothesized signaling direction, identifying a heart-to-liver Angptl4-Sdc/Cdh5 axis; network centrality pointed to Sdc1/Sdc4 as hubs, but the absence of extracellular-domain crystal structures redirected structure-based screening to ANGPTL4 itself (PDB 6EUB), yielding Ezetimibe and Pioglitazone as convergent repurposing candidates across STITCH, AutoDock Vina, and DiffDock.</w:t>
      </w:r>
    </w:p>
    <w:p>
      <w:pPr>
        <w:pStyle w:val="Heading1"/>
        <w:pageBreakBefore/>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w:t>
      </w:r>
      <w:hyperlink w:history="1" r:id="rIdpf-zhuibare4wyrfra0ns">
        <w:r>
          <w:rPr>
            <w:color w:val="0563C1"/>
            <w:sz w:val="22"/>
            <w:szCs w:val="22"/>
            <w:u w:val="single"/>
          </w:rPr>
          <w:t xml:space="preserve">Rinella et al., 2023</w:t>
        </w:r>
      </w:hyperlink>
      <w:r>
        <w:rPr>
          <w:sz w:val="22"/>
          <w:szCs w:val="22"/>
        </w:rPr>
        <w:t xml:space="preserve">).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w:t>
      </w:r>
      <w:hyperlink w:history="1" r:id="rId0cevo44xyfu-lnrlh4p1j">
        <w:r>
          <w:rPr>
            <w:color w:val="0563C1"/>
            <w:sz w:val="22"/>
            <w:szCs w:val="22"/>
            <w:u w:val="single"/>
          </w:rPr>
          <w:t xml:space="preserve">Strocchi et al., 2024</w:t>
        </w:r>
      </w:hyperlink>
      <w:r>
        <w:rPr>
          <w:sz w:val="22"/>
          <w:szCs w:val="22"/>
        </w:rPr>
        <w:t xml:space="preserve">). A follow-up study used hepatocyte-specific secretome labeling to show that the liver's secreted cytokine signature is altered under HFpEF (</w:t>
      </w:r>
      <w:hyperlink w:history="1" r:id="rIdojctvbxcz7hylgox0fcz6">
        <w:r>
          <w:rPr>
            <w:color w:val="0563C1"/>
            <w:sz w:val="22"/>
            <w:szCs w:val="22"/>
            <w:u w:val="single"/>
          </w:rPr>
          <w:t xml:space="preserve">Schütte et al., 2025</w:t>
        </w:r>
      </w:hyperlink>
      <w:r>
        <w:rPr>
          <w:sz w:val="22"/>
          <w:szCs w:val="22"/>
        </w:rPr>
        <w:t xml:space="preserve">).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This study's investigation proceeded in three stages. First, we reanalyzed a public human MASLD liver-fibrosis cohort (GSE135251, Govaere et al.; 216 liver biopsies, early F0-F1 vs. moderate/advanced F2-F4 fibrosis) by bulk DESeq2 differential expression, a STRING PPI network restricted to hub genes (degree&gt;=3), and a DGIdb druggability screen that excluded already-canonical fibrosis genes (collagens, the core TGF-beta/myofibroblast axis) to surface seven under-explored druggable candidates: CCL21, CXCL8, CCL20, EPCAM, LUM, THY1, and THBS2. Second, we built and annotated a human liver single-cell atlas from scratch (GSE136103, </w:t>
      </w:r>
      <w:hyperlink w:history="1" r:id="rIdgc5gfvigvevhconh0weay">
        <w:r>
          <w:rPr>
            <w:color w:val="0563C1"/>
            <w:sz w:val="22"/>
            <w:szCs w:val="22"/>
            <w:u w:val="single"/>
          </w:rPr>
          <w:t xml:space="preserve">Ramachandran et al., 2019</w:t>
        </w:r>
      </w:hyperlink>
      <w:r>
        <w:rPr>
          <w:sz w:val="22"/>
          <w:szCs w:val="22"/>
        </w:rPr>
        <w:t xml:space="preserve">, Nature; a human liver cirrhosis single-cell dataset; quality control, Harmony batch integration, clustering, and lineage-signature-based cell-type annotation - full pipeline in Methods 2.6) to localize three of those seven genes (LUM, THY1, THBS2) to activated hepatic stellate cells and to characterize their upstream transcription-factor/miRNA regulators and cell-cell communication partners. Full methodological detail for both analyses, written so as to stand on their own, is provided in Supplemental Text S3. Third, and central to this study, we set out to reanalyze the paired mouse liver-heart dataset described below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 extending the program above by moving from human to mouse and from a single-organ (liver) to a genuinely inter-organ (liver-heart) axis; the GSE136103 atlas built in the second stage is reused here in an entirely different role, as an independent cross-species reference for localizing this study's own candidate genes (Section 3.5), not as a source of the candidate genes themselves.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w:t>
      </w:r>
      <w:hyperlink w:history="1" r:id="rIdqarapg-ea_rvx4vx9txw2">
        <w:r>
          <w:rPr>
            <w:color w:val="0563C1"/>
            <w:sz w:val="22"/>
            <w:szCs w:val="22"/>
            <w:u w:val="single"/>
          </w:rPr>
          <w:t xml:space="preserve">Love et al., 2014</w:t>
        </w:r>
      </w:hyperlink>
      <w:r>
        <w:rPr>
          <w:sz w:val="22"/>
          <w:szCs w:val="22"/>
        </w:rPr>
        <w:t xml:space="preserve">) was applied independently to each organ. Genes were pre-filtered to those with a raw count ≥10 in at least 5 of the 10 samples, and log2 fold changes were shrunk using apeglm (</w:t>
      </w:r>
      <w:hyperlink w:history="1" r:id="rId7iklluakpkktsqsr7pdjm">
        <w:r>
          <w:rPr>
            <w:color w:val="0563C1"/>
            <w:sz w:val="22"/>
            <w:szCs w:val="22"/>
            <w:u w:val="single"/>
          </w:rPr>
          <w:t xml:space="preserve">Zhu et al., 2019</w:t>
        </w:r>
      </w:hyperlink>
      <w:r>
        <w:rPr>
          <w:sz w:val="22"/>
          <w:szCs w:val="22"/>
        </w:rPr>
        <w:t xml:space="preserve">).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w:t>
      </w:r>
      <w:hyperlink w:history="1" r:id="rIdbki2byf3a9qv0vgw5btol">
        <w:r>
          <w:rPr>
            <w:color w:val="0563C1"/>
            <w:sz w:val="22"/>
            <w:szCs w:val="22"/>
            <w:u w:val="single"/>
          </w:rPr>
          <w:t xml:space="preserve">Korotkevich et al., 2019</w:t>
        </w:r>
      </w:hyperlink>
      <w:r>
        <w:rPr>
          <w:sz w:val="22"/>
          <w:szCs w:val="22"/>
        </w:rPr>
        <w:t xml:space="preserve">). Because apeglm-shrunk results omit the Wald statistic, the ranking metric was reconstructed as sign(log2FC) x (-log10 p-value). For the significant DEG lists, clusterProfiler (</w:t>
      </w:r>
      <w:hyperlink w:history="1" r:id="rIdgyvv3sa7lhk5p-zz0kol_">
        <w:r>
          <w:rPr>
            <w:color w:val="0563C1"/>
            <w:sz w:val="22"/>
            <w:szCs w:val="22"/>
            <w:u w:val="single"/>
          </w:rPr>
          <w:t xml:space="preserve">Wu et al., 2021</w:t>
        </w:r>
      </w:hyperlink>
      <w:r>
        <w:rPr>
          <w:sz w:val="22"/>
          <w:szCs w:val="22"/>
        </w:rPr>
        <w:t xml:space="preserve">)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w:t>
      </w:r>
      <w:hyperlink w:history="1" r:id="rIdj98synevhv5thadwlzlc2">
        <w:r>
          <w:rPr>
            <w:color w:val="0563C1"/>
            <w:sz w:val="22"/>
            <w:szCs w:val="22"/>
            <w:u w:val="single"/>
          </w:rPr>
          <w:t xml:space="preserve">Jin et al., 2021</w:t>
        </w:r>
      </w:hyperlink>
      <w:r>
        <w:rPr>
          <w:sz w:val="22"/>
          <w:szCs w:val="22"/>
        </w:rPr>
        <w:t xml:space="preserve">).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w:t>
      </w:r>
      <w:hyperlink w:history="1" r:id="rIdbu_ohiobttr8cc5zuqay3">
        <w:r>
          <w:rPr>
            <w:color w:val="0563C1"/>
            <w:sz w:val="22"/>
            <w:szCs w:val="22"/>
            <w:u w:val="single"/>
          </w:rPr>
          <w:t xml:space="preserve">Szklarczyk et al., 2023</w:t>
        </w:r>
      </w:hyperlink>
      <w:r>
        <w:rPr>
          <w:sz w:val="22"/>
          <w:szCs w:val="22"/>
        </w:rPr>
        <w:t xml:space="preserve">;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independently-annotated human liver scRNA-seq atlas that we constructed, as an earlier stage of this study, from the public GSE136103 dataset (</w:t>
      </w:r>
      <w:hyperlink w:history="1" r:id="rIdja1udr5gajigavvowp8cf">
        <w:r>
          <w:rPr>
            <w:color w:val="0563C1"/>
            <w:sz w:val="22"/>
            <w:szCs w:val="22"/>
            <w:u w:val="single"/>
          </w:rPr>
          <w:t xml:space="preserve">Ramachandran et al., 2019</w:t>
        </w:r>
      </w:hyperlink>
      <w:r>
        <w:rPr>
          <w:sz w:val="22"/>
          <w:szCs w:val="22"/>
        </w:rPr>
        <w:t xml:space="preserve">; 20 human liver 10x samples, 5 healthy + 5 cirrhotic, CD45+/CD45- sorted fractions). Briefly, the atlas was constructed as follows: reads were quality-filtered per-sample (nFeature_RNA&gt;300, percent.mt&lt;30, following the original paper's Methods), yielding 60,925 cells; samples were merged and batch-corrected across individual 10x runs with Harmony (RunHarmony, converging in 3 iterations); clusters were called with FindClusters (Harmony embedding, dims 1:15, resolution 0.6, yielding 20 clusters, matching the original paper's reported cluster count at the same resolution); and each cluster was assigned to one of 12 cell lineages by scoring it against the original paper's own supplementary lineage-signature gene sets with Seurat's AddModuleScore, taking the highest-scoring lineage per cluster and cross-checking every assignment against a marker-gene dotplot before finalizing it. This atlas is used here strictly as an independent, cross-species reference for localizing this study's own candidate genes, not pooled into any statistical test. The complete construction pipeline, including quality-control figures and the cluster-annotation table, is described in full in Supplemental Text S3.</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w:t>
      </w:r>
      <w:hyperlink w:history="1" r:id="rId_uoeurkpgp354fviosc2a">
        <w:r>
          <w:rPr>
            <w:color w:val="0563C1"/>
            <w:sz w:val="22"/>
            <w:szCs w:val="22"/>
            <w:u w:val="single"/>
          </w:rPr>
          <w:t xml:space="preserve">Szklarczyk et al., 2016</w:t>
        </w:r>
      </w:hyperlink>
      <w:r>
        <w:rPr>
          <w:sz w:val="22"/>
          <w:szCs w:val="22"/>
        </w:rPr>
        <w:t xml:space="preserve">) for known or predicted chemical interactions, with compound names resolved via the PubChem PUG-REST API. Druggability was assessed via the DGIdb 5.0 GraphQL API (</w:t>
      </w:r>
      <w:hyperlink w:history="1" r:id="rIdnfmaxs9u17sbupgaqt3lo">
        <w:r>
          <w:rPr>
            <w:color w:val="0563C1"/>
            <w:sz w:val="22"/>
            <w:szCs w:val="22"/>
            <w:u w:val="single"/>
          </w:rPr>
          <w:t xml:space="preserve">Cannon et al., 2024</w:t>
        </w:r>
      </w:hyperlink>
      <w:r>
        <w:rPr>
          <w:sz w:val="22"/>
          <w:szCs w:val="22"/>
        </w:rPr>
        <w:t xml:space="preserve">),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w:t>
      </w:r>
      <w:hyperlink w:history="1" r:id="rIdlb28-dckcqgpy446uzini">
        <w:r>
          <w:rPr>
            <w:color w:val="0563C1"/>
            <w:sz w:val="22"/>
            <w:szCs w:val="22"/>
            <w:u w:val="single"/>
          </w:rPr>
          <w:t xml:space="preserve">Eberhardt et al., 2021</w:t>
        </w:r>
      </w:hyperlink>
      <w:r>
        <w:rPr>
          <w:sz w:val="22"/>
          <w:szCs w:val="22"/>
        </w:rPr>
        <w:t xml:space="preserve">)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w:t>
      </w:r>
      <w:hyperlink w:history="1" r:id="rIduteebujmaxkzake0weyon">
        <w:r>
          <w:rPr>
            <w:color w:val="0563C1"/>
            <w:sz w:val="22"/>
            <w:szCs w:val="22"/>
            <w:u w:val="single"/>
          </w:rPr>
          <w:t xml:space="preserve">Corso et al., 2023</w:t>
        </w:r>
      </w:hyperlink>
      <w:r>
        <w:rPr>
          <w:sz w:val="22"/>
          <w:szCs w:val="22"/>
        </w:rPr>
        <w:t xml:space="preserve">) installation was judged impractical for CPU-only inference. Instead, a publicly hosted Gradio Space running the original inference code (gcorso/DiffDock; mirrored at swcanner/DiffDock-Web) was used to cross-validate the top Vina hits (Resmetirom, Ezetimibe, and Pioglitazone - the last added because it was independently flagged by STITCH as a genuine ANGPTL4 chemical partner)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w:t>
      </w:r>
      <w:hyperlink w:history="1" r:id="rIdb4rdlyrgpxu1f0mindot2">
        <w:r>
          <w:rPr>
            <w:color w:val="0563C1"/>
            <w:sz w:val="22"/>
            <w:szCs w:val="22"/>
            <w:u w:val="single"/>
          </w:rPr>
          <w:t xml:space="preserve">Strocchi et al., 2024</w:t>
        </w:r>
      </w:hyperlink>
      <w:r>
        <w:rPr>
          <w:sz w:val="22"/>
          <w:szCs w:val="22"/>
        </w:rPr>
        <w:t xml:space="preserve">),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To examine the shape of these enrichment signals directly rather than only their summary NES, we show classic running-enrichment-score plots for the two most significant pathways per organ (Figure 3C-F): in the liver, MTORC1_SIGNALING and CHOLESTEROL_HOMEOSTASIS both show a sharply front-loaded negative running score with no crossing back toward zero, indicating a clean, concentrated depletion signal rather than a diffuse one; in the LV, ADIPOGENESIS and FATTY_ACID_METABOLISM show the mirror-image pattern - an immediate, sustained positive enrichment - consistent with a coherent metabolic shift rather than a handful of outlier genes driving the signal.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gene set enrichment analysis (GSEA). (A) Liver and (B) LV bar charts show the normalized enrichment score (NES) for every pathway significant at padj&lt;0.05. (C-F) Classic GSEA running-enrichment-score plots (green line: running ES; black ticks: gene-set hits; red-blue bar: ranked-list position; grey: ranking-metric magnitude) for the two most significant pathways per organ: (C) Liver MTORC1_SIGNALING, (D) Liver CHOLESTEROL_HOMEOSTASIS, (E) LV ADIPOGENESIS, (F) LV FATTY_ACID_METABOLISM.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 edge width and opacity scale with STRING confidence score.</w:t>
      </w:r>
    </w:p>
    <w:p>
      <w:pPr>
        <w:pStyle w:val="Heading2"/>
        <w:spacing w:after="100" w:before="200"/>
      </w:pPr>
      <w:r>
        <w:t xml:space="preserve">3.5 Cross-species cell-type localization</w:t>
      </w:r>
    </w:p>
    <w:p>
      <w:pPr>
        <w:spacing w:after="200" w:line="360"/>
        <w:jc w:val="both"/>
      </w:pPr>
      <w:r>
        <w:rPr>
          <w:sz w:val="22"/>
          <w:szCs w:val="22"/>
        </w:rPr>
        <w:t xml:space="preserve">Using the human liver scRNA-seq atlas constructed as an earlier stage of this study (GSE136103; atlas construction pipeline in Methods 2.6 and Supplemental Text S3)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 Because this reference is human, we additionally queried an independent mouse liver atlas (Tabula Muris, FACS/Smart-seq2, n=714 cells) to confirm the localization directly in the same species as our bulk cohort. This mouse-native check reproduced the human pattern almost exactly: Sdc4 was detected in 91.8% of hepatocytes, Sdc1 in 68.3%, Sdc3 in 80.3% of Kupffer cells, and Cdh5 in 98.4% of hepatic sinusoidal endothelial cells (Supplemental Figure S4). The convergence of network centrality, human scRNA-seq, and an independent mouse scRNA-seq atlas on the same cell-type assignments substantially strengthens confidence in this localization.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(human liver cirrhosis scRNA-seq atlas, GSE136103; construction pipeline in Methods 2.6 and Supplemental Text S3).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Biterova et al., 2018), and it is independently validated both by our own DEG analysis and by a 2024 single-cell study demonstrating cardiac-fibroblast-specific ANGPTL4 secretion in HFpEF (</w:t>
      </w:r>
      <w:hyperlink w:history="1" r:id="rIdiewffhqanuuy0lnvs-qck">
        <w:r>
          <w:rPr>
            <w:color w:val="0563C1"/>
            <w:sz w:val="22"/>
            <w:szCs w:val="22"/>
            <w:u w:val="single"/>
          </w:rPr>
          <w:t xml:space="preserve">Li et al., 2024</w:t>
        </w:r>
      </w:hyperlink>
      <w:r>
        <w:rPr>
          <w:sz w:val="22"/>
          <w:szCs w:val="22"/>
        </w:rPr>
        <w:t xml:space="preserve">) (full rationale in Supplemental Text S1).</w:t>
      </w:r>
    </w:p>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three Vina hits - Resmetirom, Ezetimibe, and Pioglitazone (the last included because it was independently flagged by STITCH as a genuine ANGPTL4 chemical partner; Section 3.6) - produced an informative split. Pioglitazone's top-ranked pose (confidence -1.06, the best of the three) fell 3.9 A from the Vina-defined pocket centroid, and Ezetimibe's top-ranked pose (confidence -1.32) fell within 3.5 A of the same centroid (Figure 7A, 7B) - two chemically unrelated compounds, docked independently with a method that searches the entire protein surface, both converged on essentially the same site, with substantially overlapping contact residues (Leu304, Leu312, Gly313, Ala314, Leu322, Val324, Gly352, Thr353, His356 are shared between the two poses). Resmetirom's top-ranked pose (confidence -2.06), by contrast, localized 23.5 A away at an entirely different surface region (Figure 7C; Supplemental Text S2 gives full contact-residue detail for all three). All three DiffDock confidence values fall within that method's low-to-moderate range and should not be over-interpreted as confirmed binding; nonetheless, on a strictly comparative basis, Pioglitazone and Ezetimibe - not the top Vina scorer - emerge as the structurally consistent candidates across two independent docking algorithms, and Pioglitazone in particular is now supported by three independent lines of evidence (a real STITCH-annotated chemical association, a top-5 Vina score, and a DiffDock pose that converges on the same site as Vina).</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Structure-based docking poses of the top three AutoDock Vina hits, cross-validated by DiffDock. (A) Pioglitazone (DiffDock confidence -1.06, the best of the three), converging within 3.9 A of the Vina-defined pocket; contact residues Leu304, Ala309, Leu312, Gly313, Ala314, Val317, Leu322, Val324, Gly352, Thr353, His356, Lys381. (B) Ezetimibe (DiffDock confidence -1.32), converging within 3.5 A of the same pocket; contact residues Leu304, Leu312, Gly313, Ala314, Leu322, Ser323, Val324, Trp349, Trp350, Gly352, Thr353, His356. (C) Resmetirom (DiffDock confidence -2.06), 23.5 A from the Vina-defined pocket at a distinct site; contact residues Trp280, Asp281, Ile367, Leu374, Tyr387, Tyr388, Pro389.</w:t>
      </w:r>
    </w:p>
    <w:p>
      <w:pPr>
        <w:pStyle w:val="Heading1"/>
        <w:pageBreakBefore/>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w:t>
      </w:r>
      <w:hyperlink w:history="1" r:id="rIdc6vbfujzjuvyjor-nol9h">
        <w:r>
          <w:rPr>
            <w:color w:val="0563C1"/>
            <w:sz w:val="22"/>
            <w:szCs w:val="22"/>
            <w:u w:val="single"/>
          </w:rPr>
          <w:t xml:space="preserve">Li et al., 2024</w:t>
        </w:r>
      </w:hyperlink>
      <w:r>
        <w:rPr>
          <w:sz w:val="22"/>
          <w:szCs w:val="22"/>
        </w:rPr>
        <w:t xml:space="preserve">)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Ezetimibe's established mechanism of action - inhibition of the intestinal cholesterol transporter NPC1L1 at the brush-border membrane, unrelated to any known action on ANGPTL4 - is worth revisiting in light of this result. If the predicted ANGPTL4-binding pose is confirmed biochemically, Ezetimibe would represent a genuine dual-action, multi-target drug-repurposing candidate: its canonical NPC1L1-mediated effect on intestinal cholesterol absorption would be complemented by a second, previously unrecognized action of directly intercepting a heart-derived signal (Angptl4) at the liver, potentially blocking the cardiohepatic axis at its source rather than only its downstream metabolic consequences. The same dual-action logic extends, arguably even more strongly, to Pioglitazone: it is already a PPAR-gamma agonist prescribed for insulin resistance, and its independent STITCH-annotated association with Angptl4 (Section 3.6) together with its DiffDock convergence on the same pocket as Ezetimibe (Section 3.9) raise the possibility that part of its known metabolic benefit could involve direct engagement of this heart-derived signal, in addition to its canonical nuclear-receptor-mediated action. We raise both as hypotheses generated by the docking data, not as established pharmacological mechanisms - exactly the kind of possibility that the wet-lab validation plan proposed in Section 5 is designed to test.</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Third, DiffDock was run through a public web interface for only the top Vina hits (Resmetirom, Ezetimibe, and Pioglitazone - the latter included because it was independently flagged by STITCH as a genuine ANGPTL4 chemical partner)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This localization was independently reproduced in both a human liver scRNA-seq atlas and a mouse-native atlas (Tabula Muris), and, recognizing that the network hubs Sdc1/Sdc4 are not currently structurally actionable, we redirected structure-based screening to Angptl4 itself, identifying Pioglitazone and Ezetimibe as the candidates most consistently cross-validated across independent docking algorithms - Pioglitazone in particular supported by three convergent lines of in silico evidence (STITCH annotation, Vina rank, and DiffDock pocket convergence). Because these results remain in silico predictions, we outline below a concrete wet-lab validation pipeline rather than only a generic list of future directions.</w:t>
      </w:r>
    </w:p>
    <w:p>
      <w:pPr>
        <w:spacing w:after="200" w:line="360"/>
        <w:jc w:val="both"/>
      </w:pPr>
      <w:r>
        <w:rPr>
          <w:sz w:val="22"/>
          <w:szCs w:val="22"/>
        </w:rPr>
        <w:t xml:space="preserve">The proposed validation pipeline follows a conditioned-media paradigm - stressed/secreting donor cells transferring a secreted factor to a recipient cell type, with pharmacological blockade tested on the recipient side - the same general design used in prior work from the host laboratory modeling hepatocyte and macrophage responses to secreted lipotoxic/apoptotic signals (e.g., conditioned media from apoptotic adipocytes applied to macrophages and AML12 hepatocytes). Adapting that paradigm to the heart-to-liver axis identified here gives the following concrete steps:</w:t>
      </w:r>
    </w:p>
    <w:p>
      <w:pPr>
        <w:pStyle w:val="Heading2"/>
        <w:spacing w:after="100" w:before="200"/>
      </w:pPr>
      <w:r>
        <w:t xml:space="preserve">(1) Cell models</w:t>
      </w:r>
    </w:p>
    <w:p>
      <w:pPr>
        <w:spacing w:after="200" w:line="360"/>
        <w:jc w:val="both"/>
      </w:pPr>
      <w:r>
        <w:rPr>
          <w:sz w:val="22"/>
          <w:szCs w:val="22"/>
        </w:rPr>
        <w:t xml:space="preserve">Primary murine cardiac fibroblasts (or an immortalized cardiac fibroblast line) as the Angptl4-secreting donor cell, paired with AML12 mouse hepatocytes and primary murine hepatic stellate cells as the two recipient cell types - chosen to match the cell types to which Sdc1/Sdc4 (hepatocyte) and downstream fibrogenic signaling (hepatic stellate cell) were localized in Sections 3.4-3.5.</w:t>
      </w:r>
    </w:p>
    <w:p>
      <w:pPr>
        <w:pStyle w:val="Heading2"/>
        <w:spacing w:after="100" w:before="200"/>
      </w:pPr>
      <w:r>
        <w:t xml:space="preserve">(2) Conditioned-media transfer with pharmacological blockade</w:t>
      </w:r>
    </w:p>
    <w:p>
      <w:pPr>
        <w:spacing w:after="200" w:line="360"/>
        <w:jc w:val="both"/>
      </w:pPr>
      <w:r>
        <w:rPr>
          <w:sz w:val="22"/>
          <w:szCs w:val="22"/>
        </w:rPr>
        <w:t xml:space="preserve">Collect conditioned media from cardiac fibroblasts under HFpEF-mimicking stress (e.g., mechanical stretch or metabolic/hypertensive stress analogous to the in vivo 2-hit regimen), confirm elevated secreted Angptl4 by ELISA, then apply the conditioned media to hepatocytes/hepatic stellate cells with or without pre-treatment by each of the two structurally cross-validated candidates (Ezetimibe and Pioglitazone; Section 3.9) across a dose range bracketing their predicted binding affinities. A recombinant ANGPTL4 protein arm should be run in parallel as a simplified positive control before committing to the full conditioned-media design.</w:t>
      </w:r>
    </w:p>
    <w:p>
      <w:pPr>
        <w:pStyle w:val="Heading2"/>
        <w:spacing w:after="100" w:before="200"/>
      </w:pPr>
      <w:r>
        <w:t xml:space="preserve">(3) Readout</w:t>
      </w:r>
    </w:p>
    <w:p>
      <w:pPr>
        <w:spacing w:after="200" w:line="360"/>
        <w:jc w:val="both"/>
      </w:pPr>
      <w:r>
        <w:rPr>
          <w:sz w:val="22"/>
          <w:szCs w:val="22"/>
        </w:rPr>
        <w:t xml:space="preserve">Harvest whole-cell lysate (not media supernatant) for Western blot, since the mechanistic question concerns intracellular signaling in the recipient cell, not the secreted ligand itself. Probe both total and phosphorylated forms of the relevant downstream pathway (e.g., SMAD2/3 phosphorylation for a TGF-beta-linked fibrogenic readout, or NF-kB/p65 phosphorylation for an inflammatory readout), alongside fibrotic markers (fibronectin, collagen I) as functional endpoints.</w:t>
      </w:r>
    </w:p>
    <w:p>
      <w:pPr>
        <w:pStyle w:val="Heading2"/>
        <w:spacing w:after="100" w:before="200"/>
      </w:pPr>
      <w:r>
        <w:t xml:space="preserve">(4) Sample-scale and blotting practicalities</w:t>
      </w:r>
    </w:p>
    <w:p>
      <w:pPr>
        <w:spacing w:after="200" w:line="360"/>
        <w:jc w:val="both"/>
      </w:pPr>
      <w:r>
        <w:rPr>
          <w:sz w:val="22"/>
          <w:szCs w:val="22"/>
        </w:rPr>
        <w:t xml:space="preserve">A design of this kind (donor stress condition x recipient cell type x Ezetimibe dose, each with replicates) realistically runs to on the order of 17 samples processed and blotted together. At that scale, uniform secondary-antibody blocking becomes a real practical constraint: using a generous, freshly prepared blocking solution (e.g., on the order of 180 mL of 3% BSA in PBST) for the secondary antibody incubation step helps ensure even blocking and antibody binding across the full membrane, which matters for resolving the small signal changes expected between treatment arms rather than losing them to lane-to-lane or membrane-edge background variation.</w:t>
      </w:r>
    </w:p>
    <w:p>
      <w:pPr>
        <w:pStyle w:val="Heading2"/>
        <w:spacing w:after="100" w:before="200"/>
      </w:pPr>
      <w:r>
        <w:t xml:space="preserve">(5) In vivo follow-up</w:t>
      </w:r>
    </w:p>
    <w:p>
      <w:pPr>
        <w:spacing w:after="200" w:line="360"/>
        <w:jc w:val="both"/>
      </w:pPr>
      <w:r>
        <w:rPr>
          <w:sz w:val="22"/>
          <w:szCs w:val="22"/>
        </w:rPr>
        <w:t xml:space="preserve">If the in vitro data support direct ANGPTL4-Ezetimibe engagement and downstream signal blockade, the natural next step is to administer Ezetimibe in the same 2-hit HFpEF mouse model used in this study and assess whether hepatic fibrotic/inflammatory markers are attenuated independently of Ezetimibe's canonical cholesterol-lowering effect (e.g., by including a diet/genetic control that isolates the cholesterol-absorption pathway).</w:t>
      </w:r>
    </w:p>
    <w:p>
      <w:pPr>
        <w:spacing w:after="200" w:line="360"/>
        <w:jc w:val="both"/>
      </w:pPr>
      <w:r>
        <w:rPr>
          <w:sz w:val="22"/>
          <w:szCs w:val="22"/>
        </w:rPr>
        <w:t xml:space="preserve">Beyond this specific pipeline, biochemical confirmation of ANGPTL4-Ezetimibe binding by SPR or ITC, and full-library DiffDock re-screening on a GPU-equipped system, remain worthwhile complementary directions.</w:t>
      </w:r>
    </w:p>
    <w:p>
      <w:pPr>
        <w:pStyle w:val="Heading1"/>
        <w:spacing w:after="150" w:before="300"/>
      </w:pPr>
      <w:r>
        <w:t xml:space="preserve">References</w:t>
      </w:r>
    </w:p>
    <w:p>
      <w:pPr>
        <w:spacing w:after="120"/>
      </w:pPr>
      <w:r>
        <w:rPr>
          <w:sz w:val="20"/>
          <w:szCs w:val="20"/>
        </w:rPr>
        <w:t xml:space="preserve">1. </w:t>
      </w:r>
      <w:hyperlink w:history="1" r:id="rIdla7cb9xavsar80f-zymqs">
        <w:r>
          <w:rPr>
            <w:color w:val="0563C1"/>
            <w:sz w:val="20"/>
            <w:szCs w:val="20"/>
            <w:u w:val="single"/>
          </w:rPr>
          <w:t xml:space="preserve">Rinella ME, Lazarus JV, Ratziu V, et al. A multisociety Delphi consensus statement on new fatty liver disease nomenclature. J Hepatol. 2023;79(6):1542-1556.</w:t>
        </w:r>
      </w:hyperlink>
    </w:p>
    <w:p>
      <w:pPr>
        <w:spacing w:after="120"/>
      </w:pPr>
      <w:r>
        <w:rPr>
          <w:sz w:val="20"/>
          <w:szCs w:val="20"/>
        </w:rPr>
        <w:t xml:space="preserve">2. </w:t>
      </w:r>
      <w:hyperlink w:history="1" r:id="rIdsaiqspsn3p9_tooojpulv">
        <w:r>
          <w:rPr>
            <w:color w:val="0563C1"/>
            <w:sz w:val="20"/>
            <w:szCs w:val="20"/>
            <w:u w:val="single"/>
          </w:rPr>
          <w:t xml:space="preserve">Strocchi S, Liu L, Wang R, et al. Systems Biology Approach Uncovers Candidates for Liver-Heart Interorgan Crosstalk in HFpEF. Circ Res. 2024;135(8):873-876.</w:t>
        </w:r>
      </w:hyperlink>
    </w:p>
    <w:p>
      <w:pPr>
        <w:spacing w:after="120"/>
      </w:pPr>
      <w:r>
        <w:rPr>
          <w:sz w:val="20"/>
          <w:szCs w:val="20"/>
        </w:rPr>
        <w:t xml:space="preserve">3. </w:t>
      </w:r>
      <w:hyperlink w:history="1" r:id="rIdt2aakb26kwveanegqwkjh">
        <w:r>
          <w:rPr>
            <w:color w:val="0563C1"/>
            <w:sz w:val="20"/>
            <w:szCs w:val="20"/>
            <w:u w:val="single"/>
          </w:rPr>
          <w:t xml:space="preserve">Schütte JP, Markus N, Grein S, et al. Cell Type–Specific Secretome Analysis Reveals Liver-Heart Crosstalk in HFpEF. Circ Res. 2025;136(11):1516-1518.</w:t>
        </w:r>
      </w:hyperlink>
    </w:p>
    <w:p>
      <w:pPr>
        <w:spacing w:after="120"/>
      </w:pPr>
      <w:r>
        <w:rPr>
          <w:sz w:val="20"/>
          <w:szCs w:val="20"/>
        </w:rPr>
        <w:t xml:space="preserve">4. </w:t>
      </w:r>
      <w:hyperlink w:history="1" r:id="rIdrpv4sqzgnr9yzwvqhdmq2">
        <w:r>
          <w:rPr>
            <w:color w:val="0563C1"/>
            <w:sz w:val="20"/>
            <w:szCs w:val="20"/>
            <w:u w:val="single"/>
          </w:rPr>
          <w:t xml:space="preserve">Li G, Zhao H, Cheng Z, Liu J, Li G, Guo Y. Single-cell transcriptomic profiling of heart reveals ANGPTL4 linking fibroblasts and angiogenesis in heart failure with preserved ejection fraction. J Adv Res. 2025;68:215-230. Epub 2024 Feb 8.</w:t>
        </w:r>
      </w:hyperlink>
    </w:p>
    <w:p>
      <w:pPr>
        <w:spacing w:after="120"/>
      </w:pPr>
      <w:r>
        <w:rPr>
          <w:sz w:val="20"/>
          <w:szCs w:val="20"/>
        </w:rPr>
        <w:t xml:space="preserve">5. </w:t>
      </w:r>
      <w:hyperlink w:history="1" r:id="rIdgvbc-r44zm65nobr7r4uj">
        <w:r>
          <w:rPr>
            <w:color w:val="0563C1"/>
            <w:sz w:val="20"/>
            <w:szCs w:val="20"/>
            <w:u w:val="single"/>
          </w:rPr>
          <w:t xml:space="preserve">Love MI, Huber W, Anders S. Moderated estimation of fold change and dispersion for RNA-seq data with DESeq2. Genome Biol. 2014;15:550.</w:t>
        </w:r>
      </w:hyperlink>
    </w:p>
    <w:p>
      <w:pPr>
        <w:spacing w:after="120"/>
      </w:pPr>
      <w:r>
        <w:rPr>
          <w:sz w:val="20"/>
          <w:szCs w:val="20"/>
        </w:rPr>
        <w:t xml:space="preserve">6. </w:t>
      </w:r>
      <w:hyperlink w:history="1" r:id="rIdfsi6zu-4patf4tvi2atl7">
        <w:r>
          <w:rPr>
            <w:color w:val="0563C1"/>
            <w:sz w:val="20"/>
            <w:szCs w:val="20"/>
            <w:u w:val="single"/>
          </w:rPr>
          <w:t xml:space="preserve">Zhu A, Ibrahim JG, Love MI. Heavy-tailed prior distributions for sequence count data: removing the noise and preserving large differences. Bioinformatics. 2019;35(12):2084-2092.</w:t>
        </w:r>
      </w:hyperlink>
    </w:p>
    <w:p>
      <w:pPr>
        <w:spacing w:after="120"/>
      </w:pPr>
      <w:r>
        <w:rPr>
          <w:sz w:val="20"/>
          <w:szCs w:val="20"/>
        </w:rPr>
        <w:t xml:space="preserve">7. </w:t>
      </w:r>
      <w:hyperlink w:history="1" r:id="rIdep_5tf9hzvhxhuyclznfo">
        <w:r>
          <w:rPr>
            <w:color w:val="0563C1"/>
            <w:sz w:val="20"/>
            <w:szCs w:val="20"/>
            <w:u w:val="single"/>
          </w:rPr>
          <w:t xml:space="preserve">Korotkevich G, Sukhov V, Budin N, Shpak B, Artyomov MN, Sergushichev A. Fast gene set enrichment analysis. bioRxiv. 2019. doi:10.1101/060012</w:t>
        </w:r>
      </w:hyperlink>
    </w:p>
    <w:p>
      <w:pPr>
        <w:spacing w:after="120"/>
      </w:pPr>
      <w:r>
        <w:rPr>
          <w:sz w:val="20"/>
          <w:szCs w:val="20"/>
        </w:rPr>
        <w:t xml:space="preserve">8. </w:t>
      </w:r>
      <w:hyperlink w:history="1" r:id="rIdd3sfpcec6u6dqmubhys_8">
        <w:r>
          <w:rPr>
            <w:color w:val="0563C1"/>
            <w:sz w:val="20"/>
            <w:szCs w:val="20"/>
            <w:u w:val="single"/>
          </w:rPr>
          <w:t xml:space="preserve">Wu T, Hu E, Xu S, et al. clusterProfiler 4.0: A universal enrichment tool for interpreting omics data. Innovation (Camb). 2021;2(3):100141.</w:t>
        </w:r>
      </w:hyperlink>
    </w:p>
    <w:p>
      <w:pPr>
        <w:spacing w:after="120"/>
      </w:pPr>
      <w:r>
        <w:rPr>
          <w:sz w:val="20"/>
          <w:szCs w:val="20"/>
        </w:rPr>
        <w:t xml:space="preserve">9. </w:t>
      </w:r>
      <w:hyperlink w:history="1" r:id="rId4xgkupt541be5cicqecim">
        <w:r>
          <w:rPr>
            <w:color w:val="0563C1"/>
            <w:sz w:val="20"/>
            <w:szCs w:val="20"/>
            <w:u w:val="single"/>
          </w:rPr>
          <w:t xml:space="preserve">Szklarczyk D, Kirsch R, Koutrouli M, et al. The STRING database in 2023: protein-protein association networks and functional enrichment analyses for any sequenced genome of interest. Nucleic Acids Res. 2023;51(D1):D638-D646.</w:t>
        </w:r>
      </w:hyperlink>
    </w:p>
    <w:p>
      <w:pPr>
        <w:spacing w:after="120"/>
      </w:pPr>
      <w:r>
        <w:rPr>
          <w:sz w:val="20"/>
          <w:szCs w:val="20"/>
        </w:rPr>
        <w:t xml:space="preserve">10. </w:t>
      </w:r>
      <w:hyperlink w:history="1" r:id="rIdcgmzyuvfulizgv8me4sti">
        <w:r>
          <w:rPr>
            <w:color w:val="0563C1"/>
            <w:sz w:val="20"/>
            <w:szCs w:val="20"/>
            <w:u w:val="single"/>
          </w:rPr>
          <w:t xml:space="preserve">Szklarczyk D, Santos Delgado A, von Mering C, Jensen LJ, Bork P, Kuhn M. STITCH 5: augmenting protein-chemical interaction networks with tissue and affinity data. Nucleic Acids Res. 2016;44(D1):D380-D384.</w:t>
        </w:r>
      </w:hyperlink>
    </w:p>
    <w:p>
      <w:pPr>
        <w:spacing w:after="120"/>
      </w:pPr>
      <w:r>
        <w:rPr>
          <w:sz w:val="20"/>
          <w:szCs w:val="20"/>
        </w:rPr>
        <w:t xml:space="preserve">11. </w:t>
      </w:r>
      <w:hyperlink w:history="1" r:id="rIdvhvkdg4s-eykkpossw7xr">
        <w:r>
          <w:rPr>
            <w:color w:val="0563C1"/>
            <w:sz w:val="20"/>
            <w:szCs w:val="20"/>
            <w:u w:val="single"/>
          </w:rPr>
          <w:t xml:space="preserve">Jin S, Guerrero-Juarez CF, Zhang L, et al. Inference and analysis of cell-cell communication using CellChat. Nat Commun. 2021;12:1088.</w:t>
        </w:r>
      </w:hyperlink>
    </w:p>
    <w:p>
      <w:pPr>
        <w:spacing w:after="120"/>
      </w:pPr>
      <w:r>
        <w:rPr>
          <w:sz w:val="20"/>
          <w:szCs w:val="20"/>
        </w:rPr>
        <w:t xml:space="preserve">12. </w:t>
      </w:r>
      <w:hyperlink w:history="1" r:id="rIdclwyybvtg4xha3iv6labs">
        <w:r>
          <w:rPr>
            <w:color w:val="0563C1"/>
            <w:sz w:val="20"/>
            <w:szCs w:val="20"/>
            <w:u w:val="single"/>
          </w:rPr>
          <w:t xml:space="preserve">Cannon M, Stevenson J, Stahl K, et al. DGIdb 5.0: rebuilding the drug-gene interaction database for precision medicine and drug discovery platforms. Nucleic Acids Res. 2024;52(D1):D1227-D1235.</w:t>
        </w:r>
      </w:hyperlink>
    </w:p>
    <w:p>
      <w:pPr>
        <w:spacing w:after="120"/>
      </w:pPr>
      <w:r>
        <w:rPr>
          <w:sz w:val="20"/>
          <w:szCs w:val="20"/>
        </w:rPr>
        <w:t xml:space="preserve">13. </w:t>
      </w:r>
      <w:hyperlink w:history="1" r:id="rIdrvshf07p1pza_y7rm-34n">
        <w:r>
          <w:rPr>
            <w:color w:val="0563C1"/>
            <w:sz w:val="20"/>
            <w:szCs w:val="20"/>
            <w:u w:val="single"/>
          </w:rPr>
          <w:t xml:space="preserve">Biterova EI, Esmaeeli M, Alanen HI, Saaranen M, Ruddock LW. Structures of Angptl3 and Angptl4, modulators of triglyceride levels and coronary artery disease. Sci Rep. 2018;8:6752.</w:t>
        </w:r>
      </w:hyperlink>
    </w:p>
    <w:p>
      <w:pPr>
        <w:spacing w:after="120"/>
      </w:pPr>
      <w:r>
        <w:rPr>
          <w:sz w:val="20"/>
          <w:szCs w:val="20"/>
        </w:rPr>
        <w:t xml:space="preserve">14. </w:t>
      </w:r>
      <w:hyperlink w:history="1" r:id="rIdlk7q6f8f8xir_dprilrng">
        <w:r>
          <w:rPr>
            <w:color w:val="0563C1"/>
            <w:sz w:val="20"/>
            <w:szCs w:val="20"/>
            <w:u w:val="single"/>
          </w:rPr>
          <w:t xml:space="preserve">Eberhardt J, Santos-Martins D, Tillack AF, Forli S. AutoDock Vina 1.2.0: New Docking Methods, Expanded Force Field, and Python Bindings. J Chem Inf Model. 2021;61(8):3891-3898.</w:t>
        </w:r>
      </w:hyperlink>
    </w:p>
    <w:p>
      <w:pPr>
        <w:spacing w:after="120"/>
      </w:pPr>
      <w:r>
        <w:rPr>
          <w:sz w:val="20"/>
          <w:szCs w:val="20"/>
        </w:rPr>
        <w:t xml:space="preserve">15. </w:t>
      </w:r>
      <w:hyperlink w:history="1" r:id="rIdxeovabg0j48tli4xkofhr">
        <w:r>
          <w:rPr>
            <w:color w:val="0563C1"/>
            <w:sz w:val="20"/>
            <w:szCs w:val="20"/>
            <w:u w:val="single"/>
          </w:rPr>
          <w:t xml:space="preserve">Corso G, Stärk H, Jing B, Barzilay R, Jaakkola T. DiffDock: Diffusion Steps, Twists, and Turns for Molecular Docking. International Conference on Learning Representations (ICLR). 2023.</w:t>
        </w:r>
      </w:hyperlink>
    </w:p>
    <w:p>
      <w:pPr>
        <w:spacing w:after="120"/>
      </w:pPr>
      <w:r>
        <w:rPr>
          <w:sz w:val="20"/>
          <w:szCs w:val="20"/>
        </w:rPr>
        <w:t xml:space="preserve">16. </w:t>
      </w:r>
      <w:hyperlink w:history="1" r:id="rIdzcjsseafpl3ct396v-cvy">
        <w:r>
          <w:rPr>
            <w:color w:val="0563C1"/>
            <w:sz w:val="20"/>
            <w:szCs w:val="20"/>
            <w:u w:val="single"/>
          </w:rPr>
          <w:t xml:space="preserve">Ramachandran P, Dobie R, Wilson-Kanamori JR, et al. Resolving the fibrotic niche of human liver cirrhosis at single-cell level. Nature. 2019;575(7783):512-518.</w:t>
        </w:r>
      </w:hyperlink>
    </w:p>
    <w:p>
      <w:pPr>
        <w:spacing w:after="120"/>
      </w:pPr>
      <w:r>
        <w:rPr>
          <w:sz w:val="20"/>
          <w:szCs w:val="20"/>
        </w:rPr>
        <w:t xml:space="preserve">17. </w:t>
      </w:r>
      <w:hyperlink w:history="1" r:id="rIddmgksfggz2r7exmmmkg8m">
        <w:r>
          <w:rPr>
            <w:color w:val="0563C1"/>
            <w:sz w:val="20"/>
            <w:szCs w:val="20"/>
            <w:u w:val="single"/>
          </w:rPr>
          <w:t xml:space="preserve">Govaere O, Cockell S, Tiniakos D, et al. Transcriptomic profiling across the nonalcoholic fatty liver disease spectrum reveals gene signatures for steatohepatitis and fibrosis. Sci Transl Med. 2020;12(572):eaba4448.</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f-zhuibare4wyrfra0ns" Type="http://schemas.openxmlformats.org/officeDocument/2006/relationships/hyperlink" Target="https://doi.org/10.1016/j.jhep.2023.06.003" TargetMode="External"/><Relationship Id="rId0cevo44xyfu-lnrlh4p1j" Type="http://schemas.openxmlformats.org/officeDocument/2006/relationships/hyperlink" Target="https://doi.org/10.1161/CIRCRESAHA.124.324829" TargetMode="External"/><Relationship Id="rIdojctvbxcz7hylgox0fcz6" Type="http://schemas.openxmlformats.org/officeDocument/2006/relationships/hyperlink" Target="https://doi.org/10.1161/CIRCRESAHA.125.326264" TargetMode="External"/><Relationship Id="rIdgc5gfvigvevhconh0weay" Type="http://schemas.openxmlformats.org/officeDocument/2006/relationships/hyperlink" Target="https://doi.org/10.1038/s41586-019-1631-3" TargetMode="External"/><Relationship Id="rIdqarapg-ea_rvx4vx9txw2" Type="http://schemas.openxmlformats.org/officeDocument/2006/relationships/hyperlink" Target="https://doi.org/10.1186/s13059-014-0550-8" TargetMode="External"/><Relationship Id="rId7iklluakpkktsqsr7pdjm" Type="http://schemas.openxmlformats.org/officeDocument/2006/relationships/hyperlink" Target="https://doi.org/10.1093/bioinformatics/bty895" TargetMode="External"/><Relationship Id="rIdbki2byf3a9qv0vgw5btol" Type="http://schemas.openxmlformats.org/officeDocument/2006/relationships/hyperlink" Target="https://doi.org/10.1101/060012" TargetMode="External"/><Relationship Id="rIdgyvv3sa7lhk5p-zz0kol_" Type="http://schemas.openxmlformats.org/officeDocument/2006/relationships/hyperlink" Target="https://doi.org/10.1016/j.xinn.2021.100141" TargetMode="External"/><Relationship Id="rIdj98synevhv5thadwlzlc2" Type="http://schemas.openxmlformats.org/officeDocument/2006/relationships/hyperlink" Target="https://doi.org/10.1038/s41467-021-21246-9" TargetMode="External"/><Relationship Id="rIdbu_ohiobttr8cc5zuqay3" Type="http://schemas.openxmlformats.org/officeDocument/2006/relationships/hyperlink" Target="https://doi.org/10.1093/nar/gkac1000" TargetMode="External"/><Relationship Id="rIdja1udr5gajigavvowp8cf" Type="http://schemas.openxmlformats.org/officeDocument/2006/relationships/hyperlink" Target="https://doi.org/10.1038/s41586-019-1631-3" TargetMode="External"/><Relationship Id="rId_uoeurkpgp354fviosc2a" Type="http://schemas.openxmlformats.org/officeDocument/2006/relationships/hyperlink" Target="https://doi.org/10.1093/nar/gkv1277" TargetMode="External"/><Relationship Id="rIdnfmaxs9u17sbupgaqt3lo" Type="http://schemas.openxmlformats.org/officeDocument/2006/relationships/hyperlink" Target="https://doi.org/10.1093/nar/gkad1040" TargetMode="External"/><Relationship Id="rIdlb28-dckcqgpy446uzini" Type="http://schemas.openxmlformats.org/officeDocument/2006/relationships/hyperlink" Target="https://doi.org/10.1021/acs.jcim.1c00203" TargetMode="External"/><Relationship Id="rIduteebujmaxkzake0weyon" Type="http://schemas.openxmlformats.org/officeDocument/2006/relationships/hyperlink" Target="https://arxiv.org/abs/2210.01776" TargetMode="External"/><Relationship Id="rIdb4rdlyrgpxu1f0mindot2" Type="http://schemas.openxmlformats.org/officeDocument/2006/relationships/hyperlink" Target="https://doi.org/10.1161/CIRCRESAHA.124.324829" TargetMode="External"/><Relationship Id="rIdiewffhqanuuy0lnvs-qck" Type="http://schemas.openxmlformats.org/officeDocument/2006/relationships/hyperlink" Target="https://doi.org/10.1016/j.jare.2024.02.006" TargetMode="External"/><Relationship Id="rIdc6vbfujzjuvyjor-nol9h" Type="http://schemas.openxmlformats.org/officeDocument/2006/relationships/hyperlink" Target="https://doi.org/10.1016/j.jare.2024.02.006" TargetMode="External"/><Relationship Id="rIdla7cb9xavsar80f-zymqs" Type="http://schemas.openxmlformats.org/officeDocument/2006/relationships/hyperlink" Target="https://doi.org/10.1016/j.jhep.2023.06.003" TargetMode="External"/><Relationship Id="rIdsaiqspsn3p9_tooojpulv" Type="http://schemas.openxmlformats.org/officeDocument/2006/relationships/hyperlink" Target="https://doi.org/10.1161/CIRCRESAHA.124.324829" TargetMode="External"/><Relationship Id="rIdt2aakb26kwveanegqwkjh" Type="http://schemas.openxmlformats.org/officeDocument/2006/relationships/hyperlink" Target="https://doi.org/10.1161/CIRCRESAHA.125.326264" TargetMode="External"/><Relationship Id="rIdrpv4sqzgnr9yzwvqhdmq2" Type="http://schemas.openxmlformats.org/officeDocument/2006/relationships/hyperlink" Target="https://doi.org/10.1016/j.jare.2024.02.006" TargetMode="External"/><Relationship Id="rIdgvbc-r44zm65nobr7r4uj" Type="http://schemas.openxmlformats.org/officeDocument/2006/relationships/hyperlink" Target="https://doi.org/10.1186/s13059-014-0550-8" TargetMode="External"/><Relationship Id="rIdfsi6zu-4patf4tvi2atl7" Type="http://schemas.openxmlformats.org/officeDocument/2006/relationships/hyperlink" Target="https://doi.org/10.1093/bioinformatics/bty895" TargetMode="External"/><Relationship Id="rIdep_5tf9hzvhxhuyclznfo" Type="http://schemas.openxmlformats.org/officeDocument/2006/relationships/hyperlink" Target="https://doi.org/10.1101/060012" TargetMode="External"/><Relationship Id="rIdd3sfpcec6u6dqmubhys_8" Type="http://schemas.openxmlformats.org/officeDocument/2006/relationships/hyperlink" Target="https://doi.org/10.1016/j.xinn.2021.100141" TargetMode="External"/><Relationship Id="rId4xgkupt541be5cicqecim" Type="http://schemas.openxmlformats.org/officeDocument/2006/relationships/hyperlink" Target="https://doi.org/10.1093/nar/gkac1000" TargetMode="External"/><Relationship Id="rIdcgmzyuvfulizgv8me4sti" Type="http://schemas.openxmlformats.org/officeDocument/2006/relationships/hyperlink" Target="https://doi.org/10.1093/nar/gkv1277" TargetMode="External"/><Relationship Id="rIdvhvkdg4s-eykkpossw7xr" Type="http://schemas.openxmlformats.org/officeDocument/2006/relationships/hyperlink" Target="https://doi.org/10.1038/s41467-021-21246-9" TargetMode="External"/><Relationship Id="rIdclwyybvtg4xha3iv6labs" Type="http://schemas.openxmlformats.org/officeDocument/2006/relationships/hyperlink" Target="https://doi.org/10.1093/nar/gkad1040" TargetMode="External"/><Relationship Id="rIdrvshf07p1pza_y7rm-34n" Type="http://schemas.openxmlformats.org/officeDocument/2006/relationships/hyperlink" Target="https://doi.org/10.1038/s41598-018-25237-7" TargetMode="External"/><Relationship Id="rIdlk7q6f8f8xir_dprilrng" Type="http://schemas.openxmlformats.org/officeDocument/2006/relationships/hyperlink" Target="https://doi.org/10.1021/acs.jcim.1c00203" TargetMode="External"/><Relationship Id="rIdxeovabg0j48tli4xkofhr" Type="http://schemas.openxmlformats.org/officeDocument/2006/relationships/hyperlink" Target="https://arxiv.org/abs/2210.01776" TargetMode="External"/><Relationship Id="rIdzcjsseafpl3ct396v-cvy" Type="http://schemas.openxmlformats.org/officeDocument/2006/relationships/hyperlink" Target="https://doi.org/10.1038/s41586-019-1631-3" TargetMode="External"/><Relationship Id="rIddmgksfggz2r7exmmmkg8m" Type="http://schemas.openxmlformats.org/officeDocument/2006/relationships/hyperlink" Target="https://doi.org/10.1126/scitranslmed.aba4448" TargetMode="Externa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2026-07-18T08:52:40.267Z</dcterms:created>
  <dcterms:modified xsi:type="dcterms:W3CDTF">2026-07-18T08:52:40.267Z</dcterms:modified>
</cp:coreProperties>
</file>

<file path=docProps/custom.xml><?xml version="1.0" encoding="utf-8"?>
<Properties xmlns="http://schemas.openxmlformats.org/officeDocument/2006/custom-properties" xmlns:vt="http://schemas.openxmlformats.org/officeDocument/2006/docPropsVTypes"/>
</file>