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w:t>
      </w:r>
      <w:hyperlink w:history="1" r:id="rIdwbuw0-xaqli5qnl23l6sb">
        <w:r>
          <w:rPr>
            <w:color w:val="0563C1"/>
            <w:sz w:val="22"/>
            <w:szCs w:val="22"/>
            <w:u w:val="single"/>
          </w:rPr>
          <w:t xml:space="preserve">Rinella et al., 2023</w:t>
        </w:r>
      </w:hyperlink>
      <w:r>
        <w:rPr>
          <w:sz w:val="22"/>
          <w:szCs w:val="22"/>
        </w:rPr>
        <w:t xml:space="preserve">).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w:t>
      </w:r>
      <w:hyperlink w:history="1" r:id="rIds35w8ey8gnlzmz8srum9h">
        <w:r>
          <w:rPr>
            <w:color w:val="0563C1"/>
            <w:sz w:val="22"/>
            <w:szCs w:val="22"/>
            <w:u w:val="single"/>
          </w:rPr>
          <w:t xml:space="preserve">Strocchi et al., 2024</w:t>
        </w:r>
      </w:hyperlink>
      <w:r>
        <w:rPr>
          <w:sz w:val="22"/>
          <w:szCs w:val="22"/>
        </w:rPr>
        <w:t xml:space="preserve">). A follow-up study used hepatocyte-specific secretome labeling to show that the liver's secreted cytokine signature is altered under HFpEF (</w:t>
      </w:r>
      <w:hyperlink w:history="1" r:id="rIdlt3ltaewrn4yxuzywk_yh">
        <w:r>
          <w:rPr>
            <w:color w:val="0563C1"/>
            <w:sz w:val="22"/>
            <w:szCs w:val="22"/>
            <w:u w:val="single"/>
          </w:rPr>
          <w:t xml:space="preserve">Schütte et al., 2025</w:t>
        </w:r>
      </w:hyperlink>
      <w:r>
        <w:rPr>
          <w:sz w:val="22"/>
          <w:szCs w:val="22"/>
        </w:rPr>
        <w:t xml:space="preserve">).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The first (GSE135251, Govaere et al.; 216 liver biopsies, early F0-F1 vs. moderate/advanced F2-F4 fibrosis) was reanalyzed by bulk DESeq2 differential expression, a STRING PPI network restricted to hub genes (degree&gt;=3), and a DGIdb druggability screen that excluded already-canonical fibrosis genes (collagens, the core TGF-beta/myofibroblast axis) to surface seven under-explored druggable candidates: CCL21, CXCL8, CCL20, EPCAM, LUM, THY1, and THBS2. The second (GSE136103, </w:t>
      </w:r>
      <w:hyperlink w:history="1" r:id="rIdh-ui93spl1wd8k7nrgvnh">
        <w:r>
          <w:rPr>
            <w:color w:val="0563C1"/>
            <w:sz w:val="22"/>
            <w:szCs w:val="22"/>
            <w:u w:val="single"/>
          </w:rPr>
          <w:t xml:space="preserve">Ramachandran et al., 2019</w:t>
        </w:r>
      </w:hyperlink>
      <w:r>
        <w:rPr>
          <w:sz w:val="22"/>
          <w:szCs w:val="22"/>
        </w:rPr>
        <w:t xml:space="preserve">, Nature; a human liver cirrhosis single-cell atlas) was built and annotated from scratch (quality control, Harmony batch integration, clustering, and lineage-signature-based cell-type annotation - full pipeline in Methods 2.6) to localize three of those seven genes (LUM, THY1, THBS2) to activated hepatic stellate cells and to characterize their upstream transcription-factor/miRNA regulators and cell-cell communication partners. Full methodological detail for both prior analyses, written so as to stand on their own without reference to internal project labels, is provided in Supplemental Text S3. The present study extends that program by moving from human to mouse and from a single-organ (liver) to a genuinely inter-organ (liver-heart) axis; the GSE136103 atlas is reused here in an entirely different role, as an independent cross-species reference for localizing this study's own candidate genes (Section 3.5), not as a source of the candidate genes themselves.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w:t>
      </w:r>
      <w:hyperlink w:history="1" r:id="rIdbs-3trzufkponwiq1dpf3">
        <w:r>
          <w:rPr>
            <w:color w:val="0563C1"/>
            <w:sz w:val="22"/>
            <w:szCs w:val="22"/>
            <w:u w:val="single"/>
          </w:rPr>
          <w:t xml:space="preserve">Love et al., 2014</w:t>
        </w:r>
      </w:hyperlink>
      <w:r>
        <w:rPr>
          <w:sz w:val="22"/>
          <w:szCs w:val="22"/>
        </w:rPr>
        <w:t xml:space="preserve">) was applied independently to each organ. Genes were pre-filtered to those with a raw count ≥10 in at least 5 of the 10 samples, and log2 fold changes were shrunk using apeglm (</w:t>
      </w:r>
      <w:hyperlink w:history="1" r:id="rIdeylptbimrdgm8pslo6d7n">
        <w:r>
          <w:rPr>
            <w:color w:val="0563C1"/>
            <w:sz w:val="22"/>
            <w:szCs w:val="22"/>
            <w:u w:val="single"/>
          </w:rPr>
          <w:t xml:space="preserve">Zhu et al., 2019</w:t>
        </w:r>
      </w:hyperlink>
      <w:r>
        <w:rPr>
          <w:sz w:val="22"/>
          <w:szCs w:val="22"/>
        </w:rPr>
        <w:t xml:space="preserve">).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w:t>
      </w:r>
      <w:hyperlink w:history="1" r:id="rIdyyvgstgqfymlozqv7h-js">
        <w:r>
          <w:rPr>
            <w:color w:val="0563C1"/>
            <w:sz w:val="22"/>
            <w:szCs w:val="22"/>
            <w:u w:val="single"/>
          </w:rPr>
          <w:t xml:space="preserve">Korotkevich et al., 2019</w:t>
        </w:r>
      </w:hyperlink>
      <w:r>
        <w:rPr>
          <w:sz w:val="22"/>
          <w:szCs w:val="22"/>
        </w:rPr>
        <w:t xml:space="preserve">). Because apeglm-shrunk results omit the Wald statistic, the ranking metric was reconstructed as sign(log2FC) x (-log10 p-value). For the significant DEG lists, clusterProfiler (</w:t>
      </w:r>
      <w:hyperlink w:history="1" r:id="rIdrhyoxryvzivhmdafzsllu">
        <w:r>
          <w:rPr>
            <w:color w:val="0563C1"/>
            <w:sz w:val="22"/>
            <w:szCs w:val="22"/>
            <w:u w:val="single"/>
          </w:rPr>
          <w:t xml:space="preserve">Wu et al., 2021</w:t>
        </w:r>
      </w:hyperlink>
      <w:r>
        <w:rPr>
          <w:sz w:val="22"/>
          <w:szCs w:val="22"/>
        </w:rPr>
        <w:t xml:space="preserve">)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w:t>
      </w:r>
      <w:hyperlink w:history="1" r:id="rId7nuvfq-jqtejmb3nfeflz">
        <w:r>
          <w:rPr>
            <w:color w:val="0563C1"/>
            <w:sz w:val="22"/>
            <w:szCs w:val="22"/>
            <w:u w:val="single"/>
          </w:rPr>
          <w:t xml:space="preserve">Jin et al., 2021</w:t>
        </w:r>
      </w:hyperlink>
      <w:r>
        <w:rPr>
          <w:sz w:val="22"/>
          <w:szCs w:val="22"/>
        </w:rPr>
        <w:t xml:space="preserve">).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w:t>
      </w:r>
      <w:hyperlink w:history="1" r:id="rIdxm-4lb_xezodbvex1cyui">
        <w:r>
          <w:rPr>
            <w:color w:val="0563C1"/>
            <w:sz w:val="22"/>
            <w:szCs w:val="22"/>
            <w:u w:val="single"/>
          </w:rPr>
          <w:t xml:space="preserve">Szklarczyk et al., 2023</w:t>
        </w:r>
      </w:hyperlink>
      <w:r>
        <w:rPr>
          <w:sz w:val="22"/>
          <w:szCs w:val="22"/>
        </w:rPr>
        <w:t xml:space="preserve">;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independently-annotated human liver scRNA-seq atlas built in our own prior work from the public GSE136103 dataset (</w:t>
      </w:r>
      <w:hyperlink w:history="1" r:id="rIdjvp-bxuxzdusqykumxq61">
        <w:r>
          <w:rPr>
            <w:color w:val="0563C1"/>
            <w:sz w:val="22"/>
            <w:szCs w:val="22"/>
            <w:u w:val="single"/>
          </w:rPr>
          <w:t xml:space="preserve">Ramachandran et al., 2019</w:t>
        </w:r>
      </w:hyperlink>
      <w:r>
        <w:rPr>
          <w:sz w:val="22"/>
          <w:szCs w:val="22"/>
        </w:rPr>
        <w:t xml:space="preserve">; 20 human liver 10x samples, 5 healthy + 5 cirrhotic, CD45+/CD45- sorted fractions). Briefly, the atlas was constructed as follows: reads were quality-filtered per-sample (nFeature_RNA&gt;300, percent.mt&lt;30, following the original paper's Methods), yielding 60,925 cells; samples were merged and batch-corrected across individual 10x runs with Harmony (RunHarmony, converging in 3 iterations); clusters were called with FindClusters (Harmony embedding, dims 1:15, resolution 0.6, yielding 20 clusters, matching the original paper's reported cluster count at the same resolution); and each cluster was assigned to one of 12 cell lineages by scoring it against the original paper's own supplementary lineage-signature gene sets with Seurat's AddModuleScore, taking the highest-scoring lineage per cluster and cross-checking every assignment against a marker-gene dotplot before finalizing it. This atlas is used here strictly as an independent, cross-species reference for localizing this study's own candidate genes, not pooled into any statistical test. The complete construction pipeline, including quality-control figures and the cluster-annotation table, is described in full in Supplemental Text S3.</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w:t>
      </w:r>
      <w:hyperlink w:history="1" r:id="rIdwc45zn3qc2dhh44vjfzo_">
        <w:r>
          <w:rPr>
            <w:color w:val="0563C1"/>
            <w:sz w:val="22"/>
            <w:szCs w:val="22"/>
            <w:u w:val="single"/>
          </w:rPr>
          <w:t xml:space="preserve">Szklarczyk et al., 2016</w:t>
        </w:r>
      </w:hyperlink>
      <w:r>
        <w:rPr>
          <w:sz w:val="22"/>
          <w:szCs w:val="22"/>
        </w:rPr>
        <w:t xml:space="preserve">) for known or predicted chemical interactions, with compound names resolved via the PubChem PUG-REST API. Druggability was assessed via the DGIdb 5.0 GraphQL API (</w:t>
      </w:r>
      <w:hyperlink w:history="1" r:id="rIdrwpcx-irjxtwlzswmghlx">
        <w:r>
          <w:rPr>
            <w:color w:val="0563C1"/>
            <w:sz w:val="22"/>
            <w:szCs w:val="22"/>
            <w:u w:val="single"/>
          </w:rPr>
          <w:t xml:space="preserve">Cannon et al., 2024</w:t>
        </w:r>
      </w:hyperlink>
      <w:r>
        <w:rPr>
          <w:sz w:val="22"/>
          <w:szCs w:val="22"/>
        </w:rPr>
        <w:t xml:space="preserve">),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w:t>
      </w:r>
      <w:hyperlink w:history="1" r:id="rIdiue9a5vfevmqbusuglrsc">
        <w:r>
          <w:rPr>
            <w:color w:val="0563C1"/>
            <w:sz w:val="22"/>
            <w:szCs w:val="22"/>
            <w:u w:val="single"/>
          </w:rPr>
          <w:t xml:space="preserve">Eberhardt et al., 2021</w:t>
        </w:r>
      </w:hyperlink>
      <w:r>
        <w:rPr>
          <w:sz w:val="22"/>
          <w:szCs w:val="22"/>
        </w:rPr>
        <w:t xml:space="preserve">)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w:t>
      </w:r>
      <w:hyperlink w:history="1" r:id="rIdngjeaphsquxn8ryd5qwg-">
        <w:r>
          <w:rPr>
            <w:color w:val="0563C1"/>
            <w:sz w:val="22"/>
            <w:szCs w:val="22"/>
            <w:u w:val="single"/>
          </w:rPr>
          <w:t xml:space="preserve">Corso et al., 2023</w:t>
        </w:r>
      </w:hyperlink>
      <w:r>
        <w:rPr>
          <w:sz w:val="22"/>
          <w:szCs w:val="22"/>
        </w:rPr>
        <w:t xml:space="preserve">)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w:t>
      </w:r>
      <w:hyperlink w:history="1" r:id="rIdzfoc83tchov_ckevyvoee">
        <w:r>
          <w:rPr>
            <w:color w:val="0563C1"/>
            <w:sz w:val="22"/>
            <w:szCs w:val="22"/>
            <w:u w:val="single"/>
          </w:rPr>
          <w:t xml:space="preserve">Strocchi et al., 2024</w:t>
        </w:r>
      </w:hyperlink>
      <w:r>
        <w:rPr>
          <w:sz w:val="22"/>
          <w:szCs w:val="22"/>
        </w:rPr>
        <w:t xml:space="preserve">),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To examine the shape of these enrichment signals directly rather than only their summary NES, we show classic running-enrichment-score plots for the two most significant pathways per organ (Figure 3C-F): in the liver, MTORC1_SIGNALING and CHOLESTEROL_HOMEOSTASIS both show a sharply front-loaded negative running score with no crossing back toward zero, indicating a clean, concentrated depletion signal rather than a diffuse one; in the LV, ADIPOGENESIS and FATTY_ACID_METABOLISM show the mirror-image pattern - an immediate, sustained positive enrichment - consistent with a coherent metabolic shift rather than a handful of outlier genes driving the signal.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gene set enrichment analysis (GSEA). (A) Liver and (B) LV bar charts show the normalized enrichment score (NES) for every pathway significant at padj&lt;0.05. (C-F) Classic GSEA running-enrichment-score plots (green line: running ES; black ticks: gene-set hits; red-blue bar: ranked-list position; grey: ranking-metric magnitude) for the two most significant pathways per organ: (C) Liver MTORC1_SIGNALING, (D) Liver CHOLESTEROL_HOMEOSTASIS, (E) LV ADIPOGENESIS, (F) LV FATTY_ACID_METABOLISM.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Reusing our previously constructed human liver scRNA-seq atlas (GSE136103; atlas construction pipeline in Methods 2.6 and Supplemental Text S3)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(human liver cirrhosis scRNA-seq atlas, GSE136103; construction pipeline in Methods 2.6 and Supplemental Text S3).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w:t>
      </w:r>
      <w:hyperlink w:history="1" r:id="rIdwkku3uc5vxvnbesogyooe">
        <w:r>
          <w:rPr>
            <w:color w:val="0563C1"/>
            <w:sz w:val="22"/>
            <w:szCs w:val="22"/>
            <w:u w:val="single"/>
          </w:rPr>
          <w:t xml:space="preserve">Li et al., 2024</w:t>
        </w:r>
      </w:hyperlink>
      <w:r>
        <w:rPr>
          <w:sz w:val="22"/>
          <w:szCs w:val="22"/>
        </w:rPr>
        <w:t xml:space="preserve">) (full rationale in Supplemental Text S1).</w:t>
      </w:r>
    </w:p>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w:t>
      </w:r>
      <w:hyperlink w:history="1" r:id="rIdkcpvrlhsoe5eqqqukco-p">
        <w:r>
          <w:rPr>
            <w:color w:val="0563C1"/>
            <w:sz w:val="22"/>
            <w:szCs w:val="22"/>
            <w:u w:val="single"/>
          </w:rPr>
          <w:t xml:space="preserve">Li et al., 2024</w:t>
        </w:r>
      </w:hyperlink>
      <w:r>
        <w:rPr>
          <w:sz w:val="22"/>
          <w:szCs w:val="22"/>
        </w:rPr>
        <w:t xml:space="preserve">)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w:t>
      </w:r>
      <w:hyperlink w:history="1" r:id="rIdsk65vs7whjp87kfe4eguq">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qcusm5ohrbcwrzk4d8-y2">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micm_mskmiqxw26tqygf">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cxwfksfcw90uw9aqidh4e">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6ihxohv3jpnjrzjs26grk">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feqz471zw3rewsvikpj8s">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sfmhrcoigwed2lv-icpmr">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lceowiqc5p-xzdtp2zmgw">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rprhnavgqoi_a2swndkqh">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zexcqevxzvl3al8j1lfh1">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utmzlthhf_rdft5x0ebii">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wcbnoqdq0cceb6tzsp2vn">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l1by-hzan7cqiujidpdxt">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p019j4at_rr3gkvefwhlh">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7vmocaewia14janvd0dnk">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6xhhudfjsqq60hm20xojp">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qemy7wulcpl5qhsxn0axr">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uw0-xaqli5qnl23l6sb" Type="http://schemas.openxmlformats.org/officeDocument/2006/relationships/hyperlink" Target="https://doi.org/10.1016/j.jhep.2023.06.003" TargetMode="External"/><Relationship Id="rIds35w8ey8gnlzmz8srum9h" Type="http://schemas.openxmlformats.org/officeDocument/2006/relationships/hyperlink" Target="https://doi.org/10.1161/CIRCRESAHA.124.324829" TargetMode="External"/><Relationship Id="rIdlt3ltaewrn4yxuzywk_yh" Type="http://schemas.openxmlformats.org/officeDocument/2006/relationships/hyperlink" Target="https://doi.org/10.1161/CIRCRESAHA.125.326264" TargetMode="External"/><Relationship Id="rIdh-ui93spl1wd8k7nrgvnh" Type="http://schemas.openxmlformats.org/officeDocument/2006/relationships/hyperlink" Target="https://doi.org/10.1038/s41586-019-1631-3" TargetMode="External"/><Relationship Id="rIdbs-3trzufkponwiq1dpf3" Type="http://schemas.openxmlformats.org/officeDocument/2006/relationships/hyperlink" Target="https://doi.org/10.1186/s13059-014-0550-8" TargetMode="External"/><Relationship Id="rIdeylptbimrdgm8pslo6d7n" Type="http://schemas.openxmlformats.org/officeDocument/2006/relationships/hyperlink" Target="https://doi.org/10.1093/bioinformatics/bty895" TargetMode="External"/><Relationship Id="rIdyyvgstgqfymlozqv7h-js" Type="http://schemas.openxmlformats.org/officeDocument/2006/relationships/hyperlink" Target="https://doi.org/10.1101/060012" TargetMode="External"/><Relationship Id="rIdrhyoxryvzivhmdafzsllu" Type="http://schemas.openxmlformats.org/officeDocument/2006/relationships/hyperlink" Target="https://doi.org/10.1016/j.xinn.2021.100141" TargetMode="External"/><Relationship Id="rId7nuvfq-jqtejmb3nfeflz" Type="http://schemas.openxmlformats.org/officeDocument/2006/relationships/hyperlink" Target="https://doi.org/10.1038/s41467-021-21246-9" TargetMode="External"/><Relationship Id="rIdxm-4lb_xezodbvex1cyui" Type="http://schemas.openxmlformats.org/officeDocument/2006/relationships/hyperlink" Target="https://doi.org/10.1093/nar/gkac1000" TargetMode="External"/><Relationship Id="rIdjvp-bxuxzdusqykumxq61" Type="http://schemas.openxmlformats.org/officeDocument/2006/relationships/hyperlink" Target="https://doi.org/10.1038/s41586-019-1631-3" TargetMode="External"/><Relationship Id="rIdwc45zn3qc2dhh44vjfzo_" Type="http://schemas.openxmlformats.org/officeDocument/2006/relationships/hyperlink" Target="https://doi.org/10.1093/nar/gkv1277" TargetMode="External"/><Relationship Id="rIdrwpcx-irjxtwlzswmghlx" Type="http://schemas.openxmlformats.org/officeDocument/2006/relationships/hyperlink" Target="https://doi.org/10.1093/nar/gkad1040" TargetMode="External"/><Relationship Id="rIdiue9a5vfevmqbusuglrsc" Type="http://schemas.openxmlformats.org/officeDocument/2006/relationships/hyperlink" Target="https://doi.org/10.1021/acs.jcim.1c00203" TargetMode="External"/><Relationship Id="rIdngjeaphsquxn8ryd5qwg-" Type="http://schemas.openxmlformats.org/officeDocument/2006/relationships/hyperlink" Target="https://arxiv.org/abs/2210.01776" TargetMode="External"/><Relationship Id="rIdzfoc83tchov_ckevyvoee" Type="http://schemas.openxmlformats.org/officeDocument/2006/relationships/hyperlink" Target="https://doi.org/10.1161/CIRCRESAHA.124.324829" TargetMode="External"/><Relationship Id="rIdwkku3uc5vxvnbesogyooe" Type="http://schemas.openxmlformats.org/officeDocument/2006/relationships/hyperlink" Target="https://doi.org/10.1016/j.jare.2024.02.006" TargetMode="External"/><Relationship Id="rIdkcpvrlhsoe5eqqqukco-p" Type="http://schemas.openxmlformats.org/officeDocument/2006/relationships/hyperlink" Target="https://doi.org/10.1016/j.jare.2024.02.006" TargetMode="External"/><Relationship Id="rIdsk65vs7whjp87kfe4eguq" Type="http://schemas.openxmlformats.org/officeDocument/2006/relationships/hyperlink" Target="https://doi.org/10.1016/j.jhep.2023.06.003" TargetMode="External"/><Relationship Id="rIdqcusm5ohrbcwrzk4d8-y2" Type="http://schemas.openxmlformats.org/officeDocument/2006/relationships/hyperlink" Target="https://doi.org/10.1161/CIRCRESAHA.124.324829" TargetMode="External"/><Relationship Id="rId-micm_mskmiqxw26tqygf" Type="http://schemas.openxmlformats.org/officeDocument/2006/relationships/hyperlink" Target="https://doi.org/10.1161/CIRCRESAHA.125.326264" TargetMode="External"/><Relationship Id="rIdcxwfksfcw90uw9aqidh4e" Type="http://schemas.openxmlformats.org/officeDocument/2006/relationships/hyperlink" Target="https://doi.org/10.1016/j.jare.2024.02.006" TargetMode="External"/><Relationship Id="rId6ihxohv3jpnjrzjs26grk" Type="http://schemas.openxmlformats.org/officeDocument/2006/relationships/hyperlink" Target="https://doi.org/10.1186/s13059-014-0550-8" TargetMode="External"/><Relationship Id="rIdfeqz471zw3rewsvikpj8s" Type="http://schemas.openxmlformats.org/officeDocument/2006/relationships/hyperlink" Target="https://doi.org/10.1093/bioinformatics/bty895" TargetMode="External"/><Relationship Id="rIdsfmhrcoigwed2lv-icpmr" Type="http://schemas.openxmlformats.org/officeDocument/2006/relationships/hyperlink" Target="https://doi.org/10.1101/060012" TargetMode="External"/><Relationship Id="rIdlceowiqc5p-xzdtp2zmgw" Type="http://schemas.openxmlformats.org/officeDocument/2006/relationships/hyperlink" Target="https://doi.org/10.1016/j.xinn.2021.100141" TargetMode="External"/><Relationship Id="rIdrprhnavgqoi_a2swndkqh" Type="http://schemas.openxmlformats.org/officeDocument/2006/relationships/hyperlink" Target="https://doi.org/10.1093/nar/gkac1000" TargetMode="External"/><Relationship Id="rIdzexcqevxzvl3al8j1lfh1" Type="http://schemas.openxmlformats.org/officeDocument/2006/relationships/hyperlink" Target="https://doi.org/10.1093/nar/gkv1277" TargetMode="External"/><Relationship Id="rIdutmzlthhf_rdft5x0ebii" Type="http://schemas.openxmlformats.org/officeDocument/2006/relationships/hyperlink" Target="https://doi.org/10.1038/s41467-021-21246-9" TargetMode="External"/><Relationship Id="rIdwcbnoqdq0cceb6tzsp2vn" Type="http://schemas.openxmlformats.org/officeDocument/2006/relationships/hyperlink" Target="https://doi.org/10.1093/nar/gkad1040" TargetMode="External"/><Relationship Id="rIdl1by-hzan7cqiujidpdxt" Type="http://schemas.openxmlformats.org/officeDocument/2006/relationships/hyperlink" Target="https://doi.org/10.1038/s41598-018-25237-7" TargetMode="External"/><Relationship Id="rIdp019j4at_rr3gkvefwhlh" Type="http://schemas.openxmlformats.org/officeDocument/2006/relationships/hyperlink" Target="https://doi.org/10.1021/acs.jcim.1c00203" TargetMode="External"/><Relationship Id="rId7vmocaewia14janvd0dnk" Type="http://schemas.openxmlformats.org/officeDocument/2006/relationships/hyperlink" Target="https://arxiv.org/abs/2210.01776" TargetMode="External"/><Relationship Id="rId6xhhudfjsqq60hm20xojp" Type="http://schemas.openxmlformats.org/officeDocument/2006/relationships/hyperlink" Target="https://doi.org/10.1038/s41586-019-1631-3" TargetMode="External"/><Relationship Id="rIdqemy7wulcpl5qhsxn0axr"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2026-07-18T08:34:42.838Z</dcterms:created>
  <dcterms:modified xsi:type="dcterms:W3CDTF">2026-07-18T08:34:42.838Z</dcterms:modified>
</cp:coreProperties>
</file>

<file path=docProps/custom.xml><?xml version="1.0" encoding="utf-8"?>
<Properties xmlns="http://schemas.openxmlformats.org/officeDocument/2006/custom-properties" xmlns:vt="http://schemas.openxmlformats.org/officeDocument/2006/docPropsVTypes"/>
</file>