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심장-간 Angptl4-Sdc/Cdh5 축과 심간증후군(Cardiohepatic Syndrome): 표적 재조정 및 Ezetimibe·Pioglitazone의 구조 기반 약물 재창출</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화합물에 대한 AutoDock Vina 스크리닝 결과 Resmetirom(첫 FDA 승인 MASH 치료제), Ezetimibe, Pioglitazone이 1~3위(-9.07, -8.88, -8.28 kcal/mol)를 차지하였다. 결합 부위를 사전 지정하지 않는 DiffDock으로 이 세 화합물을 교차검증한 결과, Pioglitazone(confidence -1.06, 최고)과 Ezetimibe(-1.32) 모두 Vina 포켓으로부터 4Å 이내로 수렴한 반면 Resmetirom은 23.5Å 떨어진 다른 부위에 결합하여, Vina 1위가 아닌 두 화합물이 교차검증된 후보로 확인되었다 — 특히 Pioglitazone은 STITCH의 독립적 ANGPTL4 연관성까지 더해 세 갈래의 근거를 갖춘다.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간·좌심실 페어드 전사체 분석은 애초 가설과 반대되는 신호 방향을 드러내어 심장→간 방향의 Angptl4-Sdc/Cdh5 축을 확인시켜 주었다. 네트워크 중심성 분석은 Sdc1/Sdc4를 hub로 지목했으나, 세포외 도메인 결정구조가 없어 구조 기반 스크리닝은 ANGPTL4(PDB 6EUB) 자체로 재조정되었고, 그 결과 STITCH·AutoDock Vina·DiffDock 세 방법 모두에서 수렴하는 재창출 후보물질로 Ezetimibe와 Pioglitazone이 도출되었다.</w:t>
      </w:r>
    </w:p>
    <w:p>
      <w:pPr>
        <w:pStyle w:val="Heading1"/>
        <w:pageBreakBefore/>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w:t>
      </w:r>
      <w:hyperlink w:history="1" r:id="rIdpxsfnpangfpe-27mmyvuy">
        <w:r>
          <w:rPr>
            <w:color w:val="0563C1"/>
            <w:sz w:val="22"/>
            <w:szCs w:val="22"/>
            <w:u w:val="single"/>
          </w:rPr>
          <w:t xml:space="preserve">Rinella et al., 2023</w:t>
        </w:r>
      </w:hyperlink>
      <w:r>
        <w:rPr>
          <w:sz w:val="22"/>
          <w:szCs w:val="22"/>
        </w:rPr>
        <w:t xml:space="preserve">).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w:t>
      </w:r>
      <w:hyperlink w:history="1" r:id="rIds9dnowdteudpmqrnblf4u">
        <w:r>
          <w:rPr>
            <w:color w:val="0563C1"/>
            <w:sz w:val="22"/>
            <w:szCs w:val="22"/>
            <w:u w:val="single"/>
          </w:rPr>
          <w:t xml:space="preserve">Strocchi et al., 2024</w:t>
        </w:r>
      </w:hyperlink>
      <w:r>
        <w:rPr>
          <w:sz w:val="22"/>
          <w:szCs w:val="22"/>
        </w:rPr>
        <w:t xml:space="preserve">). 후속 연구는 간세포 특이적 분비단백질 표지(secretome labeling) 기법을 이용해 HFpEF 상태에서 간의 분비 사이토카인 신호가 변화함을 보였다(</w:t>
      </w:r>
      <w:hyperlink w:history="1" r:id="rId8vq895jy2e2y0bbbsxhsr">
        <w:r>
          <w:rPr>
            <w:color w:val="0563C1"/>
            <w:sz w:val="22"/>
            <w:szCs w:val="22"/>
            <w:u w:val="single"/>
          </w:rPr>
          <w:t xml:space="preserve">Schütte et al., 2025</w:t>
        </w:r>
      </w:hyperlink>
      <w:r>
        <w:rPr>
          <w:sz w:val="22"/>
          <w:szCs w:val="22"/>
        </w:rPr>
        <w:t xml:space="preserve">).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코호트를 분석한 저자 자신의 선행연구 위에 직접 구축된 것이다. 첫 번째 선행연구(GSE135251, Govaere et al.; 간생검 216례, 초기 섬유화 F0-F1군 vs. 중등도/진행성 섬유화 F2-F4군)는 bulk DESeq2 차등발현분석, hub 유전자(degree≥3) 중심의 STRING PPI 네트워크, 그리고 이미 잘 알려진 섬유화 유전자(collagen 계열, 핵심 TGF-β/근섬유아세포 축)를 제외한 DGIdb druggability 스크리닝을 통해 아직 깊이 다루어지지 않은 druggable 후보 7개 (CCL21, CXCL8, CCL20, EPCAM, LUM, THY1, THBS2)를 도출하였다. 두 번째 선행연구(GSE136103, </w:t>
      </w:r>
      <w:hyperlink w:history="1" r:id="rIdn0ut9uajoxg30c0tv5_ep">
        <w:r>
          <w:rPr>
            <w:color w:val="0563C1"/>
            <w:sz w:val="22"/>
            <w:szCs w:val="22"/>
            <w:u w:val="single"/>
          </w:rPr>
          <w:t xml:space="preserve">Ramachandran et al., 2019</w:t>
        </w:r>
      </w:hyperlink>
      <w:r>
        <w:rPr>
          <w:sz w:val="22"/>
          <w:szCs w:val="22"/>
        </w:rPr>
        <w:t xml:space="preserve">, Nature; 인간 간경변 단일세포 아틀라스)는 품질관리·Harmony 배치 통합·클러스터링·계통(lineage) 시그니처 기반 세포유형 주석의 전체 파이프라인을 처음부터 직접 구축하여(전체 파이프라인은 Methods 2.6 참조), 위 7개 후보 중 3개(LUM, THY1, THBS2)를 활성화된 간성상세포(activated hepatic stellate cell)에 국소화하고 이들의 상위 전사인자/miRNA 조절자 및 세포 간 신호전달 파트너를 규명하였다. 두 선행연구의 전체 방법론은, 내부 프로젝트 명칭을 참조하지 않고도 그 자체로 이해될 수 있도록 Supplemental Text S3에 완전히 기술하였다. 본 연구는 이 프로그램을 인간에서 마우스로, 그리고 단일 장기(간)에서 진정한 다중 장기(간-심장) 축으로 확장한다. 이때 GSE136103 아틀라스는 완전히 다른 역할로 재사용되는데, 즉 위 후보 유전자들을 다시 다루기 위해서가 아니라 본 연구 자체의 후보 유전자를 국소화하기 위한 독립적인 종간(cross-species) 참조 자료로만 사용된다(3.5절).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w:t>
      </w:r>
      <w:hyperlink w:history="1" r:id="rIds2i9i6d2t9smmbpq25tdh">
        <w:r>
          <w:rPr>
            <w:color w:val="0563C1"/>
            <w:sz w:val="22"/>
            <w:szCs w:val="22"/>
            <w:u w:val="single"/>
          </w:rPr>
          <w:t xml:space="preserve">Love et al., 2014</w:t>
        </w:r>
      </w:hyperlink>
      <w:r>
        <w:rPr>
          <w:sz w:val="22"/>
          <w:szCs w:val="22"/>
        </w:rPr>
        <w:t xml:space="preserve">)를 적용하였다. 유전자는 전체 10개 표본 중 5개 이상에서 raw count ≥10인 것만 사전 필터링하였으며, log2 fold change는 apeglm(</w:t>
      </w:r>
      <w:hyperlink w:history="1" r:id="rId3gvv2dwnvf5u90z1lpvmc">
        <w:r>
          <w:rPr>
            <w:color w:val="0563C1"/>
            <w:sz w:val="22"/>
            <w:szCs w:val="22"/>
            <w:u w:val="single"/>
          </w:rPr>
          <w:t xml:space="preserve">Zhu et al., 2019</w:t>
        </w:r>
      </w:hyperlink>
      <w:r>
        <w:rPr>
          <w:sz w:val="22"/>
          <w:szCs w:val="22"/>
        </w:rPr>
        <w:t xml:space="preserve">)으로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w:t>
      </w:r>
      <w:hyperlink w:history="1" r:id="rIdtoizg4dgnhd0u_v7tum2j">
        <w:r>
          <w:rPr>
            <w:color w:val="0563C1"/>
            <w:sz w:val="22"/>
            <w:szCs w:val="22"/>
            <w:u w:val="single"/>
          </w:rPr>
          <w:t xml:space="preserve">Korotkevich et al., 2019</w:t>
        </w:r>
      </w:hyperlink>
      <w:r>
        <w:rPr>
          <w:sz w:val="22"/>
          <w:szCs w:val="22"/>
        </w:rPr>
        <w:t xml:space="preserve">)로 GSEA를 수행하였다. apeglm으로 축소된 결과에는 Wald 통계량이 없으므로, 순위 지표는 sign(log2FC) × (−log10 p-value)로 재구성하였다. 유의 DEG 목록에 대해서는 clusterProfiler(</w:t>
      </w:r>
      <w:hyperlink w:history="1" r:id="rIdutazixiy7rxukqquhldhj">
        <w:r>
          <w:rPr>
            <w:color w:val="0563C1"/>
            <w:sz w:val="22"/>
            <w:szCs w:val="22"/>
            <w:u w:val="single"/>
          </w:rPr>
          <w:t xml:space="preserve">Wu et al., 2021</w:t>
        </w:r>
      </w:hyperlink>
      <w:r>
        <w:rPr>
          <w:sz w:val="22"/>
          <w:szCs w:val="22"/>
        </w:rPr>
        <w:t xml:space="preserve">)를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w:t>
      </w:r>
      <w:hyperlink w:history="1" r:id="rId4dudytp7aya2m7cprmzci">
        <w:r>
          <w:rPr>
            <w:color w:val="0563C1"/>
            <w:sz w:val="22"/>
            <w:szCs w:val="22"/>
            <w:u w:val="single"/>
          </w:rPr>
          <w:t xml:space="preserve">Jin et al., 2021</w:t>
        </w:r>
      </w:hyperlink>
      <w:r>
        <w:rPr>
          <w:sz w:val="22"/>
          <w:szCs w:val="22"/>
        </w:rPr>
        <w:t xml:space="preserve">)의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w:t>
      </w:r>
      <w:hyperlink w:history="1" r:id="rIdbwoayl5ngwhpq9fxdwevu">
        <w:r>
          <w:rPr>
            <w:color w:val="0563C1"/>
            <w:sz w:val="22"/>
            <w:szCs w:val="22"/>
            <w:u w:val="single"/>
          </w:rPr>
          <w:t xml:space="preserve">Szklarczyk et al., 2023</w:t>
        </w:r>
      </w:hyperlink>
      <w:r>
        <w:rPr>
          <w:sz w:val="22"/>
          <w:szCs w:val="22"/>
        </w:rPr>
        <w:t xml:space="preserve">;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선행연구에서 공개 GSE136103 데이터(</w:t>
      </w:r>
      <w:hyperlink w:history="1" r:id="rId97rq48vgxksi56ai79pl5">
        <w:r>
          <w:rPr>
            <w:color w:val="0563C1"/>
            <w:sz w:val="22"/>
            <w:szCs w:val="22"/>
            <w:u w:val="single"/>
          </w:rPr>
          <w:t xml:space="preserve">Ramachandran et al., 2019</w:t>
        </w:r>
      </w:hyperlink>
      <w:r>
        <w:rPr>
          <w:sz w:val="22"/>
          <w:szCs w:val="22"/>
        </w:rPr>
        <w:t xml:space="preserve">)로부터 직접 구축한 독립적으로 주석된 인간 간 scRNA-seq 아틀라스(20개 인간 간 10x 표본, 건강 5례 + 간경변 5례, CD45+/CD45- 분리 분획)를 이용해 평가하였다. 아틀라스 구축 과정은 다음과 같다: 원 논문의 Methods를 따라 표본별로 품질관리 필터링(nFeature_RNA&gt;300, percent.mt&lt;30)을 적용해 60,925개 세포를 확보하였고, Harmony(RunHarmony)로 개별 10x 실행 단위 배치보정을 수행(3회 반복만에 수렴)하였으며, FindClusters(Harmony 임베딩, dims 1:15, resolution 0.6)로 20개 클러스터를 도출(동일 resolution에서 원 논문이 보고한 클러스터 수와 일치)하였고, 각 클러스터는 원 논문 자체의 보충 계통(lineage) 시그니처 유전자 집합에 대해 Seurat의 AddModuleScore로 점수화한 뒤 가장 높은 점수의 계통을 부여하고 marker 유전자 dotplot으로 모든 배정을 교차 검증하여 12개 세포 계통으로 최종 확정하였다. 이 아틀라스는 본 연구의 후보 유전자를 국소화하기 위한 독립적인 종간 참조 자료로만 활용하였으며, 어떠한 통계적 검정에도 직접 결합하지 않았다. 품질관리 그림과 클러스터 주석 표를 포함한 전체 구축 파이프라인은 Supplemental Text S3에 완전히 기술하였다.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w:t>
      </w:r>
      <w:hyperlink w:history="1" r:id="rId_weybmb0nwn4op7e7dijl">
        <w:r>
          <w:rPr>
            <w:color w:val="0563C1"/>
            <w:sz w:val="22"/>
            <w:szCs w:val="22"/>
            <w:u w:val="single"/>
          </w:rPr>
          <w:t xml:space="preserve">Szklarczyk et al., 2016</w:t>
        </w:r>
      </w:hyperlink>
      <w:r>
        <w:rPr>
          <w:sz w:val="22"/>
          <w:szCs w:val="22"/>
        </w:rPr>
        <w:t xml:space="preserve">)로 기존에 알려지거나 예측된 화학물질 상호작용을 조회하고, 화합물명은 PubChem PUG-REST API로 확인하였다. druggability는 DGIdb 5.0 GraphQL API(</w:t>
      </w:r>
      <w:hyperlink w:history="1" r:id="rIdflak07sm1blzap7ew-74l">
        <w:r>
          <w:rPr>
            <w:color w:val="0563C1"/>
            <w:sz w:val="22"/>
            <w:szCs w:val="22"/>
            <w:u w:val="single"/>
          </w:rPr>
          <w:t xml:space="preserve">Cannon et al., 2024</w:t>
        </w:r>
      </w:hyperlink>
      <w:r>
        <w:rPr>
          <w:sz w:val="22"/>
          <w:szCs w:val="22"/>
        </w:rPr>
        <w:t xml:space="preserve">)로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w:t>
      </w:r>
      <w:hyperlink w:history="1" r:id="rIdzjzue4ddu4x6ck-uyybzk">
        <w:r>
          <w:rPr>
            <w:color w:val="0563C1"/>
            <w:sz w:val="22"/>
            <w:szCs w:val="22"/>
            <w:u w:val="single"/>
          </w:rPr>
          <w:t xml:space="preserve">Eberhardt et al., 2021</w:t>
        </w:r>
      </w:hyperlink>
      <w:r>
        <w:rPr>
          <w:sz w:val="22"/>
          <w:szCs w:val="22"/>
        </w:rPr>
        <w:t xml:space="preserve">)로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w:t>
      </w:r>
      <w:hyperlink w:history="1" r:id="rIdztjg1piqcvxelidy_wpsj">
        <w:r>
          <w:rPr>
            <w:color w:val="0563C1"/>
            <w:sz w:val="22"/>
            <w:szCs w:val="22"/>
            <w:u w:val="single"/>
          </w:rPr>
          <w:t xml:space="preserve">Corso et al., 2023</w:t>
        </w:r>
      </w:hyperlink>
      <w:r>
        <w:rPr>
          <w:sz w:val="22"/>
          <w:szCs w:val="22"/>
        </w:rPr>
        <w:t xml:space="preserve">)의 로컬 설치 및 CPU 추론은 비현실적이라고 판단하였다. 대신 원 저자 추론 코드(gcorso/DiffDock)를 그대로 구동하는 공개 Gradio 웹 인터페이스(swcanner/DiffDock-Web)를 이용해 Vina 상위 화합물(Resmetirom, Ezetimibe, 그리고 STITCH에서 이미 독립적으로 실제 ANGPTL4 화학적 파트너로 확인되어 추가한 Pioglitazone)에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w:t>
      </w:r>
      <w:hyperlink w:history="1" r:id="rIdy8_r8y4jjxt1uxsdotbzy">
        <w:r>
          <w:rPr>
            <w:color w:val="0563C1"/>
            <w:sz w:val="22"/>
            <w:szCs w:val="22"/>
            <w:u w:val="single"/>
          </w:rPr>
          <w:t xml:space="preserve">Strocchi et al., 2024</w:t>
        </w:r>
      </w:hyperlink>
      <w:r>
        <w:rPr>
          <w:sz w:val="22"/>
          <w:szCs w:val="22"/>
        </w:rPr>
        <w:t xml:space="preserve">)가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이러한 농축 신호의 형태를 요약 지표인 NES만이 아니라 직접 확인하기 위해, 각 장기에서 가장 유의한 상위 2개 경로에 대한 고전적인 running-enrichment-score plot을 제시하였다(Figure 3C-F): 간에서는 MTORC1_SIGNALING과 CHOLESTEROL_HOMEOSTASIS 모두 running score가 초반부터 급격하게 음의 방향으로 몰려 있고 0 부근으로 되돌아오지 않아, 분산된 신호가 아니라 뚜렷하게 집중된 결핍 신호임을 보여주었다. LV에서는 ADIPOGENESIS와 FATTY_ACID_METABOLISM이 정반대 패턴 — 즉시 상승해 지속되는 양의 농축 — 을 보여, 소수의 이상치 유전자가 아니라 일관된 대사 전환에 의한 신호임을 시사하였다.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679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679132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막대그래프는 padj&lt;0.05로 유의한 모든 경로의 정규화농축점수(NES)를 나타낸다. (C-F) 각 장기에서 가장 유의한 상위 2개 경로에 대한 고전적 GSEA running-enrichment-score plot(초록선: running ES; 검은 눈금: 유전자집합 hit 위치; 빨강-파랑 막대: ranked list 상 위치; 회색: ranking metric 크기): (C) 간 MTORC1_SIGNALING, (D) 간 CHOLESTEROL_HOMEOSTASIS, (E) LV ADIPOGENESIS, (F) LV FATTY_ACID_METABOLISM.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비례하며, 엣지의 굵기와 불투명도는 STRING confidence score에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직접 구축한 인간 간 scRNA-seq 아틀라스(GSE136103; 구축 파이프라인은 Methods 2.6 및 Supplemental Text S3 참조)를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 이 참조 자료가 인간 유래라는 점을 보완하기 위해, 본 연구의 bulk 코호트와 동일한 종(마우스)의 독립적인 간 아틀라스(Tabula Muris, FACS/Smart-seq2, n=714 세포)를 추가로 조회해 국소화를 마우스 자체에서 직접 확인하였다. 이 마우스 자체 검증은 인간에서 관찰된 패턴을 거의 그대로 재현하였다: Sdc4는 간세포의 91.8%에서, Sdc1은 68.3%에서 검출되었고, Sdc3는 Kupffer 세포의 80.3%에서, Cdh5는 간 동양혈관 내피세포의 98.4%에서 검출되었다(Supplemental Figure S4). 네트워크 중심성, 인간 scRNA-seq, 그리고 독립적인 마우스 scRNA-seq 아틀라스가 동일한 세포유형 배정으로 수렴한다는 점은 이 국소화 결과에 대한 신뢰도를 크게 높여준다.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활용(인간 간경변 scRNA-seq 아틀라스, GSE136103; 구축 파이프라인은 Methods 2.6 및 Supplemental Text S3 참조).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6EUB)가 리간드 수용 가능한 표면과 함께 존재하며, 본 연구 자체의 DEG 분석과 심장 섬유아세포 특이적 ANGPTL4 분비를 HFpEF에서 확인한 2024년 독립적 단일세포 연구(</w:t>
      </w:r>
      <w:hyperlink w:history="1" r:id="rIdkboyzlutaxnygcre6kt4l">
        <w:r>
          <w:rPr>
            <w:color w:val="0563C1"/>
            <w:sz w:val="22"/>
            <w:szCs w:val="22"/>
            <w:u w:val="single"/>
          </w:rPr>
          <w:t xml:space="preserve">Li et al., 2024</w:t>
        </w:r>
      </w:hyperlink>
      <w:r>
        <w:rPr>
          <w:sz w:val="22"/>
          <w:szCs w:val="22"/>
        </w:rPr>
        <w:t xml:space="preserve">) 양쪽으로부터 이중 검증되었다(상세 근거는 Supplemental Text S1 참조).</w:t>
      </w:r>
    </w:p>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3개 화합물 — Resmetirom, Ezetimibe, 그리고 STITCH에서 이미 독립적으로 실제 ANGPTL4 화학적 파트너로 확인되어 추가로 포함한 Pioglitazone(3.6절) — 에 적용한 결과, 시사하는 바가 큰 결과가 나타났다. Pioglitazone의 최상위 pose(confidence −1.06, 셋 중 가장 우수)는 Vina 포켓 무게중심으로부터 3.9Å, Ezetimibe의 최상위 pose(confidence −1.32)는 3.5Å 이내에 위치하여 — 화학구조가 서로 무관한 두 화합물이 단백질 전체 표면을 탐색하는 독립적인 방법으로도 사실상 같은 부위로 수렴하였다(Figure 7A, 7B), 두 pose는 접촉 잔기(Leu304, Leu312, Gly313, Ala314, Leu322, Val324, Gly352, Thr353, His356)도 상당 부분 공유하였다. 반면 Resmetirom의 최상위 pose(confidence −2.06)는 그로부터 23.5Å 떨어진 완전히 다른 표면 영역에 국소화되었다(Figure 7C; 세 화합물 모두의 접촉 잔기 상세 정보는 Supplemental Text S2 참조). 세 DiffDock confidence 값 모두 해당 방법의 저–중간 신뢰 구간에 속하므로 확정적 결합으로 과대해석해서는 안 되지만, 엄밀히 비교했을 때 Vina 1위가 아닌 Pioglitazone과 Ezetimibe가 두 개의 독립적인 도킹 알고리즘에 걸쳐 구조적으로 일관된 후보로 부상하였으며, 그 중에서도 Pioglitazone은 STITCH 화학적 연관성·Vina 순위·DiffDock 포켓 수렴이라는 세 가지 독립적 근거를 모두 갖춘 유일한 화합물이다.</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Vina 상위 3개 화합물의 구조 기반 도킹 pose, DiffDock으로 교차검증. (A) Pioglitazone(DiffDock confidence −1.06, 셋 중 최고), Vina 포켓으로부터 3.9Å 이내로 수렴; 접촉 잔기 Leu304, Ala309, Leu312, Gly313, Ala314, Val317, Leu322, Val324, Gly352, Thr353, His356, Lys381. (B) Ezetimibe(DiffDock confidence −1.32), 같은 포켓으로부터 3.5Å 이내로 수렴; 접촉 잔기 Leu304, Leu312, Gly313, Ala314, Leu322, Ser323, Val324, Trp349, Trp350, Gly352, Thr353, His356. (C) Resmetirom(DiffDock confidence −2.06), Vina 포켓으로부터 23.5Å 떨어진 별개 부위; 접촉 잔기 Trp280, Asp281, Ile367, Leu374, Tyr387, Tyr388, Pro389.</w:t>
      </w:r>
    </w:p>
    <w:p>
      <w:pPr>
        <w:pStyle w:val="Heading1"/>
        <w:pageBreakBefore/>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w:t>
      </w:r>
      <w:hyperlink w:history="1" r:id="rIdpyvpabf9vtogz6awblpyn">
        <w:r>
          <w:rPr>
            <w:color w:val="0563C1"/>
            <w:sz w:val="22"/>
            <w:szCs w:val="22"/>
            <w:u w:val="single"/>
          </w:rPr>
          <w:t xml:space="preserve">Li et al., 2024</w:t>
        </w:r>
      </w:hyperlink>
      <w:r>
        <w:rPr>
          <w:sz w:val="22"/>
          <w:szCs w:val="22"/>
        </w:rPr>
        <w:t xml:space="preserve">)는,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Ezetimibe의 기존 작용기전 — 장 브러시보더막의 콜레스테롤 수송체 NPC1L1 억제, ANGPTL4와는 무관한 것으로 알려진 기전 — 을 이번 결과에 비추어 재해석할 가치가 있다. 만약 예측된 ANGPTL4 결합 pose가 생화학적으로 확인된다면, Ezetimibe는 진정한 이중 기전(dual-action)의 다중 표적 약물 재창출(multi-target drug repurposing) 사례가 된다: 장에서 NPC1L1을 통해 콜레스테롤 흡수를 억제하는 고전적 효과에 더해, 심장에서 유래한 신호(Angptl4)를 간에서 직접 가로채는 지금까지 알려지지 않은 두 번째 작용을 통해, 심장-간 축이 초래하는 하위 대사적 결과만이 아니라 그 발원지 자체를 차단할 가능성이 생긴다. 같은 이중 기전 논리는 Pioglitazone에도 — 어쩌면 더 강하게 — 적용된다: 이미 인슐린 저항성 치료에 쓰이는 PPAR-γ 작용제인 Pioglitazone이 STITCH에서 독립적으로 확인된 Angptl4와의 연관성(3.6절)과 Ezetimibe와 같은 포켓으로 수렴하는 DiffDock 결과(3.9절)를 함께 보면, 이 약물의 알려진 대사 개선 효과 중 일부가 핵수용체 매개 작용에 더해 이 심장 유래 신호를 직접 가로채는 것과도 관련이 있을 가능성이 제기된다. 이 둘 모두 도킹 데이터가 생성한 가설로 제시하는 것이지 확립된 약리기전으로 주장하는 것이 아니며, 정확히 5절에서 제안하는 wet-lab 검증 계획이 확인하도록 설계된 바로 그 가능성이다.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확인되었다. 셋째, 로컬 GPU의 부재로 DiffDock은 21개 전체 화합물이 아니라 Vina 상위 화합물(Resmetirom, Ezetimibe, 그리고 STITCH에서 이미 독립적으로 실제 ANGPTL4 화학적 파트너로 확인되었기에 포함한 Pioglitazone)에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이 국소화는 인간 간 scRNA-seq 아틀라스와 마우스 자체 아틀라스(Tabula Muris) 모두에서 독립적으로 재현되었으며, 네트워크 hub인 Sdc1/Sdc4가 현재 구조적으로 액셔너블하지 않다는 점을 인식하고 구조 기반 스크리닝의 표적을 Angptl4 자체로 재조정한 결과, 여러 독립적인 도킹 알고리즘에 걸쳐 가장 일관되게 교차검증된 후보로 Pioglitazone과 Ezetimibe를 확인하였다 — 특히 Pioglitazone은 STITCH 연관성·Vina 순위· DiffDock 포켓 수렴이라는 세 갈래의 수렴하는 in silico 근거를 갖추었다. 이 결과들은 여전히 in silico 예측에 머물러 있으므로, 아래에서는 일반적인 향후 연구 방향 나열 대신 구체적인 wet-lab 검증 파이프라인을 제시한다.</w:t>
      </w:r>
    </w:p>
    <w:p>
      <w:pPr>
        <w:spacing w:after="200" w:line="360"/>
        <w:jc w:val="both"/>
      </w:pPr>
      <w:r>
        <w:rPr>
          <w:sz w:val="22"/>
          <w:szCs w:val="22"/>
        </w:rPr>
        <w:t xml:space="preserve">제안하는 검증 파이프라인은 conditioned-media 패러다임을 따른다 — 스트레스를 받은/분비하는 공여세포가 분비인자를 수용세포로 전달하고, 그 수용세포 측에서 약리학적 차단을 테스트하는 방식으로, 본 연구실의 선행 연구에서 지방세포의 apoptosis 유래 분비인자에 대한 대식세포 및 AML12 간세포의 반응을 모델링할 때 사용한 것과 동일한 전반적 설계이다. 이 패러다임을 본 연구에서 발굴한 심장→간 축에 맞게 적용하면 다음과 같은 구체적 단계가 된다:</w:t>
      </w:r>
    </w:p>
    <w:p>
      <w:pPr>
        <w:pStyle w:val="Heading2"/>
        <w:spacing w:after="100" w:before="200"/>
      </w:pPr>
      <w:r>
        <w:t xml:space="preserve">(1) 세포 모델</w:t>
      </w:r>
    </w:p>
    <w:p>
      <w:pPr>
        <w:spacing w:after="200" w:line="360"/>
        <w:jc w:val="both"/>
      </w:pPr>
      <w:r>
        <w:rPr>
          <w:sz w:val="22"/>
          <w:szCs w:val="22"/>
        </w:rPr>
        <w:t xml:space="preserve">Angptl4를 분비하는 공여세포로 1차 마우스 심장 섬유아세포(또는 불멸화된 심장 섬유아세포 주)를 사용하고, 수용세포로는 AML12 마우스 간세포주와 1차 마우스 간성상세포(HSC) 두 종류를 짝짓는다 — 이는 3.4~3.5절에서 Sdc1/Sdc4(간세포)와 하위 섬유화 신호전달(간성상세포)이 각각 국소화된 세포유형과 일치하도록 선정한 것이다.</w:t>
      </w:r>
    </w:p>
    <w:p>
      <w:pPr>
        <w:pStyle w:val="Heading2"/>
        <w:spacing w:after="100" w:before="200"/>
      </w:pPr>
      <w:r>
        <w:t xml:space="preserve">(2) 약리학적 차단을 동반한 Conditioned-media 전달</w:t>
      </w:r>
    </w:p>
    <w:p>
      <w:pPr>
        <w:spacing w:after="200" w:line="360"/>
        <w:jc w:val="both"/>
      </w:pPr>
      <w:r>
        <w:rPr>
          <w:sz w:val="22"/>
          <w:szCs w:val="22"/>
        </w:rPr>
        <w:t xml:space="preserve">HFpEF 유사 스트레스(예: 기계적 신전, 또는 본 연구의 in vivo 2-hit 요법에 준하는 대사·고혈압 스트레스) 조건의 심장 섬유아세포에서 conditioned media를 수집하고, ELISA로 분비된 Angptl4의 상승을 확인한 뒤, 이 conditioned media를 간세포/간성상세포에 구조적으로 교차검증된 두 후보(Ezetimibe와 Pioglitazone; 3.9절) 각각의 전처리 유무 및 예측된 결합친화도를 포괄하는 용량 범위로 나누어 처리한다. 전체 conditioned-media 설계에 들어가기 전, 재조합 ANGPTL4 단백질을 이용한 단순화된 양성대조군 실험을 병행하여 예비 검증하는 것이 바람직하다.</w:t>
      </w:r>
    </w:p>
    <w:p>
      <w:pPr>
        <w:pStyle w:val="Heading2"/>
        <w:spacing w:after="100" w:before="200"/>
      </w:pPr>
      <w:r>
        <w:t xml:space="preserve">(3) 검출</w:t>
      </w:r>
    </w:p>
    <w:p>
      <w:pPr>
        <w:spacing w:after="200" w:line="360"/>
        <w:jc w:val="both"/>
      </w:pPr>
      <w:r>
        <w:rPr>
          <w:sz w:val="22"/>
          <w:szCs w:val="22"/>
        </w:rPr>
        <w:t xml:space="preserve">배지 상등액이 아니라 세포 전체 파쇄액(whole-cell lysate)을 수확하여 Western blot을 수행한다 — 기전적 질문은 분비 리간드 자체가 아니라 수용세포 내 신호전달에 관한 것이기 때문이다. 관련 하위 경로의 총단백질과 인산화형을 모두 검출한다(예: TGF-β 연관 섬유화 readout을 위한 SMAD2/3 인산화, 혹은 염증 readout을 위한 NF-κB/p65 인산화), 그리고 fibronectin, collagen I 등 섬유화 표지자를 기능적 종점으로 함께 확인한다.</w:t>
      </w:r>
    </w:p>
    <w:p>
      <w:pPr>
        <w:pStyle w:val="Heading2"/>
        <w:spacing w:after="100" w:before="200"/>
      </w:pPr>
      <w:r>
        <w:t xml:space="preserve">(4) 샘플 규모 및 블롯팅 실무</w:t>
      </w:r>
    </w:p>
    <w:p>
      <w:pPr>
        <w:spacing w:after="200" w:line="360"/>
        <w:jc w:val="both"/>
      </w:pPr>
      <w:r>
        <w:rPr>
          <w:sz w:val="22"/>
          <w:szCs w:val="22"/>
        </w:rPr>
        <w:t xml:space="preserve">이러한 설계(공여세포 스트레스 조건 × 수용세포 유형 × Ezetimibe 용량, 각 반복포함)는 현실적으로 한 번에 처리·블롯팅하는 샘플이 대략 17개 안팎에 이른다. 이 규모에서는 2차 항체의 균일한 블로킹이 실질적인 실험적 제약이 된다 — 2차 항체 반응 단계에서 넉넉한 양(예: 180mL 규모)의 신선하게 준비한 3% BSA in PBST를 사용하면 멤브레인 전체에 걸쳐 균일한 블로킹과 항체 결합을 확보할 수 있으며, 이는 처리군 간에 예상되는 미세한 신호변화를 레인 간·멤브레인 가장자리 배경 잡음에 묻히지 않고 정확히 잡아내는 데 중요하다.</w:t>
      </w:r>
    </w:p>
    <w:p>
      <w:pPr>
        <w:pStyle w:val="Heading2"/>
        <w:spacing w:after="100" w:before="200"/>
      </w:pPr>
      <w:r>
        <w:t xml:space="preserve">(5) In vivo 후속 검증</w:t>
      </w:r>
    </w:p>
    <w:p>
      <w:pPr>
        <w:spacing w:after="200" w:line="360"/>
        <w:jc w:val="both"/>
      </w:pPr>
      <w:r>
        <w:rPr>
          <w:sz w:val="22"/>
          <w:szCs w:val="22"/>
        </w:rPr>
        <w:t xml:space="preserve">체외 데이터가 ANGPTL4-Ezetimibe의 직접적 결합과 하위 신호 차단을 뒷받침한다면, 자연스러운 다음 단계는 본 연구와 동일한 2-hit HFpEF 마우스 모델에 Ezetimibe를 투여하여, Ezetimibe 고유의 콜레스테롤 저하 효과와 독립적으로 간 섬유화·염증 표지자가 개선되는지 평가하는 것이다(예: 콜레스테롤 흡수 경로만을 분리하는 식이/유전적 대조군을 포함하여).</w:t>
      </w:r>
    </w:p>
    <w:p>
      <w:pPr>
        <w:spacing w:after="200" w:line="360"/>
        <w:jc w:val="both"/>
      </w:pPr>
      <w:r>
        <w:rPr>
          <w:sz w:val="22"/>
          <w:szCs w:val="22"/>
        </w:rPr>
        <w:t xml:space="preserve">이 구체적 파이프라인 외에도, SPR 또는 ITC를 통한 ANGPTL4-Ezetimibe 결합의 생화학적 검증과 GPU 환경에서의 전체 라이브러리 DiffDock 재스크리닝은 여전히 가치 있는 보완적 방향으로 남아있다.</w:t>
      </w:r>
    </w:p>
    <w:p>
      <w:pPr>
        <w:pStyle w:val="Heading1"/>
        <w:spacing w:after="150" w:before="300"/>
      </w:pPr>
      <w:r>
        <w:t xml:space="preserve">참고문헌 (References)</w:t>
      </w:r>
    </w:p>
    <w:p>
      <w:pPr>
        <w:spacing w:after="120"/>
      </w:pPr>
      <w:r>
        <w:rPr>
          <w:sz w:val="20"/>
          <w:szCs w:val="20"/>
        </w:rPr>
        <w:t xml:space="preserve">1. </w:t>
      </w:r>
      <w:hyperlink w:history="1" r:id="rId8a4o0pbfdlloqqhlay4ue">
        <w:r>
          <w:rPr>
            <w:color w:val="0563C1"/>
            <w:sz w:val="20"/>
            <w:szCs w:val="20"/>
            <w:u w:val="single"/>
          </w:rPr>
          <w:t xml:space="preserve">Rinella ME, Lazarus JV, Ratziu V, et al. A multisociety Delphi consensus statement on new fatty liver disease nomenclature. J Hepatol. 2023;79(6):1542-1556.</w:t>
        </w:r>
      </w:hyperlink>
    </w:p>
    <w:p>
      <w:pPr>
        <w:spacing w:after="120"/>
      </w:pPr>
      <w:r>
        <w:rPr>
          <w:sz w:val="20"/>
          <w:szCs w:val="20"/>
        </w:rPr>
        <w:t xml:space="preserve">2. </w:t>
      </w:r>
      <w:hyperlink w:history="1" r:id="rIdcw4aujlk3xu1b4mjahkji">
        <w:r>
          <w:rPr>
            <w:color w:val="0563C1"/>
            <w:sz w:val="20"/>
            <w:szCs w:val="20"/>
            <w:u w:val="single"/>
          </w:rPr>
          <w:t xml:space="preserve">Strocchi S, Liu L, Wang R, et al. Systems Biology Approach Uncovers Candidates for Liver-Heart Interorgan Crosstalk in HFpEF. Circ Res. 2024;135(8):873-876.</w:t>
        </w:r>
      </w:hyperlink>
    </w:p>
    <w:p>
      <w:pPr>
        <w:spacing w:after="120"/>
      </w:pPr>
      <w:r>
        <w:rPr>
          <w:sz w:val="20"/>
          <w:szCs w:val="20"/>
        </w:rPr>
        <w:t xml:space="preserve">3. </w:t>
      </w:r>
      <w:hyperlink w:history="1" r:id="rIdgzawptk1ywfpxz07xscj5">
        <w:r>
          <w:rPr>
            <w:color w:val="0563C1"/>
            <w:sz w:val="20"/>
            <w:szCs w:val="20"/>
            <w:u w:val="single"/>
          </w:rPr>
          <w:t xml:space="preserve">Schütte JP, Markus N, Grein S, et al. Cell Type–Specific Secretome Analysis Reveals Liver-Heart Crosstalk in HFpEF. Circ Res. 2025;136(11):1516-1518.</w:t>
        </w:r>
      </w:hyperlink>
    </w:p>
    <w:p>
      <w:pPr>
        <w:spacing w:after="120"/>
      </w:pPr>
      <w:r>
        <w:rPr>
          <w:sz w:val="20"/>
          <w:szCs w:val="20"/>
        </w:rPr>
        <w:t xml:space="preserve">4. </w:t>
      </w:r>
      <w:hyperlink w:history="1" r:id="rIde6nyhlnbj4hkgi2lx6jnv">
        <w:r>
          <w:rPr>
            <w:color w:val="0563C1"/>
            <w:sz w:val="20"/>
            <w:szCs w:val="20"/>
            <w:u w:val="single"/>
          </w:rPr>
          <w:t xml:space="preserve">Li G, Zhao H, Cheng Z, Liu J, Li G, Guo Y. Single-cell transcriptomic profiling of heart reveals ANGPTL4 linking fibroblasts and angiogenesis in heart failure with preserved ejection fraction. J Adv Res. 2025;68:215-230. Epub 2024 Feb 8.</w:t>
        </w:r>
      </w:hyperlink>
    </w:p>
    <w:p>
      <w:pPr>
        <w:spacing w:after="120"/>
      </w:pPr>
      <w:r>
        <w:rPr>
          <w:sz w:val="20"/>
          <w:szCs w:val="20"/>
        </w:rPr>
        <w:t xml:space="preserve">5. </w:t>
      </w:r>
      <w:hyperlink w:history="1" r:id="rIdvglenkbijfmh39j9t2kkj">
        <w:r>
          <w:rPr>
            <w:color w:val="0563C1"/>
            <w:sz w:val="20"/>
            <w:szCs w:val="20"/>
            <w:u w:val="single"/>
          </w:rPr>
          <w:t xml:space="preserve">Love MI, Huber W, Anders S. Moderated estimation of fold change and dispersion for RNA-seq data with DESeq2. Genome Biol. 2014;15:550.</w:t>
        </w:r>
      </w:hyperlink>
    </w:p>
    <w:p>
      <w:pPr>
        <w:spacing w:after="120"/>
      </w:pPr>
      <w:r>
        <w:rPr>
          <w:sz w:val="20"/>
          <w:szCs w:val="20"/>
        </w:rPr>
        <w:t xml:space="preserve">6. </w:t>
      </w:r>
      <w:hyperlink w:history="1" r:id="rIduhym7j2l7shrhbkak-ml1">
        <w:r>
          <w:rPr>
            <w:color w:val="0563C1"/>
            <w:sz w:val="20"/>
            <w:szCs w:val="20"/>
            <w:u w:val="single"/>
          </w:rPr>
          <w:t xml:space="preserve">Zhu A, Ibrahim JG, Love MI. Heavy-tailed prior distributions for sequence count data: removing the noise and preserving large differences. Bioinformatics. 2019;35(12):2084-2092.</w:t>
        </w:r>
      </w:hyperlink>
    </w:p>
    <w:p>
      <w:pPr>
        <w:spacing w:after="120"/>
      </w:pPr>
      <w:r>
        <w:rPr>
          <w:sz w:val="20"/>
          <w:szCs w:val="20"/>
        </w:rPr>
        <w:t xml:space="preserve">7. </w:t>
      </w:r>
      <w:hyperlink w:history="1" r:id="rId_8azn3fkm-ktnazuaqibb">
        <w:r>
          <w:rPr>
            <w:color w:val="0563C1"/>
            <w:sz w:val="20"/>
            <w:szCs w:val="20"/>
            <w:u w:val="single"/>
          </w:rPr>
          <w:t xml:space="preserve">Korotkevich G, Sukhov V, Budin N, Shpak B, Artyomov MN, Sergushichev A. Fast gene set enrichment analysis. bioRxiv. 2019. doi:10.1101/060012</w:t>
        </w:r>
      </w:hyperlink>
    </w:p>
    <w:p>
      <w:pPr>
        <w:spacing w:after="120"/>
      </w:pPr>
      <w:r>
        <w:rPr>
          <w:sz w:val="20"/>
          <w:szCs w:val="20"/>
        </w:rPr>
        <w:t xml:space="preserve">8. </w:t>
      </w:r>
      <w:hyperlink w:history="1" r:id="rIdigonpf4trykyyeca1jeli">
        <w:r>
          <w:rPr>
            <w:color w:val="0563C1"/>
            <w:sz w:val="20"/>
            <w:szCs w:val="20"/>
            <w:u w:val="single"/>
          </w:rPr>
          <w:t xml:space="preserve">Wu T, Hu E, Xu S, et al. clusterProfiler 4.0: A universal enrichment tool for interpreting omics data. Innovation (Camb). 2021;2(3):100141.</w:t>
        </w:r>
      </w:hyperlink>
    </w:p>
    <w:p>
      <w:pPr>
        <w:spacing w:after="120"/>
      </w:pPr>
      <w:r>
        <w:rPr>
          <w:sz w:val="20"/>
          <w:szCs w:val="20"/>
        </w:rPr>
        <w:t xml:space="preserve">9. </w:t>
      </w:r>
      <w:hyperlink w:history="1" r:id="rIdfitfz4kip7kmyef4acwwo">
        <w:r>
          <w:rPr>
            <w:color w:val="0563C1"/>
            <w:sz w:val="20"/>
            <w:szCs w:val="20"/>
            <w:u w:val="single"/>
          </w:rPr>
          <w:t xml:space="preserve">Szklarczyk D, Kirsch R, Koutrouli M, et al. The STRING database in 2023: protein-protein association networks and functional enrichment analyses for any sequenced genome of interest. Nucleic Acids Res. 2023;51(D1):D638-D646.</w:t>
        </w:r>
      </w:hyperlink>
    </w:p>
    <w:p>
      <w:pPr>
        <w:spacing w:after="120"/>
      </w:pPr>
      <w:r>
        <w:rPr>
          <w:sz w:val="20"/>
          <w:szCs w:val="20"/>
        </w:rPr>
        <w:t xml:space="preserve">10. </w:t>
      </w:r>
      <w:hyperlink w:history="1" r:id="rIdjzdc-ompshyyzn52hxei9">
        <w:r>
          <w:rPr>
            <w:color w:val="0563C1"/>
            <w:sz w:val="20"/>
            <w:szCs w:val="20"/>
            <w:u w:val="single"/>
          </w:rPr>
          <w:t xml:space="preserve">Szklarczyk D, Santos Delgado A, von Mering C, Jensen LJ, Bork P, Kuhn M. STITCH 5: augmenting protein-chemical interaction networks with tissue and affinity data. Nucleic Acids Res. 2016;44(D1):D380-D384.</w:t>
        </w:r>
      </w:hyperlink>
    </w:p>
    <w:p>
      <w:pPr>
        <w:spacing w:after="120"/>
      </w:pPr>
      <w:r>
        <w:rPr>
          <w:sz w:val="20"/>
          <w:szCs w:val="20"/>
        </w:rPr>
        <w:t xml:space="preserve">11. </w:t>
      </w:r>
      <w:hyperlink w:history="1" r:id="rIdwuufvw9de0vynyaffxxb3">
        <w:r>
          <w:rPr>
            <w:color w:val="0563C1"/>
            <w:sz w:val="20"/>
            <w:szCs w:val="20"/>
            <w:u w:val="single"/>
          </w:rPr>
          <w:t xml:space="preserve">Jin S, Guerrero-Juarez CF, Zhang L, et al. Inference and analysis of cell-cell communication using CellChat. Nat Commun. 2021;12:1088.</w:t>
        </w:r>
      </w:hyperlink>
    </w:p>
    <w:p>
      <w:pPr>
        <w:spacing w:after="120"/>
      </w:pPr>
      <w:r>
        <w:rPr>
          <w:sz w:val="20"/>
          <w:szCs w:val="20"/>
        </w:rPr>
        <w:t xml:space="preserve">12. </w:t>
      </w:r>
      <w:hyperlink w:history="1" r:id="rIdckdwxbhib2e7wv_dumu-w">
        <w:r>
          <w:rPr>
            <w:color w:val="0563C1"/>
            <w:sz w:val="20"/>
            <w:szCs w:val="20"/>
            <w:u w:val="single"/>
          </w:rPr>
          <w:t xml:space="preserve">Cannon M, Stevenson J, Stahl K, et al. DGIdb 5.0: rebuilding the drug-gene interaction database for precision medicine and drug discovery platforms. Nucleic Acids Res. 2024;52(D1):D1227-D1235.</w:t>
        </w:r>
      </w:hyperlink>
    </w:p>
    <w:p>
      <w:pPr>
        <w:spacing w:after="120"/>
      </w:pPr>
      <w:r>
        <w:rPr>
          <w:sz w:val="20"/>
          <w:szCs w:val="20"/>
        </w:rPr>
        <w:t xml:space="preserve">13. </w:t>
      </w:r>
      <w:hyperlink w:history="1" r:id="rIdsjhvl4elrq9v0t72uwzqz">
        <w:r>
          <w:rPr>
            <w:color w:val="0563C1"/>
            <w:sz w:val="20"/>
            <w:szCs w:val="20"/>
            <w:u w:val="single"/>
          </w:rPr>
          <w:t xml:space="preserve">Biterova EI, Esmaeeli M, Alanen HI, Saaranen M, Ruddock LW. Structures of Angptl3 and Angptl4, modulators of triglyceride levels and coronary artery disease. Sci Rep. 2018;8:6752.</w:t>
        </w:r>
      </w:hyperlink>
    </w:p>
    <w:p>
      <w:pPr>
        <w:spacing w:after="120"/>
      </w:pPr>
      <w:r>
        <w:rPr>
          <w:sz w:val="20"/>
          <w:szCs w:val="20"/>
        </w:rPr>
        <w:t xml:space="preserve">14. </w:t>
      </w:r>
      <w:hyperlink w:history="1" r:id="rIdtf3-tzwheq4hnsvq3opqp">
        <w:r>
          <w:rPr>
            <w:color w:val="0563C1"/>
            <w:sz w:val="20"/>
            <w:szCs w:val="20"/>
            <w:u w:val="single"/>
          </w:rPr>
          <w:t xml:space="preserve">Eberhardt J, Santos-Martins D, Tillack AF, Forli S. AutoDock Vina 1.2.0: New Docking Methods, Expanded Force Field, and Python Bindings. J Chem Inf Model. 2021;61(8):3891-3898.</w:t>
        </w:r>
      </w:hyperlink>
    </w:p>
    <w:p>
      <w:pPr>
        <w:spacing w:after="120"/>
      </w:pPr>
      <w:r>
        <w:rPr>
          <w:sz w:val="20"/>
          <w:szCs w:val="20"/>
        </w:rPr>
        <w:t xml:space="preserve">15. </w:t>
      </w:r>
      <w:hyperlink w:history="1" r:id="rIdlxlwfzttyglfimtylqfzp">
        <w:r>
          <w:rPr>
            <w:color w:val="0563C1"/>
            <w:sz w:val="20"/>
            <w:szCs w:val="20"/>
            <w:u w:val="single"/>
          </w:rPr>
          <w:t xml:space="preserve">Corso G, Stärk H, Jing B, Barzilay R, Jaakkola T. DiffDock: Diffusion Steps, Twists, and Turns for Molecular Docking. International Conference on Learning Representations (ICLR). 2023.</w:t>
        </w:r>
      </w:hyperlink>
    </w:p>
    <w:p>
      <w:pPr>
        <w:spacing w:after="120"/>
      </w:pPr>
      <w:r>
        <w:rPr>
          <w:sz w:val="20"/>
          <w:szCs w:val="20"/>
        </w:rPr>
        <w:t xml:space="preserve">16. </w:t>
      </w:r>
      <w:hyperlink w:history="1" r:id="rIdsg-3stb46r5-rif9hb-ao">
        <w:r>
          <w:rPr>
            <w:color w:val="0563C1"/>
            <w:sz w:val="20"/>
            <w:szCs w:val="20"/>
            <w:u w:val="single"/>
          </w:rPr>
          <w:t xml:space="preserve">Ramachandran P, Dobie R, Wilson-Kanamori JR, et al. Resolving the fibrotic niche of human liver cirrhosis at single-cell level. Nature. 2019;575(7783):512-518.</w:t>
        </w:r>
      </w:hyperlink>
    </w:p>
    <w:p>
      <w:pPr>
        <w:spacing w:after="120"/>
      </w:pPr>
      <w:r>
        <w:rPr>
          <w:sz w:val="20"/>
          <w:szCs w:val="20"/>
        </w:rPr>
        <w:t xml:space="preserve">17. </w:t>
      </w:r>
      <w:hyperlink w:history="1" r:id="rIdu-yhwwc7edvilawdt9yhy">
        <w:r>
          <w:rPr>
            <w:color w:val="0563C1"/>
            <w:sz w:val="20"/>
            <w:szCs w:val="20"/>
            <w:u w:val="single"/>
          </w:rPr>
          <w:t xml:space="preserve">Govaere O, Cockell S, Tiniakos D, et al. Transcriptomic profiling across the nonalcoholic fatty liver disease spectrum reveals gene signatures for steatohepatitis and fibrosis. Sci Transl Med. 2020;12(572):eaba4448.</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xsfnpangfpe-27mmyvuy" Type="http://schemas.openxmlformats.org/officeDocument/2006/relationships/hyperlink" Target="https://doi.org/10.1016/j.jhep.2023.06.003" TargetMode="External"/><Relationship Id="rIds9dnowdteudpmqrnblf4u" Type="http://schemas.openxmlformats.org/officeDocument/2006/relationships/hyperlink" Target="https://doi.org/10.1161/CIRCRESAHA.124.324829" TargetMode="External"/><Relationship Id="rId8vq895jy2e2y0bbbsxhsr" Type="http://schemas.openxmlformats.org/officeDocument/2006/relationships/hyperlink" Target="https://doi.org/10.1161/CIRCRESAHA.125.326264" TargetMode="External"/><Relationship Id="rIdn0ut9uajoxg30c0tv5_ep" Type="http://schemas.openxmlformats.org/officeDocument/2006/relationships/hyperlink" Target="https://doi.org/10.1038/s41586-019-1631-3" TargetMode="External"/><Relationship Id="rIds2i9i6d2t9smmbpq25tdh" Type="http://schemas.openxmlformats.org/officeDocument/2006/relationships/hyperlink" Target="https://doi.org/10.1186/s13059-014-0550-8" TargetMode="External"/><Relationship Id="rId3gvv2dwnvf5u90z1lpvmc" Type="http://schemas.openxmlformats.org/officeDocument/2006/relationships/hyperlink" Target="https://doi.org/10.1093/bioinformatics/bty895" TargetMode="External"/><Relationship Id="rIdtoizg4dgnhd0u_v7tum2j" Type="http://schemas.openxmlformats.org/officeDocument/2006/relationships/hyperlink" Target="https://doi.org/10.1101/060012" TargetMode="External"/><Relationship Id="rIdutazixiy7rxukqquhldhj" Type="http://schemas.openxmlformats.org/officeDocument/2006/relationships/hyperlink" Target="https://doi.org/10.1016/j.xinn.2021.100141" TargetMode="External"/><Relationship Id="rId4dudytp7aya2m7cprmzci" Type="http://schemas.openxmlformats.org/officeDocument/2006/relationships/hyperlink" Target="https://doi.org/10.1038/s41467-021-21246-9" TargetMode="External"/><Relationship Id="rIdbwoayl5ngwhpq9fxdwevu" Type="http://schemas.openxmlformats.org/officeDocument/2006/relationships/hyperlink" Target="https://doi.org/10.1093/nar/gkac1000" TargetMode="External"/><Relationship Id="rId97rq48vgxksi56ai79pl5" Type="http://schemas.openxmlformats.org/officeDocument/2006/relationships/hyperlink" Target="https://doi.org/10.1038/s41586-019-1631-3" TargetMode="External"/><Relationship Id="rId_weybmb0nwn4op7e7dijl" Type="http://schemas.openxmlformats.org/officeDocument/2006/relationships/hyperlink" Target="https://doi.org/10.1093/nar/gkv1277" TargetMode="External"/><Relationship Id="rIdflak07sm1blzap7ew-74l" Type="http://schemas.openxmlformats.org/officeDocument/2006/relationships/hyperlink" Target="https://doi.org/10.1093/nar/gkad1040" TargetMode="External"/><Relationship Id="rIdzjzue4ddu4x6ck-uyybzk" Type="http://schemas.openxmlformats.org/officeDocument/2006/relationships/hyperlink" Target="https://doi.org/10.1021/acs.jcim.1c00203" TargetMode="External"/><Relationship Id="rIdztjg1piqcvxelidy_wpsj" Type="http://schemas.openxmlformats.org/officeDocument/2006/relationships/hyperlink" Target="https://arxiv.org/abs/2210.01776" TargetMode="External"/><Relationship Id="rIdy8_r8y4jjxt1uxsdotbzy" Type="http://schemas.openxmlformats.org/officeDocument/2006/relationships/hyperlink" Target="https://doi.org/10.1161/CIRCRESAHA.124.324829" TargetMode="External"/><Relationship Id="rIdkboyzlutaxnygcre6kt4l" Type="http://schemas.openxmlformats.org/officeDocument/2006/relationships/hyperlink" Target="https://doi.org/10.1016/j.jare.2024.02.006" TargetMode="External"/><Relationship Id="rIdpyvpabf9vtogz6awblpyn" Type="http://schemas.openxmlformats.org/officeDocument/2006/relationships/hyperlink" Target="https://doi.org/10.1016/j.jare.2024.02.006" TargetMode="External"/><Relationship Id="rId8a4o0pbfdlloqqhlay4ue" Type="http://schemas.openxmlformats.org/officeDocument/2006/relationships/hyperlink" Target="https://doi.org/10.1016/j.jhep.2023.06.003" TargetMode="External"/><Relationship Id="rIdcw4aujlk3xu1b4mjahkji" Type="http://schemas.openxmlformats.org/officeDocument/2006/relationships/hyperlink" Target="https://doi.org/10.1161/CIRCRESAHA.124.324829" TargetMode="External"/><Relationship Id="rIdgzawptk1ywfpxz07xscj5" Type="http://schemas.openxmlformats.org/officeDocument/2006/relationships/hyperlink" Target="https://doi.org/10.1161/CIRCRESAHA.125.326264" TargetMode="External"/><Relationship Id="rIde6nyhlnbj4hkgi2lx6jnv" Type="http://schemas.openxmlformats.org/officeDocument/2006/relationships/hyperlink" Target="https://doi.org/10.1016/j.jare.2024.02.006" TargetMode="External"/><Relationship Id="rIdvglenkbijfmh39j9t2kkj" Type="http://schemas.openxmlformats.org/officeDocument/2006/relationships/hyperlink" Target="https://doi.org/10.1186/s13059-014-0550-8" TargetMode="External"/><Relationship Id="rIduhym7j2l7shrhbkak-ml1" Type="http://schemas.openxmlformats.org/officeDocument/2006/relationships/hyperlink" Target="https://doi.org/10.1093/bioinformatics/bty895" TargetMode="External"/><Relationship Id="rId_8azn3fkm-ktnazuaqibb" Type="http://schemas.openxmlformats.org/officeDocument/2006/relationships/hyperlink" Target="https://doi.org/10.1101/060012" TargetMode="External"/><Relationship Id="rIdigonpf4trykyyeca1jeli" Type="http://schemas.openxmlformats.org/officeDocument/2006/relationships/hyperlink" Target="https://doi.org/10.1016/j.xinn.2021.100141" TargetMode="External"/><Relationship Id="rIdfitfz4kip7kmyef4acwwo" Type="http://schemas.openxmlformats.org/officeDocument/2006/relationships/hyperlink" Target="https://doi.org/10.1093/nar/gkac1000" TargetMode="External"/><Relationship Id="rIdjzdc-ompshyyzn52hxei9" Type="http://schemas.openxmlformats.org/officeDocument/2006/relationships/hyperlink" Target="https://doi.org/10.1093/nar/gkv1277" TargetMode="External"/><Relationship Id="rIdwuufvw9de0vynyaffxxb3" Type="http://schemas.openxmlformats.org/officeDocument/2006/relationships/hyperlink" Target="https://doi.org/10.1038/s41467-021-21246-9" TargetMode="External"/><Relationship Id="rIdckdwxbhib2e7wv_dumu-w" Type="http://schemas.openxmlformats.org/officeDocument/2006/relationships/hyperlink" Target="https://doi.org/10.1093/nar/gkad1040" TargetMode="External"/><Relationship Id="rIdsjhvl4elrq9v0t72uwzqz" Type="http://schemas.openxmlformats.org/officeDocument/2006/relationships/hyperlink" Target="https://doi.org/10.1038/s41598-018-25237-7" TargetMode="External"/><Relationship Id="rIdtf3-tzwheq4hnsvq3opqp" Type="http://schemas.openxmlformats.org/officeDocument/2006/relationships/hyperlink" Target="https://doi.org/10.1021/acs.jcim.1c00203" TargetMode="External"/><Relationship Id="rIdlxlwfzttyglfimtylqfzp" Type="http://schemas.openxmlformats.org/officeDocument/2006/relationships/hyperlink" Target="https://arxiv.org/abs/2210.01776" TargetMode="External"/><Relationship Id="rIdsg-3stb46r5-rif9hb-ao" Type="http://schemas.openxmlformats.org/officeDocument/2006/relationships/hyperlink" Target="https://doi.org/10.1038/s41586-019-1631-3" TargetMode="External"/><Relationship Id="rIdu-yhwwc7edvilawdt9yhy" Type="http://schemas.openxmlformats.org/officeDocument/2006/relationships/hyperlink" Target="https://doi.org/10.1126/scitranslmed.aba4448" TargetMode="Externa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70b083766b9023bc29238669289c4792c8959999.png"/><Relationship Id="rId11" Type="http://schemas.openxmlformats.org/officeDocument/2006/relationships/image" Target="media/030b4a9c6adeb60fdfd8be4814ca6fc9decd0d5b.png"/><Relationship Id="rId12" Type="http://schemas.openxmlformats.org/officeDocument/2006/relationships/image" Target="media/4383d4fad89a061ba60667e8f4b74c0273fa5043.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2026-07-18T08:34:42.593Z</dcterms:created>
  <dcterms:modified xsi:type="dcterms:W3CDTF">2026-07-18T08:34:42.596Z</dcterms:modified>
</cp:coreProperties>
</file>

<file path=docProps/custom.xml><?xml version="1.0" encoding="utf-8"?>
<Properties xmlns="http://schemas.openxmlformats.org/officeDocument/2006/custom-properties" xmlns:vt="http://schemas.openxmlformats.org/officeDocument/2006/docPropsVTypes"/>
</file>