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심장-간 Angptl4-Sdc/Cdh5 축과 심간증후군(Cardiohepatic Syndrome): 표적 재조정 및 Ezetimibe·Pioglitazone의 구조 기반 약물 재창출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이미 구축·주석된 GSE136103 Seurat 아틀라스(구축 파이프라인은 Supplemental Text S3 참조)를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(A)/(B)/(C) 패널 문자와 함께 하나의 합성 Figure 이미지로 결합.</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캐시된 DESeq2 객체를 재사용해 간 heatmap만 다시 생성 — 행 폰트를 줄이고 캔버스를 늘려 86개 유전자 라벨이 더 이상 겹치지 않도록 조정.</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공개 Tabula Muris FACS 간 아틀라스로 Sdc1/Sdc4/Sdc3/Cdh5의 간세포/Kupffer/내피세포 국소화를 마우스 조직에서 직접 교차검증 — 인간 전용 종간 참조라는 한계를 보완.</w:t>
            </w:r>
          </w:p>
        </w:tc>
      </w:tr>
      <w:tr>
        <w:tc>
          <w:tcPr>
            <w:tcMar>
              <w:top w:type="dxa" w:w="60"/>
              <w:left w:type="dxa" w:w="80"/>
              <w:bottom w:type="dxa" w:w="60"/>
              <w:right w:type="dxa" w:w="80"/>
            </w:tcMar>
          </w:tcPr>
          <w:p>
            <w:r>
              <w:rPr>
                <w:b w:val="false"/>
                <w:bCs w:val="false"/>
                <w:sz w:val="17"/>
                <w:szCs w:val="17"/>
              </w:rPr>
              <w:t xml:space="preserve">20_check_ggraph.R</w:t>
            </w:r>
          </w:p>
        </w:tc>
        <w:tc>
          <w:tcPr>
            <w:tcMar>
              <w:top w:type="dxa" w:w="60"/>
              <w:left w:type="dxa" w:w="80"/>
              <w:bottom w:type="dxa" w:w="60"/>
              <w:right w:type="dxa" w:w="80"/>
            </w:tcMar>
          </w:tcPr>
          <w:p>
            <w:r>
              <w:rPr>
                <w:b w:val="false"/>
                <w:bCs w:val="false"/>
                <w:sz w:val="17"/>
                <w:szCs w:val="17"/>
              </w:rPr>
              <w:t xml:space="preserve">Figure 4 재구축 전 ggraph/tidygraph/ggrepel 패키지 설치 여부 확인.</w:t>
            </w:r>
          </w:p>
        </w:tc>
      </w:tr>
      <w:tr>
        <w:tc>
          <w:tcPr>
            <w:tcMar>
              <w:top w:type="dxa" w:w="60"/>
              <w:left w:type="dxa" w:w="80"/>
              <w:bottom w:type="dxa" w:w="60"/>
              <w:right w:type="dxa" w:w="80"/>
            </w:tcMar>
          </w:tcPr>
          <w:p>
            <w:r>
              <w:rPr>
                <w:b w:val="false"/>
                <w:bCs w:val="false"/>
                <w:sz w:val="17"/>
                <w:szCs w:val="17"/>
              </w:rPr>
              <w:t xml:space="preserve">21_network_ggraph.R</w:t>
            </w:r>
          </w:p>
        </w:tc>
        <w:tc>
          <w:tcPr>
            <w:tcMar>
              <w:top w:type="dxa" w:w="60"/>
              <w:left w:type="dxa" w:w="80"/>
              <w:bottom w:type="dxa" w:w="60"/>
              <w:right w:type="dxa" w:w="80"/>
            </w:tcMar>
          </w:tcPr>
          <w:p>
            <w:r>
              <w:rPr>
                <w:b w:val="false"/>
                <w:bCs w:val="false"/>
                <w:sz w:val="17"/>
                <w:szCs w:val="17"/>
              </w:rPr>
              <w:t xml:space="preserve">ggraph/tidygraph/ggrepel로 Figure 4(STRING 네트워크) 재구축: 노드 크기는 degree, 엣지 굵기/불투명도는 STRING confidence, 겹치지 않는 repelled 유전자 라벨 적용.</w:t>
            </w:r>
          </w:p>
        </w:tc>
      </w:tr>
      <w:tr>
        <w:tc>
          <w:tcPr>
            <w:tcMar>
              <w:top w:type="dxa" w:w="60"/>
              <w:left w:type="dxa" w:w="80"/>
              <w:bottom w:type="dxa" w:w="60"/>
              <w:right w:type="dxa" w:w="80"/>
            </w:tcMar>
          </w:tcPr>
          <w:p>
            <w:r>
              <w:rPr>
                <w:b w:val="false"/>
                <w:bCs w:val="false"/>
                <w:sz w:val="17"/>
                <w:szCs w:val="17"/>
              </w:rPr>
              <w:t xml:space="preserve">22_check_score_range.R</w:t>
            </w:r>
          </w:p>
        </w:tc>
        <w:tc>
          <w:tcPr>
            <w:tcMar>
              <w:top w:type="dxa" w:w="60"/>
              <w:left w:type="dxa" w:w="80"/>
              <w:bottom w:type="dxa" w:w="60"/>
              <w:right w:type="dxa" w:w="80"/>
            </w:tcMar>
          </w:tcPr>
          <w:p>
            <w:r>
              <w:rPr>
                <w:b w:val="false"/>
                <w:bCs w:val="false"/>
                <w:sz w:val="17"/>
                <w:szCs w:val="17"/>
              </w:rPr>
              <w:t xml:space="preserve">STRING 엣지 score 컬럼이 이미 0-1 사이 비율(0-1000이 아님)임을 확인하는 디버그 스크립트 — script 21 초기 버전의 나눗셈 버그를 수정하는 근거로 사용.</w:t>
            </w:r>
          </w:p>
        </w:tc>
      </w:tr>
      <w:tr>
        <w:tc>
          <w:tcPr>
            <w:tcMar>
              <w:top w:type="dxa" w:w="60"/>
              <w:left w:type="dxa" w:w="80"/>
              <w:bottom w:type="dxa" w:w="60"/>
              <w:right w:type="dxa" w:w="80"/>
            </w:tcMar>
          </w:tcPr>
          <w:p>
            <w:r>
              <w:rPr>
                <w:b w:val="false"/>
                <w:bCs w:val="false"/>
                <w:sz w:val="17"/>
                <w:szCs w:val="17"/>
              </w:rPr>
              <w:t xml:space="preserve">23_graphical_abstract.py</w:t>
            </w:r>
          </w:p>
        </w:tc>
        <w:tc>
          <w:tcPr>
            <w:tcMar>
              <w:top w:type="dxa" w:w="60"/>
              <w:left w:type="dxa" w:w="80"/>
              <w:bottom w:type="dxa" w:w="60"/>
              <w:right w:type="dxa" w:w="80"/>
            </w:tcMar>
          </w:tcPr>
          <w:p>
            <w:r>
              <w:rPr>
                <w:b w:val="false"/>
                <w:bCs w:val="false"/>
                <w:sz w:val="17"/>
                <w:szCs w:val="17"/>
              </w:rPr>
              <w:t xml:space="preserve">데이터부터 재창출 후보물질까지 연구 전체 워크플로우를 요약하는 graphical abstract 파이프라인 도식(matplotlib) 생성.</w:t>
            </w:r>
          </w:p>
        </w:tc>
      </w:tr>
      <w:tr>
        <w:tc>
          <w:tcPr>
            <w:tcMar>
              <w:top w:type="dxa" w:w="60"/>
              <w:left w:type="dxa" w:w="80"/>
              <w:bottom w:type="dxa" w:w="60"/>
              <w:right w:type="dxa" w:w="80"/>
            </w:tcMar>
          </w:tcPr>
          <w:p>
            <w:r>
              <w:rPr>
                <w:b w:val="false"/>
                <w:bCs w:val="false"/>
                <w:sz w:val="17"/>
                <w:szCs w:val="17"/>
              </w:rPr>
              <w:t xml:space="preserve">24_gsea_running_score.R</w:t>
            </w:r>
          </w:p>
        </w:tc>
        <w:tc>
          <w:tcPr>
            <w:tcMar>
              <w:top w:type="dxa" w:w="60"/>
              <w:left w:type="dxa" w:w="80"/>
              <w:bottom w:type="dxa" w:w="60"/>
              <w:right w:type="dxa" w:w="80"/>
            </w:tcMar>
          </w:tcPr>
          <w:p>
            <w:r>
              <w:rPr>
                <w:b w:val="false"/>
                <w:bCs w:val="false"/>
                <w:sz w:val="17"/>
                <w:szCs w:val="17"/>
              </w:rPr>
              <w:t xml:space="preserve">clusterProfiler::GSEA로 Hallmark GSEA를 재실행(script 02의 fgsea와 동일한 랭킹 지표 사용)하고, enrichplot::gseaplot2로 각 장기 상위 2개 pathway에 대한 고전적 running-enrichment-score plot을 생성 — Figure 3C-F로 추가.</w:t>
            </w:r>
          </w:p>
        </w:tc>
      </w:tr>
      <w:tr>
        <w:tc>
          <w:tcPr>
            <w:tcMar>
              <w:top w:type="dxa" w:w="60"/>
              <w:left w:type="dxa" w:w="80"/>
              <w:bottom w:type="dxa" w:w="60"/>
              <w:right w:type="dxa" w:w="80"/>
            </w:tcMar>
          </w:tcPr>
          <w:p>
            <w:r>
              <w:rPr>
                <w:b w:val="false"/>
                <w:bCs w:val="false"/>
                <w:sz w:val="17"/>
                <w:szCs w:val="17"/>
              </w:rPr>
              <w:t xml:space="preserve">25_umap_featureplot_condition.R</w:t>
            </w:r>
          </w:p>
        </w:tc>
        <w:tc>
          <w:tcPr>
            <w:tcMar>
              <w:top w:type="dxa" w:w="60"/>
              <w:left w:type="dxa" w:w="80"/>
              <w:bottom w:type="dxa" w:w="60"/>
              <w:right w:type="dxa" w:w="80"/>
            </w:tcMar>
          </w:tcPr>
          <w:p>
            <w:r>
              <w:rPr>
                <w:b w:val="false"/>
                <w:bCs w:val="false"/>
                <w:sz w:val="17"/>
                <w:szCs w:val="17"/>
              </w:rPr>
              <w:t xml:space="preserve">GSE136103 아틀라스에서 Sdc1/Sdc4/Angptl4에 대해 조건별(healthy/cirrhotic)로 나눈 UMAP FeaturePlot(Seurat) 생성 — 기존 dot plot과 합쳐 Figure S3 구성.</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화합물(Resmetirom, Ezetimibe, Pioglitazone)에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41529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52900" cy="6667500"/>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국소화(GSE136103 종간 참조 아틀라스; 구축 과정은 Methods 2.6 및 Supplemental Text S3 참조). Figure 5에 더해, 단순 발현량뿐 아니라 국소화 패턴 자체가 질환 상태에 따라 달라지는지를 보여주기 위해 추가하였다. (A) 전체 6개 축 유전자에 대한 dot plot(y축에 세포유형 표기). (B) UMAP feature plot(SDC1, SDC4, ANGPTL4), 건강 vs. 간경변을 나란히 배치하여 세포유형별 요약 수치가 아니라 발현 세포의 UMAP 전체 상 분포 변화로 동일한 변화를 보여준다. 클러스터 정체성은 (A)의 dot plot 및 Supplemental Text S3의 주석된 UMAP과 일치한다.</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Angptl4 축 유전자 국소화의 독립적인 마우스 자체 교차검증(Tabula Muris, FACS/Smart-seq2 간 아틀라스, n=714 세포, 5개 주석 세포유형). Sdc4(91.8%)와 Sdc1(68.3%)은 주로 간세포에서, Sdc3(80.3%)는 Kupffer 세포에서, Cdh5(98.4%)는 간 동양혈관 내피세포에서 검출되어 — bulk 코호트와 동일한 종에서 Figure 5의 인간 아틀라스 패턴을 직접 재현하였다.</w:t>
      </w:r>
    </w:p>
    <w:p>
      <w:pPr>
        <w:pStyle w:val="Heading1"/>
        <w:pageBreakBefore/>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w:t>
      </w:r>
      <w:hyperlink w:history="1" r:id="rIduo_qylflbgkqigxpid6cp">
        <w:r>
          <w:rPr>
            <w:color w:val="0563C1"/>
            <w:sz w:val="20"/>
            <w:szCs w:val="20"/>
            <w:u w:val="single"/>
          </w:rPr>
          <w:t xml:space="preserve">Li et al., 2024</w:t>
        </w:r>
      </w:hyperlink>
      <w:r>
        <w:rPr>
          <w:sz w:val="20"/>
          <w:szCs w:val="20"/>
        </w:rPr>
        <w:t xml:space="preserve">)라는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Vina 상위 화합물 중 세 개 — Vina 순위 1, 2위인 Resmetirom과 Ezetimibe, 그리고 순위와 무관하게 STITCH에서 이미 독립적으로 실제 ANGPTL4 화학적 파트너로 확인되어 추가한 Pioglitazone — 을 DiffDock으로 교차검증하였다.</w:t>
      </w:r>
    </w:p>
    <w:p>
      <w:pPr>
        <w:spacing w:after="150" w:line="320"/>
        <w:jc w:val="both"/>
      </w:pPr>
      <w:r>
        <w:rPr>
          <w:sz w:val="20"/>
          <w:szCs w:val="20"/>
        </w:rPr>
        <w:t xml:space="preserve">Pioglitazone과 Ezetimibe가 교차검증된 후보로 부상하였다: 결합 부위를 사전에 지정하지 않는 독립적 방법(DiffDock)이 두 화합물 모두에 대해 Vina가 제한적으로 탐색한 것과 사실상 동일한 표면 포켓으로 독자적으로 수렴하였다 — Pioglitazone의 최상위 pose는 Vina 포켓 무게중심으로부터 3.9Å(confidence −1.06, 셋 중 최고), Ezetimibe는 3.5Å(confidence −1.32) 떨어져 있었다. 두 pose는 접촉 잔기 대부분(Leu304, Leu312, Gly313, Ala314, Leu322, Val324, Gly352, Thr353, His356)을 공유하였고, Pioglitazone은 추가로 Ala309, Val317, Lys381과도 접촉하였다. 화학구조가 서로 무관한 두 화합물을 독립적으로 도킹했을 때 이러한 중첩이 나타난다는 사실 자체가, 이 부위가 우연한 표면 함몰이 아니라 실제 도킹 가능한 포켓임을 뒷받침하는 근거이다.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세 DiffDock confidence 값(Resmetirom −2.06, Ezetimibe −1.32, Pioglitazone −1.06) 모두 해당 방법 자체의 저–중간 신뢰 구간에 속한다(공개된 벤치마크는 confidence 점수 0 이상을 고신뢰로 간주한다). 따라서 세 결과 모두 확정적 결합제로 과대 포장해서는 안 되며, 이번 스크리닝의 가설 생성적 선도물질일 뿐 검증된 hit는 아니다. 다만 세 화합물 중 Pioglitazone은 STITCH 연관성·Vina 순위·DiffDock 포켓 수렴이라는 독립적 근거를 가장 일관되게 갖춘 화합물이다.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화합물(Resmetirom, Ezetimibe, Pioglitazone)에 한해서만 사용하였으며, 이는 DiffDock을 21개 전체 화합물이 아니라 최종 소수 후보로 제한한다는 앞서의 CPU 예산 결정과 일치한다.</w:t>
      </w:r>
    </w:p>
    <w:p>
      <w:pPr>
        <w:pStyle w:val="Heading2"/>
        <w:pageBreakBefore/>
        <w:spacing w:after="100" w:before="200"/>
      </w:pPr>
      <w:r>
        <w:t xml:space="preserve">Text S3. 본 연구에서 인용한 선행 인간 코호트 분석(GSE135251, GSE136103)의 방법론</w:t>
      </w:r>
    </w:p>
    <w:p>
      <w:pPr>
        <w:spacing w:after="150" w:line="320"/>
        <w:jc w:val="both"/>
      </w:pPr>
      <w:r>
        <w:rPr>
          <w:sz w:val="20"/>
          <w:szCs w:val="20"/>
        </w:rPr>
        <w:t xml:space="preserve">서론과 Methods 2.6에서는 같은 저자가 별도의, 완전히 버전관리된 프로젝트로 수행한 두 건의 선행 인간 코호트 재분석을 인용한다 — (a) 본 연구의 더 넓은 연구 프로그램을 촉발한 후보 유전자 목록의 출처, 그리고 (b) 3.5절/Figure 5에서 독립적인 종간 참조 자료로 재사용된 인간 간 scRNA-seq 아틀라스이다. 이 두 선행 분석은 별도로 출판되어 있지 않으므로, 본 절에서는 외부 프로젝트 저장소에 대한 접근 없이도 본 원고만으로 완전히 이해될 수 있도록 그 방법론과 결과를 각각의 핵심 figure와 함께 빠짐없이 기술한다.</w:t>
      </w:r>
    </w:p>
    <w:p>
      <w:pPr>
        <w:spacing w:after="150" w:line="320"/>
        <w:jc w:val="both"/>
      </w:pPr>
      <w:r>
        <w:rPr>
          <w:sz w:val="20"/>
          <w:szCs w:val="20"/>
        </w:rPr>
        <w:t xml:space="preserve">선행분석 1 — GSE135251(bulk RNA-seq, 인간 간생검 216례; </w:t>
      </w:r>
      <w:hyperlink w:history="1" r:id="rIdfpxx6l3rxbqcktehnlgoy">
        <w:r>
          <w:rPr>
            <w:color w:val="0563C1"/>
            <w:sz w:val="20"/>
            <w:szCs w:val="20"/>
            <w:u w:val="single"/>
          </w:rPr>
          <w:t xml:space="preserve">Govaere et al., 2020</w:t>
        </w:r>
      </w:hyperlink>
      <w:r>
        <w:rPr>
          <w:sz w:val="20"/>
          <w:szCs w:val="20"/>
        </w:rPr>
        <w:t xml:space="preserve">): 이 공개 MASLD 코호트는 생검으로 확진된 MASLD/NAFLD 환자 206명(섬유화 병기 F0-F4)과 건강대조군 10명으로 구성된다. 건강대조군 10명은 제외하고, 206명의 MASLD 환자를 초기 섬유화군(F0-F1, n=85)과 중등도/진행성 섬유화군(F2-F4, n=121)으로 나누었다. 차등발현은 DESeq2(Wald test, apeglm log2FC 축소; count≥10인 유전자를 ≥20개 표본에서 사전 필터링, 64,258개에서 17,421개 유전자로 검정 대상 축소)로 계산하였으며, 진행성 대 초기 섬유화에서 유의하게 상향된 유전자 167개, 하향된 유전자 5개를 확인하였다(padj&lt;0.05). 유전자 집합 농축분석(fgsea, Wald 통계량으로 순위화; MSigDB Hallmark 및 KEGG_MEDICUS)은 진행성 섬유화에서 EMT, TNFA/NFKB 신호전달, 혈관신생이 농축되고 지방산대사·산화적인산화가 결핍됨을 보였고, GO/KEGG 과대표현분석(clusterProfiler)은 세포외기질 조직화, 콜라겐 원섬유 조직화, 인테그린 신호전달을 주요 농축 용어로 반환하였다. 유의 DEG 172개를 STRING API(confidence score≥700)에 조회하여 157개 노드, 60개 엣지의 네트워크를 구성하였으며, 이는 케모카인/면역 동원 모듈(CXCL8, CXCL1, CXCL6, CCL19, CCL20, CCL21)과 COL1A1을 중심으로 한 콜라겐/ECM 모듈로 나뉘었다(아래 그림). hub 유전자 15개(degree≥3)를 DGIdb에 조회하고, 이미 잘 알려진 섬유화 유전자 약 26개(collagen 계열, 핵심 TGF-β/근섬유아세포 축)의 수기 큐레이션 목록과 대조하여 이 목록을 제외한 결과, 이 특정 코호트에서 아직 깊이 다루어지지 않은 druggable, 네트워크 중심적 후보 7개가 남았다: CCL21, CXCL8, CCL20, EPCAM, LUM, THY1, THBS2. 이 7개 유전자는 넓은 섬유화 문헌에서 문자 그대로 신규는 아니지만, 이 코호트에서 데이터 기반·네트워크 중심성 순위로 도출된 후보로서 서론에서 언급한 후보 목록이다.</w:t>
      </w:r>
    </w:p>
    <w:p>
      <w:pPr>
        <w:spacing w:after="100" w:before="20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300"/>
        <w:jc w:val="center"/>
      </w:pPr>
      <w:r>
        <w:rPr>
          <w:i/>
          <w:iCs/>
          <w:sz w:val="18"/>
          <w:szCs w:val="18"/>
        </w:rPr>
        <w:t xml:space="preserve">GSE135251 hub 유전자 PPI 네트워크(선행분석 1). 빨강: 7개 신규 druggable 후보; 파랑: 이미 잘 알려진/druggable하지 않은 섬유화 유전자. 케모카인/면역 동원 클러스터와 COL1A1 중심의 콜라겐/ECM 클러스터 두 모듈로 나뉜다.</w:t>
      </w:r>
    </w:p>
    <w:p>
      <w:pPr>
        <w:spacing w:after="150" w:line="320"/>
        <w:jc w:val="both"/>
      </w:pPr>
      <w:r>
        <w:rPr>
          <w:sz w:val="20"/>
          <w:szCs w:val="20"/>
        </w:rPr>
        <w:t xml:space="preserve">선행분석 2 — GSE136103(단일세포 RNA-seq 아틀라스 구축 및 국소화; </w:t>
      </w:r>
      <w:hyperlink w:history="1" r:id="rIdvv_dawzayp3s2biedjwql">
        <w:r>
          <w:rPr>
            <w:color w:val="0563C1"/>
            <w:sz w:val="20"/>
            <w:szCs w:val="20"/>
            <w:u w:val="single"/>
          </w:rPr>
          <w:t xml:space="preserve">Ramachandran et al., 2019</w:t>
        </w:r>
      </w:hyperlink>
      <w:r>
        <w:rPr>
          <w:sz w:val="20"/>
          <w:szCs w:val="20"/>
        </w:rPr>
        <w:t xml:space="preserve">): 이 공개 데이터셋은 인간 간 10x 표본 20개(건강 5례 + 간경변 5례, CD45+/CD45- 분리 분획; 동일 GEO series의 혈액 및 마우스 표본은 본 질문과 무관하여 제외)로 구성된다. 원 논문의 Methods를 따라 표본별로 세포를 품질관리 필터링(nFeature_RNA&gt;300, percent.mt&lt;30)해 60,925개 세포를 확보한 뒤, 정규화·스케일링·PCA를 거쳐 Harmony(RunHarmony, batch=개별 표본, 3회 반복만에 수렴; 통합 후 UMAP에서 세포가 환자 출처가 아니라 세포유형별로 잘 혼합됨을 확인)로 개별 10x 실행 단위 배치보정을 수행하였다. FindClusters(Harmony 임베딩, dims 1:15, resolution 0.6)로 20개 클러스터를 도출하였으며, 이는 동일 resolution에서 원 논문이 보고한 클러스터 수와 일치한다. 각 클러스터는 원 논문 자체의 보충 계통(lineage) 시그니처 유전자 집합에 대해 Seurat의 AddModuleScore로 점수화하고 가장 높은 점수의 계통을 부여하는 방식으로 12개 세포 계통(T cell, ILC, MP, B cell, Plasma cell, pDC, Mast cell, Endothelia, Mesenchyme, Hepatocyte, Cholangiocyte, Cycling) 중 하나로 배정되었으며, 모든 배정은 marker 유전자 dotplot으로 최종 확정 전 교차 검증되었다(아래 주석된 UMAP — 본 연구 Figure S3B의 FeaturePlot에도 재사용된 것과 동일한 임베딩).</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GSE136103 주석된 UMAP(선행분석 2), 12개 세포 계통, 60,925개 세포. Figure 5, Figure S3, Figure S3B FeaturePlot 모두 이와 동일한 임베딩을 기반으로 한다.</w:t>
      </w:r>
    </w:p>
    <w:p>
      <w:pPr>
        <w:spacing w:after="150" w:line="320"/>
        <w:jc w:val="both"/>
      </w:pPr>
      <w:r>
        <w:rPr>
          <w:sz w:val="20"/>
          <w:szCs w:val="20"/>
        </w:rPr>
        <w:t xml:space="preserve">이 아틀라스는 선행연구에서 GSE135251에서 도출된 7개 후보 유전자를 국소화하는 데 사용되었다(아래 그림): LUM, THY1, THBS2는 모두 Mesenchyme 클러스터(간성상세포/문맥 섬유아세포)에 특이적으로 국소화되었고 건강 대비 간경변에서 동일 세포유형 내 발현이 훨씬 높았다(예: THY1은 발현 세포 비율이 5.4%에서 41.9%로 증가). EPCAM은 Cholangiocyte에 그만큼 명확하게 국소화되어 간경변 관련 담관반응(ductular reaction)과 일치하였고, CXCL8과 CCL20은 하나의 뚜렷한 생산 세포유형으로 수렴하지 않았다.</w:t>
      </w:r>
    </w:p>
    <w:p>
      <w:pPr>
        <w:spacing w:after="100" w:before="200"/>
        <w:jc w:val="center"/>
      </w:pPr>
      <w:r>
        <w:drawing>
          <wp:inline distT="0" distB="0" distL="0" distR="0">
            <wp:extent cx="5734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591050"/>
                    </a:xfrm>
                    <a:prstGeom prst="rect">
                      <a:avLst/>
                    </a:prstGeom>
                  </pic:spPr>
                </pic:pic>
              </a:graphicData>
            </a:graphic>
          </wp:inline>
        </w:drawing>
      </w:r>
    </w:p>
    <w:p>
      <w:pPr>
        <w:spacing w:after="300"/>
        <w:jc w:val="center"/>
      </w:pPr>
      <w:r>
        <w:rPr>
          <w:i/>
          <w:iCs/>
          <w:sz w:val="18"/>
          <w:szCs w:val="18"/>
        </w:rPr>
        <w:t xml:space="preserve">GSE136103에서 GSE135251 유래 7개 후보 유전자의 국소화(선행분석 2), 조건별 분리. LUM/THY1/THBS2는 Mesenchyme에 국소화되며 간경변에서 급격히 증가한다; EPCAM은 Cholangiocyte에 국소화된다.</w:t>
      </w:r>
    </w:p>
    <w:p>
      <w:pPr>
        <w:spacing w:after="150" w:line="320"/>
        <w:jc w:val="both"/>
      </w:pPr>
      <w:r>
        <w:rPr>
          <w:sz w:val="20"/>
          <w:szCs w:val="20"/>
        </w:rPr>
        <w:t xml:space="preserve">구성비 변화 검정(카이제곱 및 유형별 비율 검정, BH 보정)은 추가로 Cholangiocyte 비율이 간경변에서 거의 3배(3.2%에서 9.1%)로, Endothelia는 2배 이상(8.9%에서 19.3%)으로 증가한 반면, Mesenchyme 자체 비율은 LUM/THY1/THBS2 발현이 급격히 증가하는 가운데서도 오히려 소폭 감소(4.6%에서 3.0%)함을 보였다 — 즉 섬유화 신호는 성상세포의 순 증식이 아니라 기존 성상세포의 활성화를 반영한다.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GSE136103 세포유형 구성비, 건강 vs. 간경변(선행분석 2). Cholangiocyte와 Endothelia 비율은 간경변에서 증가하지만, Mesenchyme 비율은 섬유화 유전자 발현 증가에도 불구하고 증가하지 않는다 — 증식이 아니라 활성화.</w:t>
      </w:r>
    </w:p>
    <w:p>
      <w:pPr>
        <w:spacing w:after="150" w:line="320"/>
        <w:jc w:val="both"/>
      </w:pPr>
      <w:r>
        <w:rPr>
          <w:sz w:val="20"/>
          <w:szCs w:val="20"/>
        </w:rPr>
        <w:t xml:space="preserve">본 연구와의 관계: 본 원고는 GSE135251 bulk 분석이나 그 LUM/THY1/THBS2/EPCAM 결과를 전혀 재사용하지 않는다 — 해당 분석은 서론에서 네트워크 중심성·druggability 기반 스크리닝 전략을 진정한 다중 장기 마우스 데이터셋으로 확장할 가치가 있다고 판단한 배경으로만 인용된다. 반면 위에서 기술한 GSE136103 아틀라스는 3.5절/Figure 5 및 Supplemental Figure S3에서 직접 재사용되지만, 완전히 다른 역할로 사용된다 — 즉 아틀라스가 원래 국소화하도록 구축되었던 LUM/THY1/THBS2/EPCAM 유전자와는 무관한, 본 연구 자체의 후보 유전자(Sdc1, Sdc2, Sdc3, Sdc4, Cdh5, Angptl4)를 국소화하기 위한 독립적인 종간 참조 자료로만 사용된다. 선행연구에서 밝힌 것과 동일한 한계가 여기에도 적용된다: GSE135251과 GSE136103은 짝지어진 표본이 없는 서로 다른 환자 코호트이며, 본 연구 자체의 마우스 코호트는 이와 완전히 독립적인 세 번째 데이터셋이다 — 따라서 세 데이터셋 간의 모든 교차 참조(bulk-아틀라스 간, 마우스-인간 간)는 개체 내에서 직접 매칭된 검증이 아니라, 독립적인 데이터셋들에 걸쳐 도출한 타당한 생물학적 추론이다. 두 선행 분석의 원본 데이터, 분석 코드, 전체 결과표는 모두 각자의 전용 저장소에 버전관리되어 있으며(본 원고의 다른 부분과 일관되게 내부 프로젝트 명칭이 아니라 일반적으로 지칭하였다), 교신저자에게 요청 시 열람 가능하다.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_qylflbgkqigxpid6cp" Type="http://schemas.openxmlformats.org/officeDocument/2006/relationships/hyperlink" Target="https://doi.org/10.1016/j.jare.2024.02.006" TargetMode="External"/><Relationship Id="rIdfpxx6l3rxbqcktehnlgoy" Type="http://schemas.openxmlformats.org/officeDocument/2006/relationships/hyperlink" Target="https://doi.org/10.1126/scitranslmed.aba4448" TargetMode="External"/><Relationship Id="rIdvv_dawzayp3s2biedjwql" Type="http://schemas.openxmlformats.org/officeDocument/2006/relationships/hyperlink" Target="https://doi.org/10.1038/s41586-019-1631-3" TargetMode="Externa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5f241894cf8527da25a083876b6bf48df052c39b.png"/><Relationship Id="rId10" Type="http://schemas.openxmlformats.org/officeDocument/2006/relationships/image" Target="media/351ac56ec5686d16c925c54c0f981d9d72495e09.png"/><Relationship Id="rId11" Type="http://schemas.openxmlformats.org/officeDocument/2006/relationships/image" Target="media/f48637a8e2b18376e250adf84cee13a7dcbbdc87.png"/><Relationship Id="rId12" Type="http://schemas.openxmlformats.org/officeDocument/2006/relationships/image" Target="media/676e19a1eb2b768705e15802b5b288b50718c68a.png"/><Relationship Id="rId13" Type="http://schemas.openxmlformats.org/officeDocument/2006/relationships/image" Target="media/9a951b02dfce85f6943ccda73d7cc32b99951b5c.png"/><Relationship Id="rId14" Type="http://schemas.openxmlformats.org/officeDocument/2006/relationships/image" Target="media/92f12a71e162440c5e3ef9c51ba7cf00287cfe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2026-07-18T08:34:44.605Z</dcterms:created>
  <dcterms:modified xsi:type="dcterms:W3CDTF">2026-07-18T08:34:44.608Z</dcterms:modified>
</cp:coreProperties>
</file>

<file path=docProps/custom.xml><?xml version="1.0" encoding="utf-8"?>
<Properties xmlns="http://schemas.openxmlformats.org/officeDocument/2006/custom-properties" xmlns:vt="http://schemas.openxmlformats.org/officeDocument/2006/docPropsVTypes"/>
</file>