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Multi-Organ Transcriptomic Integration Identifies an Angptl4-Syndecan/Cadherin Axis Underlying Cardiohepatic Syndrome and Guides Structure-Based Drug Screening</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(cardiometabolic drugs, endogenous fatty acids, and unrelated controls) ranked Resmetirom (the first FDA-approved MASH drug) and Ezetimibe as the top two hits (-9.07 and -8.88 kcal/mol). An orthogonal, box-free DiffDock cross-check showed Ezetimibe's top pose converging within 3.5 A of the Vina-defined pocket, while Resmetirom's top pose landed 23.5 A away at a distinct site - reframing Ezetimibe, not the top Vina scorer, as the more cross-validated candidate.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r>
        <w:br w:type="page"/>
      </w:r>
    </w:p>
    <w:p>
      <w:pPr>
        <w:pStyle w:val="Heading1"/>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(Rinella et al., 2023).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(Strocchi et al., 2024). A follow-up study used hepatocyte-specific secretome labeling to show that the liver's secreted cytokine signature is altered under HFpEF (Schütte et al., 2025).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(GSE135251 and GSE136103), from which several candidate genes - LUM, THY1, THBS2, EDNRB, and CD44/ITGA1/ITGB1 - were previously nominated; the present study extends that program by moving from mouse to a genuinely inter-organ (liver-heart) axis.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(Love et al., 2014) was applied independently to each organ. Genes were pre-filtered to those with a raw count ≥10 in at least 5 of the 10 samples, and log2 fold changes were shrunk using apeglm (Zhu et al., 2019).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(Korotkevich et al., 2019). Because apeglm-shrunk results omit the Wald statistic, the ranking metric was reconstructed as sign(log2FC) x (-log10 p-value). For the significant DEG lists, clusterProfiler (Wu et al., 2021)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(Jin et al., 2021).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(Szklarczyk et al., 2023;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already-annotated Seurat object from our own prior work (project4, human liver cirrhosis scRNA-seq, GSE136103; Ramachandran et al., 2019), used strictly as an independent, cross-species reference rather than pooled into any statistical test.</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(Szklarczyk et al., 2016) for known or predicted chemical interactions, with compound names resolved via the PubChem PUG-REST API. Druggability was assessed via the DGIdb 5.0 GraphQL API (Cannon et al., 2024),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(Eberhardt et al., 2021)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(Corso et al., 2023) installation was judged impractical for CPU-only inference. Instead, a publicly hosted Gradio Space running the original inference code (gcorso/DiffDock; mirrored at swcanner/DiffDock-Web) was used to cross-validate the top two Vina hits (Resmetirom, Ezetimibe)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50507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(Strocchi et al., 2024),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gene set enrichment analysis (GSEA). (A) Liver. (B) LV. Bars show the normalized enrichment score (NES) for pathways significant at padj&lt;0.05.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478155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w:t>
      </w:r>
    </w:p>
    <w:p>
      <w:pPr>
        <w:pStyle w:val="Heading2"/>
        <w:spacing w:after="100" w:before="200"/>
      </w:pPr>
      <w:r>
        <w:t xml:space="preserve">3.5 Cross-species cell-type localization</w:t>
      </w:r>
    </w:p>
    <w:p>
      <w:pPr>
        <w:spacing w:after="200" w:line="360"/>
        <w:jc w:val="both"/>
      </w:pPr>
      <w:r>
        <w:rPr>
          <w:sz w:val="22"/>
          <w:szCs w:val="22"/>
        </w:rPr>
        <w:t xml:space="preserve">Reusing our previously annotated human liver scRNA-seq atlas (project4, GSE136103)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(project4, human GSE136103).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and it is independently validated both by our own DEG analysis and by a 2024 single-cell study demonstrating cardiac-fibroblast-specific ANGPTL4 secretion in HFpEF (Li et al., 2024) (full rationale in Supplemental Text S1).</w:t>
      </w:r>
    </w:p>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two Vina hits produced a striking divergence. Ezetimibe's top-ranked pose (confidence -1.32) fell within 3.5 A of the Vina-defined pocket centroid, i.e., two independent methods converged on essentially the same site (Figure 7A). Resmetirom's top-ranked pose (confidence -2.06), in contrast, localized 23.5 A away, at an entirely different surface region (Figure 7B; Supplemental Text S2 gives full contact-residue detail). Both DiffDock confidence values fall within that method's low-to-moderate range and should not be over-interpreted as confirmed binding; nonetheless, on a strictly comparative basis, Ezetimibe - not the top Vina scorer - emerges as the more structurally consistent candidate across two independent docking algorithms.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7. Structure-based docking poses of the top two AutoDock Vina hits, cross-validated by DiffDock. (A) Ezetimibe (DiffDock confidence -1.32), converging within 3.5 A of the Vina-defined pocket; contact residues Leu304, Leu312, Gly313, Ala314, Leu322, Ser323, Val324, Trp349, Trp350, Gly352, Thr353, His356. (B) Resmetirom (DiffDock confidence -2.06), 23.5 A from the Vina-defined pocket at a distinct site; contact residues Trp280, Asp281, Ile367, Leu374, Tyr387, Tyr388, Pro389.</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r>
        <w:br w:type="page"/>
      </w:r>
    </w:p>
    <w:p>
      <w:pPr>
        <w:pStyle w:val="Heading1"/>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(Li et al., 2024)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and the hepatic localization of the syndecans relies on a human, cross-species reference rather than mouse single-cell validation. Third, DiffDock was run through a public web interface for only the top two compounds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Recognizing that the network hubs Sdc1/Sdc4 are not currently structurally actionable, we redirected structure-based screening to Angptl4 itself, and identified Ezetimibe as the candidate most consistently cross-validated by two independent docking algorithms. Future work should pursue (1) direct cell-type localization using single-cell data collected from both liver and heart of the same animals, (2) full-library DiffDock re-screening on a GPU-equipped system, (3) biochemical confirmation of Ezetimibe-ANGPTL4 binding by SPR or ITC, and (4) in vivo assessment of hepatic phenotype following Ezetimibe administration in the HFpEF mouse model.</w:t>
      </w:r>
    </w:p>
    <w:p>
      <w:pPr>
        <w:pStyle w:val="Heading1"/>
        <w:spacing w:after="150" w:before="300"/>
      </w:pPr>
      <w:r>
        <w:t xml:space="preserve">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c113c10312beb0989e21b5a17aa6ff758edd2a.png"/><Relationship Id="rId8" Type="http://schemas.openxmlformats.org/officeDocument/2006/relationships/image" Target="media/845502aa2108cf9f2b5076c7de05b5c0b6176c7b.png"/><Relationship Id="rId9" Type="http://schemas.openxmlformats.org/officeDocument/2006/relationships/image" Target="media/c6a355a1fd9e19d0c4ada67f115e860f3d9de56f.png"/><Relationship Id="rId10" Type="http://schemas.openxmlformats.org/officeDocument/2006/relationships/image" Target="media/dfb0cfadcb6d61bf04615126a259749901efd38e.png"/><Relationship Id="rId11" Type="http://schemas.openxmlformats.org/officeDocument/2006/relationships/image" Target="media/8d09248872afeae69f998f9a7752440a86b51dcf.png"/><Relationship Id="rId12" Type="http://schemas.openxmlformats.org/officeDocument/2006/relationships/image" Target="media/2024e391ffc7deb8db70efefbfe2c51644c7536a.png"/><Relationship Id="rId13" Type="http://schemas.openxmlformats.org/officeDocument/2006/relationships/image" Target="media/d36139dd91c22be1c4e28e752ca5f8859842c2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2026-07-15T10:04:47.649Z</dcterms:created>
  <dcterms:modified xsi:type="dcterms:W3CDTF">2026-07-15T10:04:47.649Z</dcterms:modified>
</cp:coreProperties>
</file>

<file path=docProps/custom.xml><?xml version="1.0" encoding="utf-8"?>
<Properties xmlns="http://schemas.openxmlformats.org/officeDocument/2006/custom-properties" xmlns:vt="http://schemas.openxmlformats.org/officeDocument/2006/docPropsVTypes"/>
</file>