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다중장기 전사체 통합분석을 통한 Angptl4-Syndecan/Cadherin 축 매개 심장-간 증후군(Cardiohepatic Syndrome) 신규 표적 발굴 및 구조 기반 약물 스크리닝</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화합물(심혈관대사 약물, 내인성 지방산, 무관 대조군)에 대한 AutoDock Vina 스크리닝 결과 Resmetirom(첫 FDA 승인 MASH 치료제)과 Ezetimibe가 각각 1, 2위(-9.07, -8.88 kcal/mol)를 차지하였다. 결합 부위를 사전 지정하지 않는 독립적 방법인 DiffDock 교차검증에서는 Ezetimibe의 최상위 pose만이 Vina가 탐색한 포켓으로부터 3.5Å 이내로 수렴한 반면, Resmetirom의 최상위 pose는 23.5Å 떨어진 다른 부위에 결합하여, Vina 1위가 아닌 Ezetimibe가 더 신뢰할 수 있는 교차검증 후보로 재확인되었다.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r>
        <w:br w:type="page"/>
      </w:r>
    </w:p>
    <w:p>
      <w:pPr>
        <w:pStyle w:val="Heading1"/>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반영한다(Rinella et al., 2023).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제시하였다(Strocchi et al., 2024). 후속 연구는 간세포 특이적 분비단백질 표지(secretome labeling) 기법을 이용해 HFpEF 상태에서 간의 분비 사이토카인 신호가 변화함을 보였다(Schütte et al., 2025).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코호트(GSE135251, GSE136103)를 분석한 저자 자신의 선행연구 위에 직접 구축된 것으로, 해당 연구에서 이미 LUM, THY1, THBS2, EDNRB, CD44/ITGA1/ITGB1 등 여러 후보 유전자가 제시된 바 있다. 본 연구는 마우스로, 그리고 진정한 다중 장기(간-심장) 축으로 그 프로그램을 확장한다.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DESeq2(Love et al., 2014)를 적용하였다. 유전자는 전체 10개 표본 중 5개 이상에서 raw count ≥10인 것만 사전 필터링하였으며, log2 fold change는 apeglm(Zhu et al., 2019)으로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fgsea(Korotkevich et al., 2019)로 GSEA를 수행하였다. apeglm으로 축소된 결과에는 Wald 통계량이 없으므로, 순위 지표는 sign(log2FC) × (−log10 p-value)로 재구성하였다. 유의 DEG 목록에 대해서는 clusterProfiler(Wu et al., 2021)를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CellChatDB.mouse(Jin et al., 2021)의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선행연구(project4, 인간 간경변 scRNA-seq, GSE136103; Ramachandran et al., 2019)에서 이미 주석된 Seurat 객체를 독립적인 종간(cross-species) 참조 자료로만 활용하여 평가하였으며, 어떠한 통계적 검정에도 직접 결합하지 않았다.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STITCH(Szklarczyk et al., 2016)로 기존에 알려지거나 예측된 화학물질 상호작용을 조회하고, 화합물명은 PubChem PUG-REST API로 확인하였다. druggability는 DGIdb 5.0 GraphQL API(Cannon et al., 2024)로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2023)의 로컬 설치 및 CPU 추론은 비현실적이라고 판단하였다. 대신 원 저자 추론 코드(gcorso/DiffDock)를 그대로 구동하는 공개 Gradio 웹 인터페이스(swcanner/DiffDock-Web)를 이용해 Vina 상위 2개 화합물(Resmetirom, Ezetimibe)에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50507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연구(Strocchi et al., 2024)가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막대는 padj&lt;0.05로 유의한 경로의 정규화농축점수(NES)를 나타낸다.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이미 세포유형이 주석된 인간 간 scRNA-seq 아틀라스(project4, GSE136103)를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활용(project4, 인간 GSE136103).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연구(Li et al., 2024) 양쪽으로부터 이중 검증되었다(상세 근거는 Supplemental Text S1 참조).</w:t>
      </w:r>
    </w:p>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2개 화합물에 적용한 결과, 뚜렷한 괴리가 나타났다. Ezetimibe의 최상위 pose(confidence −1.32)는 Vina가 탐색한 포켓 무게중심으로부터 3.5Å 이내에 위치하여, 서로 독립적인 두 방법이 사실상 같은 부위로 수렴하였다(Figure 7A). 반면 Resmetirom의 최상위 pose(confidence −2.06)는 그로부터 23.5Å 떨어진 완전히 다른 표면 영역에 국소화되었다(Figure 7B; 접촉 잔기 상세 정보는 Supplemental Text S2 참조). 두 DiffDock confidence 값 모두 해당 방법의 저–중간 신뢰 구간에 속하므로 확정적 결합으로 과대해석해서는 안 되지만, 엄밀히 비교했을 때 Vina 1위가 아닌 Ezetimibe가 두 개의 독립적인 도킹 알고리즘에 걸쳐 구조적으로 더 일관된 후보로 부상하였다.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7. Vina 상위 2개 화합물의 구조 기반 도킹 pose, DiffDock으로 교차검증. (A) Ezetimibe(DiffDock confidence −1.32), Vina 포켓으로부터 3.5Å 이내로 수렴; 접촉 잔기 Leu304, Leu312, Gly313, Ala314, Leu322, Ser323, Val324, Trp349, Trp350, Gly352, Thr353, His356. (B) Resmetirom(DiffDock confidence −2.06), Vina 포켓으로부터 23.5Å 떨어진 별개 부위; 접촉 잔기 Trp280, Asp281, Ile367, Leu374, Tyr387, Tyr388, Pro389.</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r>
        <w:br w:type="page"/>
      </w:r>
    </w:p>
    <w:p>
      <w:pPr>
        <w:pStyle w:val="Heading1"/>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결과(Li et al., 2024)는,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확인되었으며, syndecan의 간 내 국소화 역시 마우스 단일세포 검증이 아니라 인간 종간 참조 자료에 의존하였다. 셋째, 로컬 GPU의 부재로 DiffDock은 21개 전체 화합물이 아니라 상위 2개 화합물에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네트워크 hub인 Sdc1/Sdc4가 현재 구조적으로 액셔너블하지 않다는 점을 인식하고 구조 기반 스크리닝의 표적을 Angptl4 자체로 재조정한 결과, 두 개의 독립적인 도킹 알고리즘 모두에서 가장 일관되게 교차검증된 후보로 Ezetimibe를 확인하였다. 향후 연구에서는 (1) 동일 개체의 간과 심장을 함께 프로파일링한 단일세포 데이터를 이용한 직접적 세포유형 국소화, (2) GPU 환경에서의 전체 라이브러리 DiffDock 재스크리닝, (3) SPR 또는 ITC를 통한 Ezetimibe-ANGPTL4 결합의 생화학적 검증, (4) HFpEF 마우스 모델에서 Ezetimibe 투여 후 간 표현형 변화에 대한 in vivo 평가가 필요하다.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113c10312beb0989e21b5a17aa6ff758edd2a.png"/><Relationship Id="rId8" Type="http://schemas.openxmlformats.org/officeDocument/2006/relationships/image" Target="media/845502aa2108cf9f2b5076c7de05b5c0b6176c7b.png"/><Relationship Id="rId9" Type="http://schemas.openxmlformats.org/officeDocument/2006/relationships/image" Target="media/c6a355a1fd9e19d0c4ada67f115e860f3d9de56f.png"/><Relationship Id="rId10" Type="http://schemas.openxmlformats.org/officeDocument/2006/relationships/image" Target="media/dfb0cfadcb6d61bf04615126a259749901efd38e.png"/><Relationship Id="rId11" Type="http://schemas.openxmlformats.org/officeDocument/2006/relationships/image" Target="media/8d09248872afeae69f998f9a7752440a86b51dcf.png"/><Relationship Id="rId12" Type="http://schemas.openxmlformats.org/officeDocument/2006/relationships/image" Target="media/2024e391ffc7deb8db70efefbfe2c51644c7536a.png"/><Relationship Id="rId13" Type="http://schemas.openxmlformats.org/officeDocument/2006/relationships/image" Target="media/d36139dd91c22be1c4e28e752ca5f8859842c2a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2026-07-15T10:04:47.414Z</dcterms:created>
  <dcterms:modified xsi:type="dcterms:W3CDTF">2026-07-15T10:04:47.426Z</dcterms:modified>
</cp:coreProperties>
</file>

<file path=docProps/custom.xml><?xml version="1.0" encoding="utf-8"?>
<Properties xmlns="http://schemas.openxmlformats.org/officeDocument/2006/custom-properties" xmlns:vt="http://schemas.openxmlformats.org/officeDocument/2006/docPropsVTypes"/>
</file>