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Multi-Organ Transcriptomic Integration Identifies an Angptl4-Syndecan/Cadherin Axis Underlying Cardiohepatic Syndrome and Guides Structure-Based Drug Screening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Reload the previously annotated project4 (GSE136103) Seurat object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(Resmetirom, Ezetimibe, Pioglitazone).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r>
        <w:br w:type="page"/>
      </w:r>
    </w:p>
    <w:p>
      <w:pPr>
        <w:pStyle w:val="Heading1"/>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project4 GSE136103 cross-species reference). Provided in addition to Figure 5 to show whether localization itself, rather than only expression level, shifts with disease state.</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r>
        <w:br w:type="page"/>
      </w:r>
    </w:p>
    <w:p>
      <w:pPr>
        <w:pStyle w:val="Heading1"/>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r>
        <w:br w:type="page"/>
      </w:r>
    </w:p>
    <w:p>
      <w:pPr>
        <w:pStyle w:val="Heading2"/>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r>
        <w:br w:type="page"/>
      </w:r>
    </w:p>
    <w:p>
      <w:pPr>
        <w:pStyle w:val="Heading2"/>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r>
        <w:br w:type="page"/>
      </w:r>
    </w:p>
    <w:p>
      <w:pPr>
        <w:pStyle w:val="Heading2"/>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r>
        <w:br w:type="page"/>
      </w:r>
    </w:p>
    <w:p>
      <w:pPr>
        <w:pStyle w:val="Heading2"/>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r>
        <w:br w:type="page"/>
      </w:r>
    </w:p>
    <w:p>
      <w:pPr>
        <w:pStyle w:val="Heading2"/>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r>
        <w:br w:type="page"/>
      </w:r>
    </w:p>
    <w:p>
      <w:pPr>
        <w:pStyle w:val="Heading2"/>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r>
        <w:br w:type="page"/>
      </w:r>
    </w:p>
    <w:p>
      <w:pPr>
        <w:pStyle w:val="Heading2"/>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r>
        <w:br w:type="page"/>
      </w:r>
    </w:p>
    <w:p>
      <w:pPr>
        <w:pStyle w:val="Heading2"/>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r>
        <w:br w:type="page"/>
      </w:r>
    </w:p>
    <w:p>
      <w:pPr>
        <w:pStyle w:val="Heading1"/>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(Li et al., 2024).</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2026-07-15T15:13:30.204Z</dcterms:created>
  <dcterms:modified xsi:type="dcterms:W3CDTF">2026-07-15T15:13:30.204Z</dcterms:modified>
</cp:coreProperties>
</file>

<file path=docProps/custom.xml><?xml version="1.0" encoding="utf-8"?>
<Properties xmlns="http://schemas.openxmlformats.org/officeDocument/2006/custom-properties" xmlns:vt="http://schemas.openxmlformats.org/officeDocument/2006/docPropsVTypes"/>
</file>