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다중장기 전사체 통합분석을 통한 Angptl4-Syndecan/Cadherin 축 매개 심장-간 증후군 신규 표적 발굴 및 구조 기반 약물 스크리닝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06_liver_localization_project4.R</w:t>
            </w:r>
          </w:p>
        </w:tc>
        <w:tc>
          <w:tcPr>
            <w:tcMar>
              <w:top w:type="dxa" w:w="60"/>
              <w:left w:type="dxa" w:w="80"/>
              <w:bottom w:type="dxa" w:w="60"/>
              <w:right w:type="dxa" w:w="80"/>
            </w:tcMar>
          </w:tcPr>
          <w:p>
            <w:r>
              <w:rPr>
                <w:b w:val="false"/>
                <w:bCs w:val="false"/>
                <w:sz w:val="17"/>
                <w:szCs w:val="17"/>
              </w:rPr>
              <w:t xml:space="preserve">이미 주석된 project4(GSE136103) Seurat 객체를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(A)/(B)/(C) 패널 문자와 함께 하나의 합성 Figure 이미지로 결합.</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캐시된 DESeq2 객체를 재사용해 간 heatmap만 다시 생성 — 행 폰트를 줄이고 캔버스를 늘려 86개 유전자 라벨이 더 이상 겹치지 않도록 조정.</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공개 Tabula Muris FACS 간 아틀라스로 Sdc1/Sdc4/Sdc3/Cdh5의 간세포/Kupffer/내피세포 국소화를 마우스 조직에서 직접 교차검증 — 인간 전용 종간 참조라는 한계를 보완.</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화합물(Resmetirom, Ezetimibe, Pioglitazone)에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r>
        <w:br w:type="page"/>
      </w:r>
    </w:p>
    <w:p>
      <w:pPr>
        <w:pStyle w:val="Heading1"/>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국소화(project4 GSE136103 종간 참조). Figure 5에 더해, 단순 발현량뿐 아니라 국소화 패턴 자체가 질환 상태에 따라 달라지는지를 보여주기 위해 추가하였다.</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Angptl4 축 유전자 국소화의 독립적인 마우스 자체 교차검증(Tabula Muris, FACS/Smart-seq2 간 아틀라스, n=714 세포, 5개 주석 세포유형). Sdc4(91.8%)와 Sdc1(68.3%)은 주로 간세포에서, Sdc3(80.3%)는 Kupffer 세포에서, Cdh5(98.4%)는 간 동양혈관 내피세포에서 검출되어 — bulk 코호트와 동일한 종에서 Figure 5의 인간 아틀라스 패턴을 직접 재현하였다.</w:t>
      </w:r>
    </w:p>
    <w:p>
      <w:r>
        <w:br w:type="page"/>
      </w:r>
    </w:p>
    <w:p>
      <w:pPr>
        <w:pStyle w:val="Heading1"/>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r>
        <w:br w:type="page"/>
      </w:r>
    </w:p>
    <w:p>
      <w:pPr>
        <w:pStyle w:val="Heading2"/>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r>
        <w:br w:type="page"/>
      </w:r>
    </w:p>
    <w:p>
      <w:pPr>
        <w:pStyle w:val="Heading2"/>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r>
        <w:br w:type="page"/>
      </w:r>
    </w:p>
    <w:p>
      <w:pPr>
        <w:pStyle w:val="Heading2"/>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r>
        <w:br w:type="page"/>
      </w:r>
    </w:p>
    <w:p>
      <w:pPr>
        <w:pStyle w:val="Heading2"/>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r>
        <w:br w:type="page"/>
      </w:r>
    </w:p>
    <w:p>
      <w:pPr>
        <w:pStyle w:val="Heading2"/>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r>
        <w:br w:type="page"/>
      </w:r>
    </w:p>
    <w:p>
      <w:pPr>
        <w:pStyle w:val="Heading2"/>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r>
        <w:br w:type="page"/>
      </w:r>
    </w:p>
    <w:p>
      <w:pPr>
        <w:pStyle w:val="Heading2"/>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r>
        <w:br w:type="page"/>
      </w:r>
    </w:p>
    <w:p>
      <w:pPr>
        <w:pStyle w:val="Heading2"/>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r>
        <w:br w:type="page"/>
      </w:r>
    </w:p>
    <w:p>
      <w:pPr>
        <w:pStyle w:val="Heading1"/>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연구(Li et al., 2024)라는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Vina 상위 화합물 중 세 개 — Vina 순위 1, 2위인 Resmetirom과 Ezetimibe, 그리고 순위와 무관하게 STITCH에서 이미 독립적으로 실제 ANGPTL4 화학적 파트너로 확인되어 추가한 Pioglitazone — 을 DiffDock으로 교차검증하였다.</w:t>
      </w:r>
    </w:p>
    <w:p>
      <w:pPr>
        <w:spacing w:after="150" w:line="320"/>
        <w:jc w:val="both"/>
      </w:pPr>
      <w:r>
        <w:rPr>
          <w:sz w:val="20"/>
          <w:szCs w:val="20"/>
        </w:rPr>
        <w:t xml:space="preserve">Pioglitazone과 Ezetimibe가 교차검증된 후보로 부상하였다: 결합 부위를 사전에 지정하지 않는 독립적 방법(DiffDock)이 두 화합물 모두에 대해 Vina가 제한적으로 탐색한 것과 사실상 동일한 표면 포켓으로 독자적으로 수렴하였다 — Pioglitazone의 최상위 pose는 Vina 포켓 무게중심으로부터 3.9Å(confidence −1.06, 셋 중 최고), Ezetimibe는 3.5Å(confidence −1.32) 떨어져 있었다. 두 pose는 접촉 잔기 대부분(Leu304, Leu312, Gly313, Ala314, Leu322, Val324, Gly352, Thr353, His356)을 공유하였고, Pioglitazone은 추가로 Ala309, Val317, Lys381과도 접촉하였다. 화학구조가 서로 무관한 두 화합물을 독립적으로 도킹했을 때 이러한 중첩이 나타난다는 사실 자체가, 이 부위가 우연한 표면 함몰이 아니라 실제 도킹 가능한 포켓임을 뒷받침하는 근거이다.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세 DiffDock confidence 값(Resmetirom −2.06, Ezetimibe −1.32, Pioglitazone −1.06) 모두 해당 방법 자체의 저–중간 신뢰 구간에 속한다(공개된 벤치마크는 confidence 점수 0 이상을 고신뢰로 간주한다). 따라서 세 결과 모두 확정적 결합제로 과대 포장해서는 안 되며, 이번 스크리닝의 가설 생성적 선도물질일 뿐 검증된 hit는 아니다. 다만 세 화합물 중 Pioglitazone은 STITCH 연관성·Vina 순위·DiffDock 포켓 수렴이라는 독립적 근거를 가장 일관되게 갖춘 화합물이다.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화합물(Resmetirom, Ezetimibe, Pioglitazone)에 한해서만 사용하였으며, 이는 DiffDock을 21개 전체 화합물이 아니라 최종 소수 후보로 제한한다는 앞서의 CPU 예산 결정과 일치한다.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80b7c73c9715f7e6edd6de13bd7c0a4fba40a4e9.png"/><Relationship Id="rId10" Type="http://schemas.openxmlformats.org/officeDocument/2006/relationships/image" Target="media/351ac56ec5686d16c925c54c0f981d9d72495e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2026-07-15T15:13:29.808Z</dcterms:created>
  <dcterms:modified xsi:type="dcterms:W3CDTF">2026-07-15T15:13:29.811Z</dcterms:modified>
</cp:coreProperties>
</file>

<file path=docProps/custom.xml><?xml version="1.0" encoding="utf-8"?>
<Properties xmlns="http://schemas.openxmlformats.org/officeDocument/2006/custom-properties" xmlns:vt="http://schemas.openxmlformats.org/officeDocument/2006/docPropsVTypes"/>
</file>