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30"/>
        </w:rPr>
        <w:t>A Three-Cohort, Cross-Species Meta-Analysis of Transcription Factor Activity Identifies Convergent Regulators of Liver Fibrosis Across Metabolic and Chemical-Toxicant Etiologies</w:t>
      </w:r>
    </w:p>
    <w:p>
      <w:r>
        <w:rPr>
          <w:b w:val="0"/>
          <w:i w:val="0"/>
          <w:sz w:val="21"/>
        </w:rPr>
        <w:t>[Author names to be added], [Affiliation to be added]</w:t>
      </w:r>
    </w:p>
    <w:p>
      <w:r>
        <w:rPr>
          <w:b w:val="0"/>
          <w:i/>
          <w:sz w:val="19"/>
        </w:rPr>
        <w:t xml:space="preserve">Draft v1 -- </w:t>
      </w:r>
    </w:p>
    <w:p/>
    <w:p>
      <w:pPr>
        <w:pStyle w:val="Heading1"/>
      </w:pPr>
      <w:r>
        <w:t>Abstract</w:t>
      </w:r>
    </w:p>
    <w:p>
      <w:r>
        <w:rPr>
          <w:b w:val="0"/>
          <w:i w:val="0"/>
        </w:rPr>
        <w:t>Background: Liver fibrosis is the common histological endpoint of etiologically diverse insults -- metabolic dysfunction-associated steatotic liver disease (MASLD), drug- and chemical-induced liver injury, and viral or cholestatic disease -- yet most candidate anti-fibrotic targets are derived from single-etiology models, raising the risk that a candidate reflects a model-specific artifact rather than a conserved disease mechanism. We hypothesized that transcriptional regulators surviving independent scrutiny across both metabolic and chemical-toxicant injury, and across species, are more likely to represent core, etiology-agnostic drivers of fibrogenesis.</w:t>
      </w:r>
    </w:p>
    <w:p>
      <w:r>
        <w:rPr>
          <w:b w:val="0"/>
          <w:i w:val="0"/>
        </w:rPr>
        <w:t>Methods: We reanalyzed three public transcriptomic datasets spanning two species and three injury mechanisms: human MASLD liver biopsies across the full fibrosis spectrum (GSE135251, n=216, RNA-seq), a mouse carbon tetrachloride (CCl4) time-course (GSE222576, n=18, microarray), and a mouse thioacetamide (TAA) time-course (GSE74605, n=13, microarray). Differentially expressed genes were identified with pre-registered significance thresholds (DESeq2/limma, BH-adjusted p&lt;0.05, |log2FC|&gt;1). Transcription factor (TF) activity was inferred from normalized expression matrices using decoupleR's univariate linear model against the CollecTRI regulon, tested for association with fibrosis progression within each dataset (ANOVA, BH-corrected), and combined across datasets using Fisher's method gated by a stricter criterion requiring independent significance and concordant direction of change in all three datasets.</w:t>
      </w:r>
    </w:p>
    <w:p>
      <w:r>
        <w:rPr>
          <w:b w:val="0"/>
          <w:i w:val="0"/>
        </w:rPr>
        <w:t>Results: Of 499 TFs testable in all three datasets after mapping mouse TFs to their human ortholog via a database-backed homology table, 101 were independently significant in each, and 54 additionally showed concordant direction of change, forming our consensus candidate set. This set was enriched for TGF-β/SMAD pathway members moving in a mechanistically coherent pattern (SMAD3 increasing, the inhibitory SMAD6/SMAD7 decreasing, with fibrosis progression) and recovered SMARCA4, a chromatin remodeler independently validated in 2023 as a hepatic stellate cell (HSC) fibrogenic driver, supporting the biological validity of the approach. Building on this internal positive control, we nominate ARID1A -- a SMARCA4 SWI/SNF-complex partner with no prior HSC-specific characterization -- as a mechanistically motivated candidate, while noting that its direction of change in bulk tissue is consistent with either a genuine HSC-autonomous pro-fibrotic role or a cell-composition confound, a distinction we propose to resolve experimentally.</w:t>
      </w:r>
    </w:p>
    <w:p>
      <w:r>
        <w:rPr>
          <w:b w:val="0"/>
          <w:i w:val="0"/>
        </w:rPr>
        <w:t>Conclusion: Cross-etiology, cross-species consensus filtering recovers biologically plausible, partially pre-validated fibrogenic regulators and nominates ARID1A as a testable, mechanistically grounded candidate for liver-fibrosis target discovery. All code, intermediate data, and the candidate triage are publicly available.</w:t>
      </w:r>
    </w:p>
    <w:p>
      <w:r>
        <w:rPr>
          <w:b w:val="0"/>
          <w:i/>
        </w:rPr>
        <w:t>Keywords: liver fibrosis; transcription factor; meta-analysis; CollecTRI; ARID1A; SMARCA4; MASLD; hepatotoxicity; bioinformatics</w:t>
      </w:r>
    </w:p>
    <w:p>
      <w:r>
        <w:br w:type="page"/>
      </w:r>
    </w:p>
    <w:p>
      <w:pPr>
        <w:pStyle w:val="Heading1"/>
      </w:pPr>
      <w:r>
        <w:t>1. Introduction</w:t>
      </w:r>
    </w:p>
    <w:p>
      <w:r>
        <w:rPr>
          <w:b w:val="0"/>
          <w:i w:val="0"/>
        </w:rPr>
        <w:t>Liver fibrosis is the shared histological endpoint of a wide range of chronic liver insults, including metabolic dysfunction-associated steatohepatitis (MASH), chronic viral hepatitis, cholestatic disease, and repeated exposure to hepatotoxic chemicals or drugs. Regardless of etiology, progressive fibrosis is the strongest predictor of liver-related morbidity and mortality, yet no anti-fibrotic drug has been approved for routine clinical use. Most candidate targets have been nominated from a single injury model -- most commonly one rodent chemical-toxicant model (e.g., carbon tetrachloride, CCl4) or one human cohort of a single disease -- which leaves open the possibility that an apparent driver is an artifact of that specific model rather than a conserved feature of fibrogenesis itself.</w:t>
      </w:r>
    </w:p>
    <w:p>
      <w:r>
        <w:rPr>
          <w:b w:val="0"/>
          <w:i w:val="0"/>
        </w:rPr>
        <w:t>Hepatic stellate cell (HSC) activation and transdifferentiation into extracellular-matrix-producing myofibroblasts is the convergent cellular event underlying fibrosis across etiologies. This convergence suggests that a small set of upstream transcriptional regulators may coordinate the fibrogenic gene expression program regardless of the initiating insult. Focusing on transcription factors (TFs) rather than individual differentially expressed genes (DEGs) has two practical advantages for target discovery: (i) a TF integrates the state of dozens to hundreds of downstream target genes into a single interpretable activity score, improving statistical power and biological interpretability relative to any single target gene, and (ii) TFs and the chromatin-modifying complexes they recruit are increasingly druggable, as demonstrated by the recent clinical-stage development of BAF-complex (SMARCA4/SMARCA2) inhibitors.</w:t>
      </w:r>
    </w:p>
    <w:p>
      <w:r>
        <w:rPr>
          <w:b w:val="0"/>
          <w:i w:val="0"/>
        </w:rPr>
        <w:t>We reasoned that a TF surviving independent statistical scrutiny in three conditions that differ in species, injury mechanism, and expression-profiling platform -- a human metabolic-disease cohort, and two mouse models of distinct hepatotoxicant exposure (CCl4 and thioacetamide, TAA) -- is substantially less likely to be a dataset-specific artifact than one identified from any single study. This design also directly addresses a question of practical relevance to toxicology-oriented pharmacology laboratories: whether transcriptional regulators identified in chemical-toxicant liver injury models converge with those operating in human metabolic liver disease, which would support the translational use of toxicant rodent models for MASLD-relevant target discovery.</w:t>
      </w:r>
    </w:p>
    <w:p>
      <w:r>
        <w:rPr>
          <w:b w:val="0"/>
          <w:i w:val="0"/>
        </w:rPr>
        <w:t>In this study, we (i) performed independent differential expression and TF-activity analyses on three public datasets spanning these three axes, (ii) developed a conservative cross-dataset consensus criterion that requires both independent statistical significance and concordant direction of change in all three datasets, explicitly to avoid a known failure mode of naive p-value combination in meta-analyses with unequal statistical power across cohorts, (iii) used the resulting consensus TF set to identify SMARCA4 as an internal positive control that independently validates the pipeline against very recently published primary literature, and (iv) used this validated pipeline to nominate ARID1A, an uncharacterized-in-fibrosis SMARCA4 complex partner, as a prioritized candidate for experimental follow-up, together with an explicit hypothesis and experimental design to resolve its cell-type-dependent role.</w:t>
      </w:r>
    </w:p>
    <w:p>
      <w:pPr>
        <w:pStyle w:val="Heading1"/>
      </w:pPr>
      <w:r>
        <w:t>2. Methods</w:t>
      </w:r>
    </w:p>
    <w:p>
      <w:pPr>
        <w:pStyle w:val="Heading2"/>
      </w:pPr>
      <w:r>
        <w:t>2.1 Data sources</w:t>
      </w:r>
    </w:p>
    <w:p>
      <w:r>
        <w:rPr>
          <w:b w:val="0"/>
          <w:i w:val="0"/>
        </w:rPr>
        <w:t>Three publicly available GEO datasets were selected to span three independent axes: species (human vs. mouse), injury etiology (metabolic vs. chemical-toxicant), and expression-profiling platform (RNA-seq vs. two distinct microarray platforms).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19"/>
              </w:rPr>
              <w:t>Dataset</w:t>
            </w:r>
          </w:p>
        </w:tc>
        <w:tc>
          <w:tcPr>
            <w:tcW w:type="dxa" w:w="1440"/>
          </w:tcPr>
          <w:p>
            <w:r/>
            <w:r>
              <w:rPr>
                <w:rFonts w:ascii="Times New Roman" w:hAnsi="Times New Roman"/>
                <w:b/>
                <w:sz w:val="19"/>
              </w:rPr>
              <w:t>Species / tissue</w:t>
            </w:r>
          </w:p>
        </w:tc>
        <w:tc>
          <w:tcPr>
            <w:tcW w:type="dxa" w:w="1440"/>
          </w:tcPr>
          <w:p>
            <w:r/>
            <w:r>
              <w:rPr>
                <w:rFonts w:ascii="Times New Roman" w:hAnsi="Times New Roman"/>
                <w:b/>
                <w:sz w:val="19"/>
              </w:rPr>
              <w:t>Etiology axis</w:t>
            </w:r>
          </w:p>
        </w:tc>
        <w:tc>
          <w:tcPr>
            <w:tcW w:type="dxa" w:w="1440"/>
          </w:tcPr>
          <w:p>
            <w:r/>
            <w:r>
              <w:rPr>
                <w:rFonts w:ascii="Times New Roman" w:hAnsi="Times New Roman"/>
                <w:b/>
                <w:sz w:val="19"/>
              </w:rPr>
              <w:t>Design</w:t>
            </w:r>
          </w:p>
        </w:tc>
        <w:tc>
          <w:tcPr>
            <w:tcW w:type="dxa" w:w="1440"/>
          </w:tcPr>
          <w:p>
            <w:r/>
            <w:r>
              <w:rPr>
                <w:rFonts w:ascii="Times New Roman" w:hAnsi="Times New Roman"/>
                <w:b/>
                <w:sz w:val="19"/>
              </w:rPr>
              <w:t>Platform</w:t>
            </w:r>
          </w:p>
        </w:tc>
        <w:tc>
          <w:tcPr>
            <w:tcW w:type="dxa" w:w="1440"/>
          </w:tcPr>
          <w:p>
            <w:r/>
            <w:r>
              <w:rPr>
                <w:rFonts w:ascii="Times New Roman" w:hAnsi="Times New Roman"/>
                <w:b/>
                <w:sz w:val="19"/>
              </w:rPr>
              <w:t>n</w:t>
            </w:r>
          </w:p>
        </w:tc>
      </w:tr>
      <w:tr>
        <w:tc>
          <w:tcPr>
            <w:tcW w:type="dxa" w:w="1440"/>
          </w:tcPr>
          <w:p>
            <w:r/>
            <w:r>
              <w:rPr>
                <w:rFonts w:ascii="Times New Roman" w:hAnsi="Times New Roman"/>
                <w:b w:val="0"/>
                <w:sz w:val="19"/>
              </w:rPr>
              <w:t>GSE135251</w:t>
            </w:r>
          </w:p>
        </w:tc>
        <w:tc>
          <w:tcPr>
            <w:tcW w:type="dxa" w:w="1440"/>
          </w:tcPr>
          <w:p>
            <w:r/>
            <w:r>
              <w:rPr>
                <w:rFonts w:ascii="Times New Roman" w:hAnsi="Times New Roman"/>
                <w:b w:val="0"/>
                <w:sz w:val="19"/>
              </w:rPr>
              <w:t>Human, liver biopsy</w:t>
            </w:r>
          </w:p>
        </w:tc>
        <w:tc>
          <w:tcPr>
            <w:tcW w:type="dxa" w:w="1440"/>
          </w:tcPr>
          <w:p>
            <w:r/>
            <w:r>
              <w:rPr>
                <w:rFonts w:ascii="Times New Roman" w:hAnsi="Times New Roman"/>
                <w:b w:val="0"/>
                <w:sz w:val="19"/>
              </w:rPr>
              <w:t>Metabolic (MASLD spectrum)</w:t>
            </w:r>
          </w:p>
        </w:tc>
        <w:tc>
          <w:tcPr>
            <w:tcW w:type="dxa" w:w="1440"/>
          </w:tcPr>
          <w:p>
            <w:r/>
            <w:r>
              <w:rPr>
                <w:rFonts w:ascii="Times New Roman" w:hAnsi="Times New Roman"/>
                <w:b w:val="0"/>
                <w:sz w:val="19"/>
              </w:rPr>
              <w:t>Normal / Steatosis / Early fibrosis / Advanced fibrosis</w:t>
            </w:r>
          </w:p>
        </w:tc>
        <w:tc>
          <w:tcPr>
            <w:tcW w:type="dxa" w:w="1440"/>
          </w:tcPr>
          <w:p>
            <w:r/>
            <w:r>
              <w:rPr>
                <w:rFonts w:ascii="Times New Roman" w:hAnsi="Times New Roman"/>
                <w:b w:val="0"/>
                <w:sz w:val="19"/>
              </w:rPr>
              <w:t>RNA-seq (Illumina)</w:t>
            </w:r>
          </w:p>
        </w:tc>
        <w:tc>
          <w:tcPr>
            <w:tcW w:type="dxa" w:w="1440"/>
          </w:tcPr>
          <w:p>
            <w:r/>
            <w:r>
              <w:rPr>
                <w:rFonts w:ascii="Times New Roman" w:hAnsi="Times New Roman"/>
                <w:b w:val="0"/>
                <w:sz w:val="19"/>
              </w:rPr>
              <w:t>216</w:t>
            </w:r>
          </w:p>
        </w:tc>
      </w:tr>
      <w:tr>
        <w:tc>
          <w:tcPr>
            <w:tcW w:type="dxa" w:w="1440"/>
          </w:tcPr>
          <w:p>
            <w:r/>
            <w:r>
              <w:rPr>
                <w:rFonts w:ascii="Times New Roman" w:hAnsi="Times New Roman"/>
                <w:b w:val="0"/>
                <w:sz w:val="19"/>
              </w:rPr>
              <w:t>GSE222576</w:t>
            </w:r>
          </w:p>
        </w:tc>
        <w:tc>
          <w:tcPr>
            <w:tcW w:type="dxa" w:w="1440"/>
          </w:tcPr>
          <w:p>
            <w:r/>
            <w:r>
              <w:rPr>
                <w:rFonts w:ascii="Times New Roman" w:hAnsi="Times New Roman"/>
                <w:b w:val="0"/>
                <w:sz w:val="19"/>
              </w:rPr>
              <w:t>Mouse, liver</w:t>
            </w:r>
          </w:p>
        </w:tc>
        <w:tc>
          <w:tcPr>
            <w:tcW w:type="dxa" w:w="1440"/>
          </w:tcPr>
          <w:p>
            <w:r/>
            <w:r>
              <w:rPr>
                <w:rFonts w:ascii="Times New Roman" w:hAnsi="Times New Roman"/>
                <w:b w:val="0"/>
                <w:sz w:val="19"/>
              </w:rPr>
              <w:t>Chemical toxicant (CCl4)</w:t>
            </w:r>
          </w:p>
        </w:tc>
        <w:tc>
          <w:tcPr>
            <w:tcW w:type="dxa" w:w="1440"/>
          </w:tcPr>
          <w:p>
            <w:r/>
            <w:r>
              <w:rPr>
                <w:rFonts w:ascii="Times New Roman" w:hAnsi="Times New Roman"/>
                <w:b w:val="0"/>
                <w:sz w:val="19"/>
              </w:rPr>
              <w:t>Control, 2/4/6/8/10 weeks</w:t>
            </w:r>
          </w:p>
        </w:tc>
        <w:tc>
          <w:tcPr>
            <w:tcW w:type="dxa" w:w="1440"/>
          </w:tcPr>
          <w:p>
            <w:r/>
            <w:r>
              <w:rPr>
                <w:rFonts w:ascii="Times New Roman" w:hAnsi="Times New Roman"/>
                <w:b w:val="0"/>
                <w:sz w:val="19"/>
              </w:rPr>
              <w:t>Affymetrix MoGene-2.0-ST</w:t>
            </w:r>
          </w:p>
        </w:tc>
        <w:tc>
          <w:tcPr>
            <w:tcW w:type="dxa" w:w="1440"/>
          </w:tcPr>
          <w:p>
            <w:r/>
            <w:r>
              <w:rPr>
                <w:rFonts w:ascii="Times New Roman" w:hAnsi="Times New Roman"/>
                <w:b w:val="0"/>
                <w:sz w:val="19"/>
              </w:rPr>
              <w:t>18 (n=3/group)</w:t>
            </w:r>
          </w:p>
        </w:tc>
      </w:tr>
      <w:tr>
        <w:tc>
          <w:tcPr>
            <w:tcW w:type="dxa" w:w="1440"/>
          </w:tcPr>
          <w:p>
            <w:r/>
            <w:r>
              <w:rPr>
                <w:rFonts w:ascii="Times New Roman" w:hAnsi="Times New Roman"/>
                <w:b w:val="0"/>
                <w:sz w:val="19"/>
              </w:rPr>
              <w:t>GSE74605</w:t>
            </w:r>
          </w:p>
        </w:tc>
        <w:tc>
          <w:tcPr>
            <w:tcW w:type="dxa" w:w="1440"/>
          </w:tcPr>
          <w:p>
            <w:r/>
            <w:r>
              <w:rPr>
                <w:rFonts w:ascii="Times New Roman" w:hAnsi="Times New Roman"/>
                <w:b w:val="0"/>
                <w:sz w:val="19"/>
              </w:rPr>
              <w:t>Mouse, liver</w:t>
            </w:r>
          </w:p>
        </w:tc>
        <w:tc>
          <w:tcPr>
            <w:tcW w:type="dxa" w:w="1440"/>
          </w:tcPr>
          <w:p>
            <w:r/>
            <w:r>
              <w:rPr>
                <w:rFonts w:ascii="Times New Roman" w:hAnsi="Times New Roman"/>
                <w:b w:val="0"/>
                <w:sz w:val="19"/>
              </w:rPr>
              <w:t>Chemical toxicant (TAA)</w:t>
            </w:r>
          </w:p>
        </w:tc>
        <w:tc>
          <w:tcPr>
            <w:tcW w:type="dxa" w:w="1440"/>
          </w:tcPr>
          <w:p>
            <w:r/>
            <w:r>
              <w:rPr>
                <w:rFonts w:ascii="Times New Roman" w:hAnsi="Times New Roman"/>
                <w:b w:val="0"/>
                <w:sz w:val="19"/>
              </w:rPr>
              <w:t>Naive, 1/4/6 weeks</w:t>
            </w:r>
          </w:p>
        </w:tc>
        <w:tc>
          <w:tcPr>
            <w:tcW w:type="dxa" w:w="1440"/>
          </w:tcPr>
          <w:p>
            <w:r/>
            <w:r>
              <w:rPr>
                <w:rFonts w:ascii="Times New Roman" w:hAnsi="Times New Roman"/>
                <w:b w:val="0"/>
                <w:sz w:val="19"/>
              </w:rPr>
              <w:t>Illumina MouseRef-8 v2.0</w:t>
            </w:r>
          </w:p>
        </w:tc>
        <w:tc>
          <w:tcPr>
            <w:tcW w:type="dxa" w:w="1440"/>
          </w:tcPr>
          <w:p>
            <w:r/>
            <w:r>
              <w:rPr>
                <w:rFonts w:ascii="Times New Roman" w:hAnsi="Times New Roman"/>
                <w:b w:val="0"/>
                <w:sz w:val="19"/>
              </w:rPr>
              <w:t>13 (n=3-4/group)</w:t>
            </w:r>
          </w:p>
        </w:tc>
      </w:tr>
    </w:tbl>
    <w:p/>
    <w:p>
      <w:r>
        <w:rPr>
          <w:i/>
          <w:color w:val="606060"/>
          <w:sz w:val="19"/>
        </w:rPr>
        <w:t>Original studies: GSE135251, Govaere et al., Sci Transl Med 2020; GSE222576, Hammad et al., Cell Death Dis 2023; GSE74605, Melino et al., Am J Pathol 2016. This study performed an independent reanalysis of the deposited raw data and does not reuse any previously published differential expression or TF-activity results from these studies.</w:t>
      </w:r>
    </w:p>
    <w:p>
      <w:pPr>
        <w:pStyle w:val="Heading2"/>
      </w:pPr>
      <w:r>
        <w:t>2.2 Differential expression analysis</w:t>
      </w:r>
    </w:p>
    <w:p>
      <w:r>
        <w:rPr>
          <w:b w:val="0"/>
          <w:i w:val="0"/>
        </w:rPr>
        <w:t>For the RNA-seq dataset (GSE135251), raw counts were filtered to retain genes with count &gt;=5 in at least 10 samples, and differential expression was assessed with DESeq2 (v1.50.2), using variance-stabilizing transformation (VST) for downstream analyses and apeglm shrinkage for log2 fold-change estimates. For the two microarray datasets, probe-level signal was normalized (RMA for the Affymetrix platform via the oligo package, v1.74.0; quantile normalization of log2 signal for the Illumina platform, which lacked negative-control-probe information required for neqc) and differential expression was assessed with limma (v3.66.0) using empirical Bayes moderation (eBayes). In all three datasets, a fixed significance threshold (Benjamini-Hochberg [BH]-adjusted p&lt;0.05 and |log2 fold-change|&gt;1) was defined prior to analysis and was not relaxed post hoc regardless of the number of genes surviving the threshold.</w:t>
      </w:r>
    </w:p>
    <w:p>
      <w:pPr>
        <w:pStyle w:val="Heading2"/>
      </w:pPr>
      <w:r>
        <w:t>2.3 Transcription factor activity inference</w:t>
      </w:r>
    </w:p>
    <w:p>
      <w:r>
        <w:rPr>
          <w:b w:val="0"/>
          <w:i w:val="0"/>
        </w:rPr>
        <w:t>TF activity was inferred directly from normalized expression matrices (VST values for RNA-seq; RMA or quantile-normalized log2 signal for microarray) using the univariate linear model (run_ulm) implemented in decoupleR (v2.16.0; Badia-i-Mompel et al., 2022) against the CollecTRI transcriptional regulon (Muller-Dott et al., 2023), which encodes signed TF-target interactions. The CollecTRI network was retrieved directly from the OmniPath REST API using the same construction rule as decoupleR::get_collectri() (complex sources collapsed to representative names, e.g. AP1/NFKB; mode of regulation encoded as +-1 from the is_stimulation field), because the installed OmnipathR release (v3.18.4) contained a species-resolution defect that caused the convenience wrapper to fail; the direct-retrieval implementation was verified to reproduce the same network size and construction logic. Network entries whose source or target resolved only to a UniProt accession rather than a gene symbol (a data-completeness artifact for some non-human genes) were excluded to avoid presenting non-gene identifiers as candidate TFs. For each of the three datasets, probe- or transcript-level values were collapsed to gene symbols (Ensembl-to-symbol mapping via org.Hs.eg.db for GSE135251; probe averaging via limma::avereps for the two microarray datasets) prior to TF activity inference, and the mouse regulon was queried using the corresponding NCBI taxonomy ID.</w:t>
      </w:r>
    </w:p>
    <w:p>
      <w:pPr>
        <w:pStyle w:val="Heading2"/>
      </w:pPr>
      <w:r>
        <w:t>2.4 Within-dataset statistical testing</w:t>
      </w:r>
    </w:p>
    <w:p>
      <w:r>
        <w:rPr>
          <w:b w:val="0"/>
          <w:i w:val="0"/>
        </w:rPr>
        <w:t>For each dataset, TF activity scores were averaged within each progression group (e.g., Normal/Steatosis/Early Fibrosis/Advanced Fibrosis for GSE135251; each timepoint for the two mouse datasets) and tested for association with the ordered progression variable using one-way ANOVA, with Benjamini-Hochberg correction applied across all tested TFs within each dataset.</w:t>
      </w:r>
    </w:p>
    <w:p>
      <w:pPr>
        <w:pStyle w:val="Heading2"/>
      </w:pPr>
      <w:r>
        <w:t>2.5 Cross-species ortholog matching</w:t>
      </w:r>
    </w:p>
    <w:p>
      <w:r>
        <w:rPr>
          <w:b w:val="0"/>
          <w:i w:val="0"/>
        </w:rPr>
        <w:t>TFs identified in the two mouse datasets were mapped to their human ortholog prior to cross-dataset comparison using NCBI Gene ortholog annotations (Orthology.eg.db), chained through Entrez Gene identifiers (mouse gene symbol to mouse Entrez ID via org.Mm.eg.db, mouse to human Entrez ID via Orthology.eg.db, human Entrez ID to human gene symbol via org.Hs.eg.db); human TFs were used as their native gene symbol. This database-backed approach was used in preference to matching by gene-symbol case conversion (i.e., uppercasing the mouse symbol) because case conversion incorrectly assumes human and mouse orthologs always share the same root spelling, which is not universally true -- for example, the mouse ortholog of human TP53 is officially designated Trp53, not Tp53, a divergence shared by the entire mouse Trp53/Trp63/Trp73 gene family. Ambiguous mappings (a human ortholog matched by more than one mouse symbol in a given dataset) were excluded rather than arbitrarily resolved.</w:t>
      </w:r>
    </w:p>
    <w:p>
      <w:pPr>
        <w:pStyle w:val="Heading2"/>
      </w:pPr>
      <w:r>
        <w:t>2.6 Cross-dataset consensus definition</w:t>
      </w:r>
    </w:p>
    <w:p>
      <w:r>
        <w:rPr>
          <w:b w:val="0"/>
          <w:i w:val="0"/>
        </w:rPr>
        <w:t>TF-level p-values from the three datasets were combined using Fisher's method. Because Fisher's method can be dominated by a single well-powered cohort -- in this study, an exploratory two-dataset analysis found that YAP1 reached a combined significant p-value despite being non-significant in the mouse CCl4 dataset (padj=0.74) purely because of its extreme significance in the human cohort (padj~1e-18, n=216) -- we defined a stricter primary consensus criterion requiring (i) independent significance (BH-adjusted p&lt;0.05) in all three datasets, and (ii) concordant direction of change (the sign of the difference between the most progressed and the reference group) in all three datasets. TFs satisfying both criteria were designated the consensus candidate set and ranked by their Fisher-combined p-value.</w:t>
      </w:r>
    </w:p>
    <w:p>
      <w:pPr>
        <w:pStyle w:val="Heading2"/>
      </w:pPr>
      <w:r>
        <w:t>2.7 Candidate literature and druggability triage</w:t>
      </w:r>
    </w:p>
    <w:p>
      <w:r>
        <w:rPr>
          <w:b w:val="0"/>
          <w:i w:val="0"/>
        </w:rPr>
        <w:t>The top-ranked consensus TFs were manually cross-referenced against the published literature for (i) any prior evidence of a role in liver fibrosis or hepatic stellate cell activation, specifically distinguishing hepatocyte-, cholangiocyte-, and HSC-intrinsic evidence, and (ii) existing pharmacological tractability (approved drugs, chemical probes, or clinical-stage compounds targeting the TF or its protein complex). Each literature claim was independently re-verified with alternate search terms (protein aliases, mechanistic keywords, and recent-year-restricted queries) before being treated as established; this iterative re-verification corrected four of six initially proposed "novel" candidates (Section 3.6).</w:t>
      </w:r>
    </w:p>
    <w:p>
      <w:pPr>
        <w:pStyle w:val="Heading2"/>
      </w:pPr>
      <w:r>
        <w:t>2.8 Software and reproducibility</w:t>
      </w:r>
    </w:p>
    <w:p>
      <w:r>
        <w:rPr>
          <w:b w:val="0"/>
          <w:i w:val="0"/>
        </w:rPr>
        <w:t>All analyses were performed in R 4.5.2. Key package versions: DESeq2 1.50.2, limma 3.66.0, decoupleR 2.16.0, oligo 1.74.0, GEOquery 2.78.0, EnhancedVolcano 1.28.2, pheatmap 1.0.13, Orthology.eg.db (Bioconductor 3.22), org.Hs.eg.db, org.Mm.eg.db. Analysis code, intermediate result tables, figures, and the literature triage are available at github.com/bioinform25/pharmacology2254.</w:t>
      </w:r>
    </w:p>
    <w:p>
      <w:pPr>
        <w:pStyle w:val="Heading1"/>
      </w:pPr>
      <w:r>
        <w:t>3. Results</w:t>
      </w:r>
    </w:p>
    <w:p>
      <w:pPr>
        <w:pStyle w:val="Heading2"/>
      </w:pPr>
      <w:r>
        <w:t>3.1 Per-dataset differential expression and TF activity overview</w:t>
      </w:r>
    </w:p>
    <w:p>
      <w:r>
        <w:rPr>
          <w:b w:val="0"/>
          <w:i w:val="0"/>
        </w:rPr>
        <w:t>Standard QC and filtering yielded 21,191 analyzable genes across 216 human samples (GSE135251), 41,345 transcript clusters across 18 mouse CCl4 samples (GSE222576), and 25,697 probes across 13 mouse TAA samples (GSE74605), with group sizes matching the expected experimental design in all three datasets (Table 1). Using the fixed, pre-registered significance threshold, all three datasets yielded a plausible biological pattern of increasing numbers of DEGs with more advanced/prolonged injury (Table 2).</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19"/>
              </w:rPr>
              <w:t>Dataset</w:t>
            </w:r>
          </w:p>
        </w:tc>
        <w:tc>
          <w:tcPr>
            <w:tcW w:type="dxa" w:w="2880"/>
          </w:tcPr>
          <w:p>
            <w:r/>
            <w:r>
              <w:rPr>
                <w:rFonts w:ascii="Times New Roman" w:hAnsi="Times New Roman"/>
                <w:b/>
                <w:sz w:val="19"/>
              </w:rPr>
              <w:t>Comparison</w:t>
            </w:r>
          </w:p>
        </w:tc>
        <w:tc>
          <w:tcPr>
            <w:tcW w:type="dxa" w:w="2880"/>
          </w:tcPr>
          <w:p>
            <w:r/>
            <w:r>
              <w:rPr>
                <w:rFonts w:ascii="Times New Roman" w:hAnsi="Times New Roman"/>
                <w:b/>
                <w:sz w:val="19"/>
              </w:rPr>
              <w:t>Significant DEGs (padj&lt;0.05, |log2FC|&gt;1)</w:t>
            </w:r>
          </w:p>
        </w:tc>
      </w:tr>
      <w:tr>
        <w:tc>
          <w:tcPr>
            <w:tcW w:type="dxa" w:w="2880"/>
          </w:tcPr>
          <w:p>
            <w:r/>
            <w:r>
              <w:rPr>
                <w:rFonts w:ascii="Times New Roman" w:hAnsi="Times New Roman"/>
                <w:b w:val="0"/>
                <w:sz w:val="19"/>
              </w:rPr>
              <w:t>GSE135251</w:t>
            </w:r>
          </w:p>
        </w:tc>
        <w:tc>
          <w:tcPr>
            <w:tcW w:type="dxa" w:w="2880"/>
          </w:tcPr>
          <w:p>
            <w:r/>
            <w:r>
              <w:rPr>
                <w:rFonts w:ascii="Times New Roman" w:hAnsi="Times New Roman"/>
                <w:b w:val="0"/>
                <w:sz w:val="19"/>
              </w:rPr>
              <w:t>Early fibrosis vs. Steatosis</w:t>
            </w:r>
          </w:p>
        </w:tc>
        <w:tc>
          <w:tcPr>
            <w:tcW w:type="dxa" w:w="2880"/>
          </w:tcPr>
          <w:p>
            <w:r/>
            <w:r>
              <w:rPr>
                <w:rFonts w:ascii="Times New Roman" w:hAnsi="Times New Roman"/>
                <w:b w:val="0"/>
                <w:sz w:val="19"/>
              </w:rPr>
              <w:t>21</w:t>
            </w:r>
          </w:p>
        </w:tc>
      </w:tr>
      <w:tr>
        <w:tc>
          <w:tcPr>
            <w:tcW w:type="dxa" w:w="2880"/>
          </w:tcPr>
          <w:p>
            <w:r/>
            <w:r>
              <w:rPr>
                <w:rFonts w:ascii="Times New Roman" w:hAnsi="Times New Roman"/>
                <w:b w:val="0"/>
                <w:sz w:val="19"/>
              </w:rPr>
              <w:t>GSE135251</w:t>
            </w:r>
          </w:p>
        </w:tc>
        <w:tc>
          <w:tcPr>
            <w:tcW w:type="dxa" w:w="2880"/>
          </w:tcPr>
          <w:p>
            <w:r/>
            <w:r>
              <w:rPr>
                <w:rFonts w:ascii="Times New Roman" w:hAnsi="Times New Roman"/>
                <w:b w:val="0"/>
                <w:sz w:val="19"/>
              </w:rPr>
              <w:t>Advanced fibrosis vs. Steatosis</w:t>
            </w:r>
          </w:p>
        </w:tc>
        <w:tc>
          <w:tcPr>
            <w:tcW w:type="dxa" w:w="2880"/>
          </w:tcPr>
          <w:p>
            <w:r/>
            <w:r>
              <w:rPr>
                <w:rFonts w:ascii="Times New Roman" w:hAnsi="Times New Roman"/>
                <w:b w:val="0"/>
                <w:sz w:val="19"/>
              </w:rPr>
              <w:t>528</w:t>
            </w:r>
          </w:p>
        </w:tc>
      </w:tr>
      <w:tr>
        <w:tc>
          <w:tcPr>
            <w:tcW w:type="dxa" w:w="2880"/>
          </w:tcPr>
          <w:p>
            <w:r/>
            <w:r>
              <w:rPr>
                <w:rFonts w:ascii="Times New Roman" w:hAnsi="Times New Roman"/>
                <w:b w:val="0"/>
                <w:sz w:val="19"/>
              </w:rPr>
              <w:t>GSE222576</w:t>
            </w:r>
          </w:p>
        </w:tc>
        <w:tc>
          <w:tcPr>
            <w:tcW w:type="dxa" w:w="2880"/>
          </w:tcPr>
          <w:p>
            <w:r/>
            <w:r>
              <w:rPr>
                <w:rFonts w:ascii="Times New Roman" w:hAnsi="Times New Roman"/>
                <w:b w:val="0"/>
                <w:sz w:val="19"/>
              </w:rPr>
              <w:t>CCl4 2w vs. Control</w:t>
            </w:r>
          </w:p>
        </w:tc>
        <w:tc>
          <w:tcPr>
            <w:tcW w:type="dxa" w:w="2880"/>
          </w:tcPr>
          <w:p>
            <w:r/>
            <w:r>
              <w:rPr>
                <w:rFonts w:ascii="Times New Roman" w:hAnsi="Times New Roman"/>
                <w:b w:val="0"/>
                <w:sz w:val="19"/>
              </w:rPr>
              <w:t>186</w:t>
            </w:r>
          </w:p>
        </w:tc>
      </w:tr>
      <w:tr>
        <w:tc>
          <w:tcPr>
            <w:tcW w:type="dxa" w:w="2880"/>
          </w:tcPr>
          <w:p>
            <w:r/>
            <w:r>
              <w:rPr>
                <w:rFonts w:ascii="Times New Roman" w:hAnsi="Times New Roman"/>
                <w:b w:val="0"/>
                <w:sz w:val="19"/>
              </w:rPr>
              <w:t>GSE222576</w:t>
            </w:r>
          </w:p>
        </w:tc>
        <w:tc>
          <w:tcPr>
            <w:tcW w:type="dxa" w:w="2880"/>
          </w:tcPr>
          <w:p>
            <w:r/>
            <w:r>
              <w:rPr>
                <w:rFonts w:ascii="Times New Roman" w:hAnsi="Times New Roman"/>
                <w:b w:val="0"/>
                <w:sz w:val="19"/>
              </w:rPr>
              <w:t>CCl4 4w vs. Control</w:t>
            </w:r>
          </w:p>
        </w:tc>
        <w:tc>
          <w:tcPr>
            <w:tcW w:type="dxa" w:w="2880"/>
          </w:tcPr>
          <w:p>
            <w:r/>
            <w:r>
              <w:rPr>
                <w:rFonts w:ascii="Times New Roman" w:hAnsi="Times New Roman"/>
                <w:b w:val="0"/>
                <w:sz w:val="19"/>
              </w:rPr>
              <w:t>106</w:t>
            </w:r>
          </w:p>
        </w:tc>
      </w:tr>
      <w:tr>
        <w:tc>
          <w:tcPr>
            <w:tcW w:type="dxa" w:w="2880"/>
          </w:tcPr>
          <w:p>
            <w:r/>
            <w:r>
              <w:rPr>
                <w:rFonts w:ascii="Times New Roman" w:hAnsi="Times New Roman"/>
                <w:b w:val="0"/>
                <w:sz w:val="19"/>
              </w:rPr>
              <w:t>GSE222576</w:t>
            </w:r>
          </w:p>
        </w:tc>
        <w:tc>
          <w:tcPr>
            <w:tcW w:type="dxa" w:w="2880"/>
          </w:tcPr>
          <w:p>
            <w:r/>
            <w:r>
              <w:rPr>
                <w:rFonts w:ascii="Times New Roman" w:hAnsi="Times New Roman"/>
                <w:b w:val="0"/>
                <w:sz w:val="19"/>
              </w:rPr>
              <w:t>CCl4 6w vs. Control</w:t>
            </w:r>
          </w:p>
        </w:tc>
        <w:tc>
          <w:tcPr>
            <w:tcW w:type="dxa" w:w="2880"/>
          </w:tcPr>
          <w:p>
            <w:r/>
            <w:r>
              <w:rPr>
                <w:rFonts w:ascii="Times New Roman" w:hAnsi="Times New Roman"/>
                <w:b w:val="0"/>
                <w:sz w:val="19"/>
              </w:rPr>
              <w:t>644</w:t>
            </w:r>
          </w:p>
        </w:tc>
      </w:tr>
      <w:tr>
        <w:tc>
          <w:tcPr>
            <w:tcW w:type="dxa" w:w="2880"/>
          </w:tcPr>
          <w:p>
            <w:r/>
            <w:r>
              <w:rPr>
                <w:rFonts w:ascii="Times New Roman" w:hAnsi="Times New Roman"/>
                <w:b w:val="0"/>
                <w:sz w:val="19"/>
              </w:rPr>
              <w:t>GSE222576</w:t>
            </w:r>
          </w:p>
        </w:tc>
        <w:tc>
          <w:tcPr>
            <w:tcW w:type="dxa" w:w="2880"/>
          </w:tcPr>
          <w:p>
            <w:r/>
            <w:r>
              <w:rPr>
                <w:rFonts w:ascii="Times New Roman" w:hAnsi="Times New Roman"/>
                <w:b w:val="0"/>
                <w:sz w:val="19"/>
              </w:rPr>
              <w:t>CCl4 8w vs. Control</w:t>
            </w:r>
          </w:p>
        </w:tc>
        <w:tc>
          <w:tcPr>
            <w:tcW w:type="dxa" w:w="2880"/>
          </w:tcPr>
          <w:p>
            <w:r/>
            <w:r>
              <w:rPr>
                <w:rFonts w:ascii="Times New Roman" w:hAnsi="Times New Roman"/>
                <w:b w:val="0"/>
                <w:sz w:val="19"/>
              </w:rPr>
              <w:t>141</w:t>
            </w:r>
          </w:p>
        </w:tc>
      </w:tr>
      <w:tr>
        <w:tc>
          <w:tcPr>
            <w:tcW w:type="dxa" w:w="2880"/>
          </w:tcPr>
          <w:p>
            <w:r/>
            <w:r>
              <w:rPr>
                <w:rFonts w:ascii="Times New Roman" w:hAnsi="Times New Roman"/>
                <w:b w:val="0"/>
                <w:sz w:val="19"/>
              </w:rPr>
              <w:t>GSE222576</w:t>
            </w:r>
          </w:p>
        </w:tc>
        <w:tc>
          <w:tcPr>
            <w:tcW w:type="dxa" w:w="2880"/>
          </w:tcPr>
          <w:p>
            <w:r/>
            <w:r>
              <w:rPr>
                <w:rFonts w:ascii="Times New Roman" w:hAnsi="Times New Roman"/>
                <w:b w:val="0"/>
                <w:sz w:val="19"/>
              </w:rPr>
              <w:t>CCl4 10w vs. Control</w:t>
            </w:r>
          </w:p>
        </w:tc>
        <w:tc>
          <w:tcPr>
            <w:tcW w:type="dxa" w:w="2880"/>
          </w:tcPr>
          <w:p>
            <w:r/>
            <w:r>
              <w:rPr>
                <w:rFonts w:ascii="Times New Roman" w:hAnsi="Times New Roman"/>
                <w:b w:val="0"/>
                <w:sz w:val="19"/>
              </w:rPr>
              <w:t>216</w:t>
            </w:r>
          </w:p>
        </w:tc>
      </w:tr>
      <w:tr>
        <w:tc>
          <w:tcPr>
            <w:tcW w:type="dxa" w:w="2880"/>
          </w:tcPr>
          <w:p>
            <w:r/>
            <w:r>
              <w:rPr>
                <w:rFonts w:ascii="Times New Roman" w:hAnsi="Times New Roman"/>
                <w:b w:val="0"/>
                <w:sz w:val="19"/>
              </w:rPr>
              <w:t>GSE74605</w:t>
            </w:r>
          </w:p>
        </w:tc>
        <w:tc>
          <w:tcPr>
            <w:tcW w:type="dxa" w:w="2880"/>
          </w:tcPr>
          <w:p>
            <w:r/>
            <w:r>
              <w:rPr>
                <w:rFonts w:ascii="Times New Roman" w:hAnsi="Times New Roman"/>
                <w:b w:val="0"/>
                <w:sz w:val="19"/>
              </w:rPr>
              <w:t>TAA 1w vs. Naive</w:t>
            </w:r>
          </w:p>
        </w:tc>
        <w:tc>
          <w:tcPr>
            <w:tcW w:type="dxa" w:w="2880"/>
          </w:tcPr>
          <w:p>
            <w:r/>
            <w:r>
              <w:rPr>
                <w:rFonts w:ascii="Times New Roman" w:hAnsi="Times New Roman"/>
                <w:b w:val="0"/>
                <w:sz w:val="19"/>
              </w:rPr>
              <w:t>377</w:t>
            </w:r>
          </w:p>
        </w:tc>
      </w:tr>
      <w:tr>
        <w:tc>
          <w:tcPr>
            <w:tcW w:type="dxa" w:w="2880"/>
          </w:tcPr>
          <w:p>
            <w:r/>
            <w:r>
              <w:rPr>
                <w:rFonts w:ascii="Times New Roman" w:hAnsi="Times New Roman"/>
                <w:b w:val="0"/>
                <w:sz w:val="19"/>
              </w:rPr>
              <w:t>GSE74605</w:t>
            </w:r>
          </w:p>
        </w:tc>
        <w:tc>
          <w:tcPr>
            <w:tcW w:type="dxa" w:w="2880"/>
          </w:tcPr>
          <w:p>
            <w:r/>
            <w:r>
              <w:rPr>
                <w:rFonts w:ascii="Times New Roman" w:hAnsi="Times New Roman"/>
                <w:b w:val="0"/>
                <w:sz w:val="19"/>
              </w:rPr>
              <w:t>TAA 4w vs. Naive</w:t>
            </w:r>
          </w:p>
        </w:tc>
        <w:tc>
          <w:tcPr>
            <w:tcW w:type="dxa" w:w="2880"/>
          </w:tcPr>
          <w:p>
            <w:r/>
            <w:r>
              <w:rPr>
                <w:rFonts w:ascii="Times New Roman" w:hAnsi="Times New Roman"/>
                <w:b w:val="0"/>
                <w:sz w:val="19"/>
              </w:rPr>
              <w:t>425</w:t>
            </w:r>
          </w:p>
        </w:tc>
      </w:tr>
      <w:tr>
        <w:tc>
          <w:tcPr>
            <w:tcW w:type="dxa" w:w="2880"/>
          </w:tcPr>
          <w:p>
            <w:r/>
            <w:r>
              <w:rPr>
                <w:rFonts w:ascii="Times New Roman" w:hAnsi="Times New Roman"/>
                <w:b w:val="0"/>
                <w:sz w:val="19"/>
              </w:rPr>
              <w:t>GSE74605</w:t>
            </w:r>
          </w:p>
        </w:tc>
        <w:tc>
          <w:tcPr>
            <w:tcW w:type="dxa" w:w="2880"/>
          </w:tcPr>
          <w:p>
            <w:r/>
            <w:r>
              <w:rPr>
                <w:rFonts w:ascii="Times New Roman" w:hAnsi="Times New Roman"/>
                <w:b w:val="0"/>
                <w:sz w:val="19"/>
              </w:rPr>
              <w:t>TAA 6w vs. Naive</w:t>
            </w:r>
          </w:p>
        </w:tc>
        <w:tc>
          <w:tcPr>
            <w:tcW w:type="dxa" w:w="2880"/>
          </w:tcPr>
          <w:p>
            <w:r/>
            <w:r>
              <w:rPr>
                <w:rFonts w:ascii="Times New Roman" w:hAnsi="Times New Roman"/>
                <w:b w:val="0"/>
                <w:sz w:val="19"/>
              </w:rPr>
              <w:t>752</w:t>
            </w:r>
          </w:p>
        </w:tc>
      </w:tr>
    </w:tbl>
    <w:p/>
    <w:p>
      <w:r>
        <w:rPr>
          <w:b w:val="0"/>
          <w:i w:val="0"/>
        </w:rPr>
        <w:t>TF activity inference identified 703, 547, and 535 testable TFs in GSE135251, GSE222576, and GSE74605, respectively (after excluding UniProt-accession-only network entries), of which 518, 292, and 256 were significantly associated with progression within each dataset (BH-adjusted p&lt;0.05). In the mouse CCl4 dataset, multiple fibrogenic/EMT-associated TFs (Prrx1, Twist1, Sox9, Notch1) peaked sharply at the 6-week timepoint, coinciding with the timepoint of maximal DEG count; in the mouse TAA dataset, TGF-β/SMAD pathway members (Smad1, Smad4, Smad5, Smad9) formed a cluster increasing monotonically from the naive state through 6 weeks.</w:t>
      </w:r>
    </w:p>
    <w:p>
      <w:pPr>
        <w:pStyle w:val="Heading2"/>
      </w:pPr>
      <w:r>
        <w:t>3.2 Cross-dataset consensus identifies 54 candidate transcription factors</w:t>
      </w:r>
    </w:p>
    <w:p>
      <w:r>
        <w:rPr>
          <w:b w:val="0"/>
          <w:i w:val="0"/>
        </w:rPr>
        <w:t>After ortholog-based matching (Methods 2.5), 499 TFs were testable in all three datasets. Of these, 449 reached a nominally significant Fisher-combined p-value, but only 101 were independently significant in all three datasets, and 54 additionally satisfied the direction-concordance criterion, forming the consensus set used for downstream prioritization (Figure 1; full list in Supplementary Table S1). The top 15 consensus TFs by Fisher-combined p-value are shown in Table 3 and were identical, at this rank, to those obtained using a simpler symbol-case-conversion match (Methods 2.5; Section 3.2 note below), indicating the headline result is not an artifact of the matching method.</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19"/>
              </w:rPr>
              <w:t>Rank</w:t>
            </w:r>
          </w:p>
        </w:tc>
        <w:tc>
          <w:tcPr>
            <w:tcW w:type="dxa" w:w="1440"/>
          </w:tcPr>
          <w:p>
            <w:r/>
            <w:r>
              <w:rPr>
                <w:rFonts w:ascii="Times New Roman" w:hAnsi="Times New Roman"/>
                <w:b/>
                <w:sz w:val="19"/>
              </w:rPr>
              <w:t>TF</w:t>
            </w:r>
          </w:p>
        </w:tc>
        <w:tc>
          <w:tcPr>
            <w:tcW w:type="dxa" w:w="1440"/>
          </w:tcPr>
          <w:p>
            <w:r/>
            <w:r>
              <w:rPr>
                <w:rFonts w:ascii="Times New Roman" w:hAnsi="Times New Roman"/>
                <w:b/>
                <w:sz w:val="19"/>
              </w:rPr>
              <w:t>padj (human)</w:t>
            </w:r>
          </w:p>
        </w:tc>
        <w:tc>
          <w:tcPr>
            <w:tcW w:type="dxa" w:w="1440"/>
          </w:tcPr>
          <w:p>
            <w:r/>
            <w:r>
              <w:rPr>
                <w:rFonts w:ascii="Times New Roman" w:hAnsi="Times New Roman"/>
                <w:b/>
                <w:sz w:val="19"/>
              </w:rPr>
              <w:t>padj (CCl4)</w:t>
            </w:r>
          </w:p>
        </w:tc>
        <w:tc>
          <w:tcPr>
            <w:tcW w:type="dxa" w:w="1440"/>
          </w:tcPr>
          <w:p>
            <w:r/>
            <w:r>
              <w:rPr>
                <w:rFonts w:ascii="Times New Roman" w:hAnsi="Times New Roman"/>
                <w:b/>
                <w:sz w:val="19"/>
              </w:rPr>
              <w:t>padj (TAA)</w:t>
            </w:r>
          </w:p>
        </w:tc>
        <w:tc>
          <w:tcPr>
            <w:tcW w:type="dxa" w:w="1440"/>
          </w:tcPr>
          <w:p>
            <w:r/>
            <w:r>
              <w:rPr>
                <w:rFonts w:ascii="Times New Roman" w:hAnsi="Times New Roman"/>
                <w:b/>
                <w:sz w:val="19"/>
              </w:rPr>
              <w:t>Fisher-combined padj</w:t>
            </w:r>
          </w:p>
        </w:tc>
      </w:tr>
      <w:tr>
        <w:tc>
          <w:tcPr>
            <w:tcW w:type="dxa" w:w="1440"/>
          </w:tcPr>
          <w:p>
            <w:r/>
            <w:r>
              <w:rPr>
                <w:rFonts w:ascii="Times New Roman" w:hAnsi="Times New Roman"/>
                <w:b w:val="0"/>
                <w:sz w:val="19"/>
              </w:rPr>
              <w:t>1</w:t>
            </w:r>
          </w:p>
        </w:tc>
        <w:tc>
          <w:tcPr>
            <w:tcW w:type="dxa" w:w="1440"/>
          </w:tcPr>
          <w:p>
            <w:r/>
            <w:r>
              <w:rPr>
                <w:rFonts w:ascii="Times New Roman" w:hAnsi="Times New Roman"/>
                <w:b w:val="0"/>
                <w:sz w:val="19"/>
              </w:rPr>
              <w:t>SMARCA4</w:t>
            </w:r>
          </w:p>
        </w:tc>
        <w:tc>
          <w:tcPr>
            <w:tcW w:type="dxa" w:w="1440"/>
          </w:tcPr>
          <w:p>
            <w:r/>
            <w:r>
              <w:rPr>
                <w:rFonts w:ascii="Times New Roman" w:hAnsi="Times New Roman"/>
                <w:b w:val="0"/>
                <w:sz w:val="19"/>
              </w:rPr>
              <w:t>8.9e-23</w:t>
            </w:r>
          </w:p>
        </w:tc>
        <w:tc>
          <w:tcPr>
            <w:tcW w:type="dxa" w:w="1440"/>
          </w:tcPr>
          <w:p>
            <w:r/>
            <w:r>
              <w:rPr>
                <w:rFonts w:ascii="Times New Roman" w:hAnsi="Times New Roman"/>
                <w:b w:val="0"/>
                <w:sz w:val="19"/>
              </w:rPr>
              <w:t>0.028</w:t>
            </w:r>
          </w:p>
        </w:tc>
        <w:tc>
          <w:tcPr>
            <w:tcW w:type="dxa" w:w="1440"/>
          </w:tcPr>
          <w:p>
            <w:r/>
            <w:r>
              <w:rPr>
                <w:rFonts w:ascii="Times New Roman" w:hAnsi="Times New Roman"/>
                <w:b w:val="0"/>
                <w:sz w:val="19"/>
              </w:rPr>
              <w:t>0.0017</w:t>
            </w:r>
          </w:p>
        </w:tc>
        <w:tc>
          <w:tcPr>
            <w:tcW w:type="dxa" w:w="1440"/>
          </w:tcPr>
          <w:p>
            <w:r/>
            <w:r>
              <w:rPr>
                <w:rFonts w:ascii="Times New Roman" w:hAnsi="Times New Roman"/>
                <w:b w:val="0"/>
                <w:sz w:val="19"/>
              </w:rPr>
              <w:t>3.2e-25</w:t>
            </w:r>
          </w:p>
        </w:tc>
      </w:tr>
      <w:tr>
        <w:tc>
          <w:tcPr>
            <w:tcW w:type="dxa" w:w="1440"/>
          </w:tcPr>
          <w:p>
            <w:r/>
            <w:r>
              <w:rPr>
                <w:rFonts w:ascii="Times New Roman" w:hAnsi="Times New Roman"/>
                <w:b w:val="0"/>
                <w:sz w:val="19"/>
              </w:rPr>
              <w:t>2</w:t>
            </w:r>
          </w:p>
        </w:tc>
        <w:tc>
          <w:tcPr>
            <w:tcW w:type="dxa" w:w="1440"/>
          </w:tcPr>
          <w:p>
            <w:r/>
            <w:r>
              <w:rPr>
                <w:rFonts w:ascii="Times New Roman" w:hAnsi="Times New Roman"/>
                <w:b w:val="0"/>
                <w:sz w:val="19"/>
              </w:rPr>
              <w:t>NR2E1</w:t>
            </w:r>
          </w:p>
        </w:tc>
        <w:tc>
          <w:tcPr>
            <w:tcW w:type="dxa" w:w="1440"/>
          </w:tcPr>
          <w:p>
            <w:r/>
            <w:r>
              <w:rPr>
                <w:rFonts w:ascii="Times New Roman" w:hAnsi="Times New Roman"/>
                <w:b w:val="0"/>
                <w:sz w:val="19"/>
              </w:rPr>
              <w:t>2.3e-18</w:t>
            </w:r>
          </w:p>
        </w:tc>
        <w:tc>
          <w:tcPr>
            <w:tcW w:type="dxa" w:w="1440"/>
          </w:tcPr>
          <w:p>
            <w:r/>
            <w:r>
              <w:rPr>
                <w:rFonts w:ascii="Times New Roman" w:hAnsi="Times New Roman"/>
                <w:b w:val="0"/>
                <w:sz w:val="19"/>
              </w:rPr>
              <w:t>0.030</w:t>
            </w:r>
          </w:p>
        </w:tc>
        <w:tc>
          <w:tcPr>
            <w:tcW w:type="dxa" w:w="1440"/>
          </w:tcPr>
          <w:p>
            <w:r/>
            <w:r>
              <w:rPr>
                <w:rFonts w:ascii="Times New Roman" w:hAnsi="Times New Roman"/>
                <w:b w:val="0"/>
                <w:sz w:val="19"/>
              </w:rPr>
              <w:t>0.0053</w:t>
            </w:r>
          </w:p>
        </w:tc>
        <w:tc>
          <w:tcPr>
            <w:tcW w:type="dxa" w:w="1440"/>
          </w:tcPr>
          <w:p>
            <w:r/>
            <w:r>
              <w:rPr>
                <w:rFonts w:ascii="Times New Roman" w:hAnsi="Times New Roman"/>
                <w:b w:val="0"/>
                <w:sz w:val="19"/>
              </w:rPr>
              <w:t>4.2e-20</w:t>
            </w:r>
          </w:p>
        </w:tc>
      </w:tr>
      <w:tr>
        <w:tc>
          <w:tcPr>
            <w:tcW w:type="dxa" w:w="1440"/>
          </w:tcPr>
          <w:p>
            <w:r/>
            <w:r>
              <w:rPr>
                <w:rFonts w:ascii="Times New Roman" w:hAnsi="Times New Roman"/>
                <w:b w:val="0"/>
                <w:sz w:val="19"/>
              </w:rPr>
              <w:t>3</w:t>
            </w:r>
          </w:p>
        </w:tc>
        <w:tc>
          <w:tcPr>
            <w:tcW w:type="dxa" w:w="1440"/>
          </w:tcPr>
          <w:p>
            <w:r/>
            <w:r>
              <w:rPr>
                <w:rFonts w:ascii="Times New Roman" w:hAnsi="Times New Roman"/>
                <w:b w:val="0"/>
                <w:sz w:val="19"/>
              </w:rPr>
              <w:t>SMAD6</w:t>
            </w:r>
          </w:p>
        </w:tc>
        <w:tc>
          <w:tcPr>
            <w:tcW w:type="dxa" w:w="1440"/>
          </w:tcPr>
          <w:p>
            <w:r/>
            <w:r>
              <w:rPr>
                <w:rFonts w:ascii="Times New Roman" w:hAnsi="Times New Roman"/>
                <w:b w:val="0"/>
                <w:sz w:val="19"/>
              </w:rPr>
              <w:t>9.6e-17</w:t>
            </w:r>
          </w:p>
        </w:tc>
        <w:tc>
          <w:tcPr>
            <w:tcW w:type="dxa" w:w="1440"/>
          </w:tcPr>
          <w:p>
            <w:r/>
            <w:r>
              <w:rPr>
                <w:rFonts w:ascii="Times New Roman" w:hAnsi="Times New Roman"/>
                <w:b w:val="0"/>
                <w:sz w:val="19"/>
              </w:rPr>
              <w:t>0.0099</w:t>
            </w:r>
          </w:p>
        </w:tc>
        <w:tc>
          <w:tcPr>
            <w:tcW w:type="dxa" w:w="1440"/>
          </w:tcPr>
          <w:p>
            <w:r/>
            <w:r>
              <w:rPr>
                <w:rFonts w:ascii="Times New Roman" w:hAnsi="Times New Roman"/>
                <w:b w:val="0"/>
                <w:sz w:val="19"/>
              </w:rPr>
              <w:t>0.015</w:t>
            </w:r>
          </w:p>
        </w:tc>
        <w:tc>
          <w:tcPr>
            <w:tcW w:type="dxa" w:w="1440"/>
          </w:tcPr>
          <w:p>
            <w:r/>
            <w:r>
              <w:rPr>
                <w:rFonts w:ascii="Times New Roman" w:hAnsi="Times New Roman"/>
                <w:b w:val="0"/>
                <w:sz w:val="19"/>
              </w:rPr>
              <w:t>1.2e-18</w:t>
            </w:r>
          </w:p>
        </w:tc>
      </w:tr>
      <w:tr>
        <w:tc>
          <w:tcPr>
            <w:tcW w:type="dxa" w:w="1440"/>
          </w:tcPr>
          <w:p>
            <w:r/>
            <w:r>
              <w:rPr>
                <w:rFonts w:ascii="Times New Roman" w:hAnsi="Times New Roman"/>
                <w:b w:val="0"/>
                <w:sz w:val="19"/>
              </w:rPr>
              <w:t>4</w:t>
            </w:r>
          </w:p>
        </w:tc>
        <w:tc>
          <w:tcPr>
            <w:tcW w:type="dxa" w:w="1440"/>
          </w:tcPr>
          <w:p>
            <w:r/>
            <w:r>
              <w:rPr>
                <w:rFonts w:ascii="Times New Roman" w:hAnsi="Times New Roman"/>
                <w:b w:val="0"/>
                <w:sz w:val="19"/>
              </w:rPr>
              <w:t>MEOX1</w:t>
            </w:r>
          </w:p>
        </w:tc>
        <w:tc>
          <w:tcPr>
            <w:tcW w:type="dxa" w:w="1440"/>
          </w:tcPr>
          <w:p>
            <w:r/>
            <w:r>
              <w:rPr>
                <w:rFonts w:ascii="Times New Roman" w:hAnsi="Times New Roman"/>
                <w:b w:val="0"/>
                <w:sz w:val="19"/>
              </w:rPr>
              <w:t>4.4e-15</w:t>
            </w:r>
          </w:p>
        </w:tc>
        <w:tc>
          <w:tcPr>
            <w:tcW w:type="dxa" w:w="1440"/>
          </w:tcPr>
          <w:p>
            <w:r/>
            <w:r>
              <w:rPr>
                <w:rFonts w:ascii="Times New Roman" w:hAnsi="Times New Roman"/>
                <w:b w:val="0"/>
                <w:sz w:val="19"/>
              </w:rPr>
              <w:t>0.029</w:t>
            </w:r>
          </w:p>
        </w:tc>
        <w:tc>
          <w:tcPr>
            <w:tcW w:type="dxa" w:w="1440"/>
          </w:tcPr>
          <w:p>
            <w:r/>
            <w:r>
              <w:rPr>
                <w:rFonts w:ascii="Times New Roman" w:hAnsi="Times New Roman"/>
                <w:b w:val="0"/>
                <w:sz w:val="19"/>
              </w:rPr>
              <w:t>0.0026</w:t>
            </w:r>
          </w:p>
        </w:tc>
        <w:tc>
          <w:tcPr>
            <w:tcW w:type="dxa" w:w="1440"/>
          </w:tcPr>
          <w:p>
            <w:r/>
            <w:r>
              <w:rPr>
                <w:rFonts w:ascii="Times New Roman" w:hAnsi="Times New Roman"/>
                <w:b w:val="0"/>
                <w:sz w:val="19"/>
              </w:rPr>
              <w:t>2.1e-17</w:t>
            </w:r>
          </w:p>
        </w:tc>
      </w:tr>
      <w:tr>
        <w:tc>
          <w:tcPr>
            <w:tcW w:type="dxa" w:w="1440"/>
          </w:tcPr>
          <w:p>
            <w:r/>
            <w:r>
              <w:rPr>
                <w:rFonts w:ascii="Times New Roman" w:hAnsi="Times New Roman"/>
                <w:b w:val="0"/>
                <w:sz w:val="19"/>
              </w:rPr>
              <w:t>5</w:t>
            </w:r>
          </w:p>
        </w:tc>
        <w:tc>
          <w:tcPr>
            <w:tcW w:type="dxa" w:w="1440"/>
          </w:tcPr>
          <w:p>
            <w:r/>
            <w:r>
              <w:rPr>
                <w:rFonts w:ascii="Times New Roman" w:hAnsi="Times New Roman"/>
                <w:b w:val="0"/>
                <w:sz w:val="19"/>
              </w:rPr>
              <w:t>HMGB2</w:t>
            </w:r>
          </w:p>
        </w:tc>
        <w:tc>
          <w:tcPr>
            <w:tcW w:type="dxa" w:w="1440"/>
          </w:tcPr>
          <w:p>
            <w:r/>
            <w:r>
              <w:rPr>
                <w:rFonts w:ascii="Times New Roman" w:hAnsi="Times New Roman"/>
                <w:b w:val="0"/>
                <w:sz w:val="19"/>
              </w:rPr>
              <w:t>8.0e-12</w:t>
            </w:r>
          </w:p>
        </w:tc>
        <w:tc>
          <w:tcPr>
            <w:tcW w:type="dxa" w:w="1440"/>
          </w:tcPr>
          <w:p>
            <w:r/>
            <w:r>
              <w:rPr>
                <w:rFonts w:ascii="Times New Roman" w:hAnsi="Times New Roman"/>
                <w:b w:val="0"/>
                <w:sz w:val="19"/>
              </w:rPr>
              <w:t>0.016</w:t>
            </w:r>
          </w:p>
        </w:tc>
        <w:tc>
          <w:tcPr>
            <w:tcW w:type="dxa" w:w="1440"/>
          </w:tcPr>
          <w:p>
            <w:r/>
            <w:r>
              <w:rPr>
                <w:rFonts w:ascii="Times New Roman" w:hAnsi="Times New Roman"/>
                <w:b w:val="0"/>
                <w:sz w:val="19"/>
              </w:rPr>
              <w:t>0.0004</w:t>
            </w:r>
          </w:p>
        </w:tc>
        <w:tc>
          <w:tcPr>
            <w:tcW w:type="dxa" w:w="1440"/>
          </w:tcPr>
          <w:p>
            <w:r/>
            <w:r>
              <w:rPr>
                <w:rFonts w:ascii="Times New Roman" w:hAnsi="Times New Roman"/>
                <w:b w:val="0"/>
                <w:sz w:val="19"/>
              </w:rPr>
              <w:t>5.8e-17</w:t>
            </w:r>
          </w:p>
        </w:tc>
      </w:tr>
      <w:tr>
        <w:tc>
          <w:tcPr>
            <w:tcW w:type="dxa" w:w="1440"/>
          </w:tcPr>
          <w:p>
            <w:r/>
            <w:r>
              <w:rPr>
                <w:rFonts w:ascii="Times New Roman" w:hAnsi="Times New Roman"/>
                <w:b w:val="0"/>
                <w:sz w:val="19"/>
              </w:rPr>
              <w:t>6</w:t>
            </w:r>
          </w:p>
        </w:tc>
        <w:tc>
          <w:tcPr>
            <w:tcW w:type="dxa" w:w="1440"/>
          </w:tcPr>
          <w:p>
            <w:r/>
            <w:r>
              <w:rPr>
                <w:rFonts w:ascii="Times New Roman" w:hAnsi="Times New Roman"/>
                <w:b w:val="0"/>
                <w:sz w:val="19"/>
              </w:rPr>
              <w:t>SRSF2</w:t>
            </w:r>
          </w:p>
        </w:tc>
        <w:tc>
          <w:tcPr>
            <w:tcW w:type="dxa" w:w="1440"/>
          </w:tcPr>
          <w:p>
            <w:r/>
            <w:r>
              <w:rPr>
                <w:rFonts w:ascii="Times New Roman" w:hAnsi="Times New Roman"/>
                <w:b w:val="0"/>
                <w:sz w:val="19"/>
              </w:rPr>
              <w:t>7.3e-13</w:t>
            </w:r>
          </w:p>
        </w:tc>
        <w:tc>
          <w:tcPr>
            <w:tcW w:type="dxa" w:w="1440"/>
          </w:tcPr>
          <w:p>
            <w:r/>
            <w:r>
              <w:rPr>
                <w:rFonts w:ascii="Times New Roman" w:hAnsi="Times New Roman"/>
                <w:b w:val="0"/>
                <w:sz w:val="19"/>
              </w:rPr>
              <w:t>0.0038</w:t>
            </w:r>
          </w:p>
        </w:tc>
        <w:tc>
          <w:tcPr>
            <w:tcW w:type="dxa" w:w="1440"/>
          </w:tcPr>
          <w:p>
            <w:r/>
            <w:r>
              <w:rPr>
                <w:rFonts w:ascii="Times New Roman" w:hAnsi="Times New Roman"/>
                <w:b w:val="0"/>
                <w:sz w:val="19"/>
              </w:rPr>
              <w:t>0.0019</w:t>
            </w:r>
          </w:p>
        </w:tc>
        <w:tc>
          <w:tcPr>
            <w:tcW w:type="dxa" w:w="1440"/>
          </w:tcPr>
          <w:p>
            <w:r/>
            <w:r>
              <w:rPr>
                <w:rFonts w:ascii="Times New Roman" w:hAnsi="Times New Roman"/>
                <w:b w:val="0"/>
                <w:sz w:val="19"/>
              </w:rPr>
              <w:t>6.1e-17</w:t>
            </w:r>
          </w:p>
        </w:tc>
      </w:tr>
      <w:tr>
        <w:tc>
          <w:tcPr>
            <w:tcW w:type="dxa" w:w="1440"/>
          </w:tcPr>
          <w:p>
            <w:r/>
            <w:r>
              <w:rPr>
                <w:rFonts w:ascii="Times New Roman" w:hAnsi="Times New Roman"/>
                <w:b w:val="0"/>
                <w:sz w:val="19"/>
              </w:rPr>
              <w:t>7</w:t>
            </w:r>
          </w:p>
        </w:tc>
        <w:tc>
          <w:tcPr>
            <w:tcW w:type="dxa" w:w="1440"/>
          </w:tcPr>
          <w:p>
            <w:r/>
            <w:r>
              <w:rPr>
                <w:rFonts w:ascii="Times New Roman" w:hAnsi="Times New Roman"/>
                <w:b w:val="0"/>
                <w:sz w:val="19"/>
              </w:rPr>
              <w:t>HOXD3</w:t>
            </w:r>
          </w:p>
        </w:tc>
        <w:tc>
          <w:tcPr>
            <w:tcW w:type="dxa" w:w="1440"/>
          </w:tcPr>
          <w:p>
            <w:r/>
            <w:r>
              <w:rPr>
                <w:rFonts w:ascii="Times New Roman" w:hAnsi="Times New Roman"/>
                <w:b w:val="0"/>
                <w:sz w:val="19"/>
              </w:rPr>
              <w:t>2.3e-10</w:t>
            </w:r>
          </w:p>
        </w:tc>
        <w:tc>
          <w:tcPr>
            <w:tcW w:type="dxa" w:w="1440"/>
          </w:tcPr>
          <w:p>
            <w:r/>
            <w:r>
              <w:rPr>
                <w:rFonts w:ascii="Times New Roman" w:hAnsi="Times New Roman"/>
                <w:b w:val="0"/>
                <w:sz w:val="19"/>
              </w:rPr>
              <w:t>0.0005</w:t>
            </w:r>
          </w:p>
        </w:tc>
        <w:tc>
          <w:tcPr>
            <w:tcW w:type="dxa" w:w="1440"/>
          </w:tcPr>
          <w:p>
            <w:r/>
            <w:r>
              <w:rPr>
                <w:rFonts w:ascii="Times New Roman" w:hAnsi="Times New Roman"/>
                <w:b w:val="0"/>
                <w:sz w:val="19"/>
              </w:rPr>
              <w:t>0.0099</w:t>
            </w:r>
          </w:p>
        </w:tc>
        <w:tc>
          <w:tcPr>
            <w:tcW w:type="dxa" w:w="1440"/>
          </w:tcPr>
          <w:p>
            <w:r/>
            <w:r>
              <w:rPr>
                <w:rFonts w:ascii="Times New Roman" w:hAnsi="Times New Roman"/>
                <w:b w:val="0"/>
                <w:sz w:val="19"/>
              </w:rPr>
              <w:t>3.4e-15</w:t>
            </w:r>
          </w:p>
        </w:tc>
      </w:tr>
      <w:tr>
        <w:tc>
          <w:tcPr>
            <w:tcW w:type="dxa" w:w="1440"/>
          </w:tcPr>
          <w:p>
            <w:r/>
            <w:r>
              <w:rPr>
                <w:rFonts w:ascii="Times New Roman" w:hAnsi="Times New Roman"/>
                <w:b w:val="0"/>
                <w:sz w:val="19"/>
              </w:rPr>
              <w:t>8</w:t>
            </w:r>
          </w:p>
        </w:tc>
        <w:tc>
          <w:tcPr>
            <w:tcW w:type="dxa" w:w="1440"/>
          </w:tcPr>
          <w:p>
            <w:r/>
            <w:r>
              <w:rPr>
                <w:rFonts w:ascii="Times New Roman" w:hAnsi="Times New Roman"/>
                <w:b w:val="0"/>
                <w:sz w:val="19"/>
              </w:rPr>
              <w:t>THAP11</w:t>
            </w:r>
          </w:p>
        </w:tc>
        <w:tc>
          <w:tcPr>
            <w:tcW w:type="dxa" w:w="1440"/>
          </w:tcPr>
          <w:p>
            <w:r/>
            <w:r>
              <w:rPr>
                <w:rFonts w:ascii="Times New Roman" w:hAnsi="Times New Roman"/>
                <w:b w:val="0"/>
                <w:sz w:val="19"/>
              </w:rPr>
              <w:t>6.9e-13</w:t>
            </w:r>
          </w:p>
        </w:tc>
        <w:tc>
          <w:tcPr>
            <w:tcW w:type="dxa" w:w="1440"/>
          </w:tcPr>
          <w:p>
            <w:r/>
            <w:r>
              <w:rPr>
                <w:rFonts w:ascii="Times New Roman" w:hAnsi="Times New Roman"/>
                <w:b w:val="0"/>
                <w:sz w:val="19"/>
              </w:rPr>
              <w:t>0.018</w:t>
            </w:r>
          </w:p>
        </w:tc>
        <w:tc>
          <w:tcPr>
            <w:tcW w:type="dxa" w:w="1440"/>
          </w:tcPr>
          <w:p>
            <w:r/>
            <w:r>
              <w:rPr>
                <w:rFonts w:ascii="Times New Roman" w:hAnsi="Times New Roman"/>
                <w:b w:val="0"/>
                <w:sz w:val="19"/>
              </w:rPr>
              <w:t>0.0085</w:t>
            </w:r>
          </w:p>
        </w:tc>
        <w:tc>
          <w:tcPr>
            <w:tcW w:type="dxa" w:w="1440"/>
          </w:tcPr>
          <w:p>
            <w:r/>
            <w:r>
              <w:rPr>
                <w:rFonts w:ascii="Times New Roman" w:hAnsi="Times New Roman"/>
                <w:b w:val="0"/>
                <w:sz w:val="19"/>
              </w:rPr>
              <w:t>7.3e-15</w:t>
            </w:r>
          </w:p>
        </w:tc>
      </w:tr>
      <w:tr>
        <w:tc>
          <w:tcPr>
            <w:tcW w:type="dxa" w:w="1440"/>
          </w:tcPr>
          <w:p>
            <w:r/>
            <w:r>
              <w:rPr>
                <w:rFonts w:ascii="Times New Roman" w:hAnsi="Times New Roman"/>
                <w:b w:val="0"/>
                <w:sz w:val="19"/>
              </w:rPr>
              <w:t>9</w:t>
            </w:r>
          </w:p>
        </w:tc>
        <w:tc>
          <w:tcPr>
            <w:tcW w:type="dxa" w:w="1440"/>
          </w:tcPr>
          <w:p>
            <w:r/>
            <w:r>
              <w:rPr>
                <w:rFonts w:ascii="Times New Roman" w:hAnsi="Times New Roman"/>
                <w:b w:val="0"/>
                <w:sz w:val="19"/>
              </w:rPr>
              <w:t>SMAD7</w:t>
            </w:r>
          </w:p>
        </w:tc>
        <w:tc>
          <w:tcPr>
            <w:tcW w:type="dxa" w:w="1440"/>
          </w:tcPr>
          <w:p>
            <w:r/>
            <w:r>
              <w:rPr>
                <w:rFonts w:ascii="Times New Roman" w:hAnsi="Times New Roman"/>
                <w:b w:val="0"/>
                <w:sz w:val="19"/>
              </w:rPr>
              <w:t>2.5e-12</w:t>
            </w:r>
          </w:p>
        </w:tc>
        <w:tc>
          <w:tcPr>
            <w:tcW w:type="dxa" w:w="1440"/>
          </w:tcPr>
          <w:p>
            <w:r/>
            <w:r>
              <w:rPr>
                <w:rFonts w:ascii="Times New Roman" w:hAnsi="Times New Roman"/>
                <w:b w:val="0"/>
                <w:sz w:val="19"/>
              </w:rPr>
              <w:t>0.0056</w:t>
            </w:r>
          </w:p>
        </w:tc>
        <w:tc>
          <w:tcPr>
            <w:tcW w:type="dxa" w:w="1440"/>
          </w:tcPr>
          <w:p>
            <w:r/>
            <w:r>
              <w:rPr>
                <w:rFonts w:ascii="Times New Roman" w:hAnsi="Times New Roman"/>
                <w:b w:val="0"/>
                <w:sz w:val="19"/>
              </w:rPr>
              <w:t>0.017</w:t>
            </w:r>
          </w:p>
        </w:tc>
        <w:tc>
          <w:tcPr>
            <w:tcW w:type="dxa" w:w="1440"/>
          </w:tcPr>
          <w:p>
            <w:r/>
            <w:r>
              <w:rPr>
                <w:rFonts w:ascii="Times New Roman" w:hAnsi="Times New Roman"/>
                <w:b w:val="0"/>
                <w:sz w:val="19"/>
              </w:rPr>
              <w:t>9.2e-15</w:t>
            </w:r>
          </w:p>
        </w:tc>
      </w:tr>
      <w:tr>
        <w:tc>
          <w:tcPr>
            <w:tcW w:type="dxa" w:w="1440"/>
          </w:tcPr>
          <w:p>
            <w:r/>
            <w:r>
              <w:rPr>
                <w:rFonts w:ascii="Times New Roman" w:hAnsi="Times New Roman"/>
                <w:b w:val="0"/>
                <w:sz w:val="19"/>
              </w:rPr>
              <w:t>10</w:t>
            </w:r>
          </w:p>
        </w:tc>
        <w:tc>
          <w:tcPr>
            <w:tcW w:type="dxa" w:w="1440"/>
          </w:tcPr>
          <w:p>
            <w:r/>
            <w:r>
              <w:rPr>
                <w:rFonts w:ascii="Times New Roman" w:hAnsi="Times New Roman"/>
                <w:b w:val="0"/>
                <w:sz w:val="19"/>
              </w:rPr>
              <w:t>FOXJ1</w:t>
            </w:r>
          </w:p>
        </w:tc>
        <w:tc>
          <w:tcPr>
            <w:tcW w:type="dxa" w:w="1440"/>
          </w:tcPr>
          <w:p>
            <w:r/>
            <w:r>
              <w:rPr>
                <w:rFonts w:ascii="Times New Roman" w:hAnsi="Times New Roman"/>
                <w:b w:val="0"/>
                <w:sz w:val="19"/>
              </w:rPr>
              <w:t>1.0e-12</w:t>
            </w:r>
          </w:p>
        </w:tc>
        <w:tc>
          <w:tcPr>
            <w:tcW w:type="dxa" w:w="1440"/>
          </w:tcPr>
          <w:p>
            <w:r/>
            <w:r>
              <w:rPr>
                <w:rFonts w:ascii="Times New Roman" w:hAnsi="Times New Roman"/>
                <w:b w:val="0"/>
                <w:sz w:val="19"/>
              </w:rPr>
              <w:t>0.030</w:t>
            </w:r>
          </w:p>
        </w:tc>
        <w:tc>
          <w:tcPr>
            <w:tcW w:type="dxa" w:w="1440"/>
          </w:tcPr>
          <w:p>
            <w:r/>
            <w:r>
              <w:rPr>
                <w:rFonts w:ascii="Times New Roman" w:hAnsi="Times New Roman"/>
                <w:b w:val="0"/>
                <w:sz w:val="19"/>
              </w:rPr>
              <w:t>0.0079</w:t>
            </w:r>
          </w:p>
        </w:tc>
        <w:tc>
          <w:tcPr>
            <w:tcW w:type="dxa" w:w="1440"/>
          </w:tcPr>
          <w:p>
            <w:r/>
            <w:r>
              <w:rPr>
                <w:rFonts w:ascii="Times New Roman" w:hAnsi="Times New Roman"/>
                <w:b w:val="0"/>
                <w:sz w:val="19"/>
              </w:rPr>
              <w:t>1.7e-14</w:t>
            </w:r>
          </w:p>
        </w:tc>
      </w:tr>
      <w:tr>
        <w:tc>
          <w:tcPr>
            <w:tcW w:type="dxa" w:w="1440"/>
          </w:tcPr>
          <w:p>
            <w:r/>
            <w:r>
              <w:rPr>
                <w:rFonts w:ascii="Times New Roman" w:hAnsi="Times New Roman"/>
                <w:b w:val="0"/>
                <w:sz w:val="19"/>
              </w:rPr>
              <w:t>11</w:t>
            </w:r>
          </w:p>
        </w:tc>
        <w:tc>
          <w:tcPr>
            <w:tcW w:type="dxa" w:w="1440"/>
          </w:tcPr>
          <w:p>
            <w:r/>
            <w:r>
              <w:rPr>
                <w:rFonts w:ascii="Times New Roman" w:hAnsi="Times New Roman"/>
                <w:b w:val="0"/>
                <w:sz w:val="19"/>
              </w:rPr>
              <w:t>KLF2</w:t>
            </w:r>
          </w:p>
        </w:tc>
        <w:tc>
          <w:tcPr>
            <w:tcW w:type="dxa" w:w="1440"/>
          </w:tcPr>
          <w:p>
            <w:r/>
            <w:r>
              <w:rPr>
                <w:rFonts w:ascii="Times New Roman" w:hAnsi="Times New Roman"/>
                <w:b w:val="0"/>
                <w:sz w:val="19"/>
              </w:rPr>
              <w:t>1.6e-9</w:t>
            </w:r>
          </w:p>
        </w:tc>
        <w:tc>
          <w:tcPr>
            <w:tcW w:type="dxa" w:w="1440"/>
          </w:tcPr>
          <w:p>
            <w:r/>
            <w:r>
              <w:rPr>
                <w:rFonts w:ascii="Times New Roman" w:hAnsi="Times New Roman"/>
                <w:b w:val="0"/>
                <w:sz w:val="19"/>
              </w:rPr>
              <w:t>0.0006</w:t>
            </w:r>
          </w:p>
        </w:tc>
        <w:tc>
          <w:tcPr>
            <w:tcW w:type="dxa" w:w="1440"/>
          </w:tcPr>
          <w:p>
            <w:r/>
            <w:r>
              <w:rPr>
                <w:rFonts w:ascii="Times New Roman" w:hAnsi="Times New Roman"/>
                <w:b w:val="0"/>
                <w:sz w:val="19"/>
              </w:rPr>
              <w:t>0.0047</w:t>
            </w:r>
          </w:p>
        </w:tc>
        <w:tc>
          <w:tcPr>
            <w:tcW w:type="dxa" w:w="1440"/>
          </w:tcPr>
          <w:p>
            <w:r/>
            <w:r>
              <w:rPr>
                <w:rFonts w:ascii="Times New Roman" w:hAnsi="Times New Roman"/>
                <w:b w:val="0"/>
                <w:sz w:val="19"/>
              </w:rPr>
              <w:t>1.7e-14</w:t>
            </w:r>
          </w:p>
        </w:tc>
      </w:tr>
      <w:tr>
        <w:tc>
          <w:tcPr>
            <w:tcW w:type="dxa" w:w="1440"/>
          </w:tcPr>
          <w:p>
            <w:r/>
            <w:r>
              <w:rPr>
                <w:rFonts w:ascii="Times New Roman" w:hAnsi="Times New Roman"/>
                <w:b w:val="0"/>
                <w:sz w:val="19"/>
              </w:rPr>
              <w:t>12</w:t>
            </w:r>
          </w:p>
        </w:tc>
        <w:tc>
          <w:tcPr>
            <w:tcW w:type="dxa" w:w="1440"/>
          </w:tcPr>
          <w:p>
            <w:r/>
            <w:r>
              <w:rPr>
                <w:rFonts w:ascii="Times New Roman" w:hAnsi="Times New Roman"/>
                <w:b w:val="0"/>
                <w:sz w:val="19"/>
              </w:rPr>
              <w:t>LEF1</w:t>
            </w:r>
          </w:p>
        </w:tc>
        <w:tc>
          <w:tcPr>
            <w:tcW w:type="dxa" w:w="1440"/>
          </w:tcPr>
          <w:p>
            <w:r/>
            <w:r>
              <w:rPr>
                <w:rFonts w:ascii="Times New Roman" w:hAnsi="Times New Roman"/>
                <w:b w:val="0"/>
                <w:sz w:val="19"/>
              </w:rPr>
              <w:t>6.4e-12</w:t>
            </w:r>
          </w:p>
        </w:tc>
        <w:tc>
          <w:tcPr>
            <w:tcW w:type="dxa" w:w="1440"/>
          </w:tcPr>
          <w:p>
            <w:r/>
            <w:r>
              <w:rPr>
                <w:rFonts w:ascii="Times New Roman" w:hAnsi="Times New Roman"/>
                <w:b w:val="0"/>
                <w:sz w:val="19"/>
              </w:rPr>
              <w:t>0.014</w:t>
            </w:r>
          </w:p>
        </w:tc>
        <w:tc>
          <w:tcPr>
            <w:tcW w:type="dxa" w:w="1440"/>
          </w:tcPr>
          <w:p>
            <w:r/>
            <w:r>
              <w:rPr>
                <w:rFonts w:ascii="Times New Roman" w:hAnsi="Times New Roman"/>
                <w:b w:val="0"/>
                <w:sz w:val="19"/>
              </w:rPr>
              <w:t>0.0047</w:t>
            </w:r>
          </w:p>
        </w:tc>
        <w:tc>
          <w:tcPr>
            <w:tcW w:type="dxa" w:w="1440"/>
          </w:tcPr>
          <w:p>
            <w:r/>
            <w:r>
              <w:rPr>
                <w:rFonts w:ascii="Times New Roman" w:hAnsi="Times New Roman"/>
                <w:b w:val="0"/>
                <w:sz w:val="19"/>
              </w:rPr>
              <w:t>1.7e-14</w:t>
            </w:r>
          </w:p>
        </w:tc>
      </w:tr>
      <w:tr>
        <w:tc>
          <w:tcPr>
            <w:tcW w:type="dxa" w:w="1440"/>
          </w:tcPr>
          <w:p>
            <w:r/>
            <w:r>
              <w:rPr>
                <w:rFonts w:ascii="Times New Roman" w:hAnsi="Times New Roman"/>
                <w:b w:val="0"/>
                <w:sz w:val="19"/>
              </w:rPr>
              <w:t>13</w:t>
            </w:r>
          </w:p>
        </w:tc>
        <w:tc>
          <w:tcPr>
            <w:tcW w:type="dxa" w:w="1440"/>
          </w:tcPr>
          <w:p>
            <w:r/>
            <w:r>
              <w:rPr>
                <w:rFonts w:ascii="Times New Roman" w:hAnsi="Times New Roman"/>
                <w:b w:val="0"/>
                <w:sz w:val="19"/>
              </w:rPr>
              <w:t>E2F7</w:t>
            </w:r>
          </w:p>
        </w:tc>
        <w:tc>
          <w:tcPr>
            <w:tcW w:type="dxa" w:w="1440"/>
          </w:tcPr>
          <w:p>
            <w:r/>
            <w:r>
              <w:rPr>
                <w:rFonts w:ascii="Times New Roman" w:hAnsi="Times New Roman"/>
                <w:b w:val="0"/>
                <w:sz w:val="19"/>
              </w:rPr>
              <w:t>1.3e-9</w:t>
            </w:r>
          </w:p>
        </w:tc>
        <w:tc>
          <w:tcPr>
            <w:tcW w:type="dxa" w:w="1440"/>
          </w:tcPr>
          <w:p>
            <w:r/>
            <w:r>
              <w:rPr>
                <w:rFonts w:ascii="Times New Roman" w:hAnsi="Times New Roman"/>
                <w:b w:val="0"/>
                <w:sz w:val="19"/>
              </w:rPr>
              <w:t>0.013</w:t>
            </w:r>
          </w:p>
        </w:tc>
        <w:tc>
          <w:tcPr>
            <w:tcW w:type="dxa" w:w="1440"/>
          </w:tcPr>
          <w:p>
            <w:r/>
            <w:r>
              <w:rPr>
                <w:rFonts w:ascii="Times New Roman" w:hAnsi="Times New Roman"/>
                <w:b w:val="0"/>
                <w:sz w:val="19"/>
              </w:rPr>
              <w:t>0.0008</w:t>
            </w:r>
          </w:p>
        </w:tc>
        <w:tc>
          <w:tcPr>
            <w:tcW w:type="dxa" w:w="1440"/>
          </w:tcPr>
          <w:p>
            <w:r/>
            <w:r>
              <w:rPr>
                <w:rFonts w:ascii="Times New Roman" w:hAnsi="Times New Roman"/>
                <w:b w:val="0"/>
                <w:sz w:val="19"/>
              </w:rPr>
              <w:t>1.3e-13</w:t>
            </w:r>
          </w:p>
        </w:tc>
      </w:tr>
      <w:tr>
        <w:tc>
          <w:tcPr>
            <w:tcW w:type="dxa" w:w="1440"/>
          </w:tcPr>
          <w:p>
            <w:r/>
            <w:r>
              <w:rPr>
                <w:rFonts w:ascii="Times New Roman" w:hAnsi="Times New Roman"/>
                <w:b w:val="0"/>
                <w:sz w:val="19"/>
              </w:rPr>
              <w:t>14</w:t>
            </w:r>
          </w:p>
        </w:tc>
        <w:tc>
          <w:tcPr>
            <w:tcW w:type="dxa" w:w="1440"/>
          </w:tcPr>
          <w:p>
            <w:r/>
            <w:r>
              <w:rPr>
                <w:rFonts w:ascii="Times New Roman" w:hAnsi="Times New Roman"/>
                <w:b w:val="0"/>
                <w:sz w:val="19"/>
              </w:rPr>
              <w:t>MEOX2</w:t>
            </w:r>
          </w:p>
        </w:tc>
        <w:tc>
          <w:tcPr>
            <w:tcW w:type="dxa" w:w="1440"/>
          </w:tcPr>
          <w:p>
            <w:r/>
            <w:r>
              <w:rPr>
                <w:rFonts w:ascii="Times New Roman" w:hAnsi="Times New Roman"/>
                <w:b w:val="0"/>
                <w:sz w:val="19"/>
              </w:rPr>
              <w:t>4.2e-9</w:t>
            </w:r>
          </w:p>
        </w:tc>
        <w:tc>
          <w:tcPr>
            <w:tcW w:type="dxa" w:w="1440"/>
          </w:tcPr>
          <w:p>
            <w:r/>
            <w:r>
              <w:rPr>
                <w:rFonts w:ascii="Times New Roman" w:hAnsi="Times New Roman"/>
                <w:b w:val="0"/>
                <w:sz w:val="19"/>
              </w:rPr>
              <w:t>0.0094</w:t>
            </w:r>
          </w:p>
        </w:tc>
        <w:tc>
          <w:tcPr>
            <w:tcW w:type="dxa" w:w="1440"/>
          </w:tcPr>
          <w:p>
            <w:r/>
            <w:r>
              <w:rPr>
                <w:rFonts w:ascii="Times New Roman" w:hAnsi="Times New Roman"/>
                <w:b w:val="0"/>
                <w:sz w:val="19"/>
              </w:rPr>
              <w:t>0.0008</w:t>
            </w:r>
          </w:p>
        </w:tc>
        <w:tc>
          <w:tcPr>
            <w:tcW w:type="dxa" w:w="1440"/>
          </w:tcPr>
          <w:p>
            <w:r/>
            <w:r>
              <w:rPr>
                <w:rFonts w:ascii="Times New Roman" w:hAnsi="Times New Roman"/>
                <w:b w:val="0"/>
                <w:sz w:val="19"/>
              </w:rPr>
              <w:t>1.3e-13</w:t>
            </w:r>
          </w:p>
        </w:tc>
      </w:tr>
      <w:tr>
        <w:tc>
          <w:tcPr>
            <w:tcW w:type="dxa" w:w="1440"/>
          </w:tcPr>
          <w:p>
            <w:r/>
            <w:r>
              <w:rPr>
                <w:rFonts w:ascii="Times New Roman" w:hAnsi="Times New Roman"/>
                <w:b w:val="0"/>
                <w:sz w:val="19"/>
              </w:rPr>
              <w:t>15</w:t>
            </w:r>
          </w:p>
        </w:tc>
        <w:tc>
          <w:tcPr>
            <w:tcW w:type="dxa" w:w="1440"/>
          </w:tcPr>
          <w:p>
            <w:r/>
            <w:r>
              <w:rPr>
                <w:rFonts w:ascii="Times New Roman" w:hAnsi="Times New Roman"/>
                <w:b w:val="0"/>
                <w:sz w:val="19"/>
              </w:rPr>
              <w:t>SMAD3</w:t>
            </w:r>
          </w:p>
        </w:tc>
        <w:tc>
          <w:tcPr>
            <w:tcW w:type="dxa" w:w="1440"/>
          </w:tcPr>
          <w:p>
            <w:r/>
            <w:r>
              <w:rPr>
                <w:rFonts w:ascii="Times New Roman" w:hAnsi="Times New Roman"/>
                <w:b w:val="0"/>
                <w:sz w:val="19"/>
              </w:rPr>
              <w:t>1.1e-9</w:t>
            </w:r>
          </w:p>
        </w:tc>
        <w:tc>
          <w:tcPr>
            <w:tcW w:type="dxa" w:w="1440"/>
          </w:tcPr>
          <w:p>
            <w:r/>
            <w:r>
              <w:rPr>
                <w:rFonts w:ascii="Times New Roman" w:hAnsi="Times New Roman"/>
                <w:b w:val="0"/>
                <w:sz w:val="19"/>
              </w:rPr>
              <w:t>0.0098</w:t>
            </w:r>
          </w:p>
        </w:tc>
        <w:tc>
          <w:tcPr>
            <w:tcW w:type="dxa" w:w="1440"/>
          </w:tcPr>
          <w:p>
            <w:r/>
            <w:r>
              <w:rPr>
                <w:rFonts w:ascii="Times New Roman" w:hAnsi="Times New Roman"/>
                <w:b w:val="0"/>
                <w:sz w:val="19"/>
              </w:rPr>
              <w:t>0.0014</w:t>
            </w:r>
          </w:p>
        </w:tc>
        <w:tc>
          <w:tcPr>
            <w:tcW w:type="dxa" w:w="1440"/>
          </w:tcPr>
          <w:p>
            <w:r/>
            <w:r>
              <w:rPr>
                <w:rFonts w:ascii="Times New Roman" w:hAnsi="Times New Roman"/>
                <w:b w:val="0"/>
                <w:sz w:val="19"/>
              </w:rPr>
              <w:t>1.7e-13</w:t>
            </w:r>
          </w:p>
        </w:tc>
      </w:tr>
    </w:tbl>
    <w:p/>
    <w:p>
      <w:r>
        <w:rPr>
          <w:i/>
          <w:color w:val="606060"/>
          <w:sz w:val="19"/>
        </w:rPr>
        <w:t>Values shown to 2 significant figures; full-precision values in Supplementary Table S1 (candidate_shortlist.csv / combined_tf_results.csv). padj (human/CCl4/TAA) columns are within-dataset values and are unaffected by the cross-species matching method (Methods 2.5); only the Fisher-combined padj column, which depends on the total number of TFs tested across all three datasets, shifted marginally (499 vs. 511 total comparisons under the two matching methods).</w:t>
      </w:r>
    </w:p>
    <w:p>
      <w:r>
        <w:rPr>
          <w:b w:val="0"/>
          <w:i w:val="0"/>
        </w:rPr>
        <w:t>As a sensitivity check, we compared this ortholog-matched consensus set against the one obtained using a simpler case-conversion match. Fifty-four of the 56 case-conversion consensus TFs (96%) were retained, with an identical top-15 ranking (above). The two TFs lost under ortholog matching, TP63 and ZNF76, were traced to non-canonical mouse gene symbols in the underlying CollecTRI network entries (e.g., "Tp63" rather than the official MGI symbol Trp63) that could not be resolved to a verified Entrez-level ortholog; their apparent match under case conversion was therefore coincidental rather than database-confirmed. We consider their exclusion the more defensible outcome and report it as evidence that the consensus-filtering result is robust to, rather than an artifact of, the cross-species matching method.</w:t>
      </w:r>
    </w:p>
    <w:p>
      <w:pPr>
        <w:pStyle w:val="Heading2"/>
      </w:pPr>
      <w:r>
        <w:t>3.3 Biological coherence of the consensus set: the TGF-β/SMAD axis</w:t>
      </w:r>
    </w:p>
    <w:p>
      <w:r>
        <w:rPr>
          <w:b w:val="0"/>
          <w:i w:val="0"/>
        </w:rPr>
        <w:t>Three of the top 15 consensus TFs are direct components of the canonical TGF-β/SMAD signaling axis: SMAD3, the principal pro-fibrotic effector of TGF-β receptor signaling, increased with fibrosis progression in all three datasets, while SMAD6 and SMAD7, both negative-feedback inhibitors of the same pathway, decreased with progression in all three datasets. This pattern -- loss of pathway-intrinsic negative feedback occurring together with increased activity of the pro-fibrotic effector -- constitutes a mechanistically self-consistent signature that was recovered independently, without pathway-level supervision, in a human metabolic-disease cohort and two mechanistically distinct mouse chemical-injury models, supporting the biological validity of the consensus-filtering approach.</w:t>
      </w:r>
    </w:p>
    <w:p>
      <w:pPr>
        <w:pStyle w:val="Heading2"/>
      </w:pPr>
      <w:r>
        <w:t>3.4 SMARCA4 recovery as an internal positive control</w:t>
      </w:r>
    </w:p>
    <w:p>
      <w:r>
        <w:rPr>
          <w:b w:val="0"/>
          <w:i w:val="0"/>
        </w:rPr>
        <w:t>The top-ranked consensus TF, SMARCA4 (BRG1), is the catalytic ATPase subunit of the SWI/SNF (BAF) chromatin-remodeling complex. A dedicated hepatology study (Zhu et al., Cell Death Dis 2023) demonstrated that HSC-specific SMARCA4 deletion attenuates fibrosis across multiple mouse injury models, directly establishing SMARCA4 as a genuine HSC-myofibroblast fibrogenic driver. Its independent recovery as the top-ranked hit in an unsupervised, literature-blind meta-analysis provides an internal positive control: the pipeline recovers a genuine, recently published fibrogenic regulator without having been designed around it, supporting the validity of applying the same pipeline to nominate previously uncharacterized candidates.</w:t>
      </w:r>
    </w:p>
    <w:p>
      <w:pPr>
        <w:pStyle w:val="Heading2"/>
      </w:pPr>
      <w:r>
        <w:t>3.5 Candidate prioritization: ARID1A</w:t>
      </w:r>
    </w:p>
    <w:p>
      <w:r>
        <w:rPr>
          <w:b w:val="0"/>
          <w:i w:val="0"/>
        </w:rPr>
        <w:t>Building on the SMARCA4 result, we examined whether other members of the same SWI/SNF complex were independently recovered in the consensus set. ARID1A, a DNA-binding scaffolding subunit of the same complex, was independently identified as a consensus TF (Fisher-combined padj=3.3e-8; Table 4), providing a mechanistic rationale -- rather than a purely statistical one -- for prioritizing it: an unstudied member of an already-validated fibrogenic protein complex is a more defensible translational hypothesis than an isolated statistical hit.</w:t>
      </w:r>
    </w:p>
    <w:p>
      <w:r>
        <w:rPr>
          <w:b w:val="0"/>
          <w:i w:val="0"/>
        </w:rPr>
        <w:t>A systematic literature re-verification (Methods 2.6), however, showed that ARID1A is not uncharacterized in the liver as initially assumed. Hepatocyte-specific Arid1a-knockout mice develop worse high-fat-diet-induced steatosis and fibrosis (Moore et al., Hepatology 2019), and Arid1a mutation suppresses protective TGF-β-Smad4 signaling in cholangiocytes, promoting cholangiocarcinoma (Guo et al., Cell Reports 2022) -- both findings indicate a protective role for ARID1A in liver epithelial cells (hepatocytes, cholangiocytes), the opposite of a simple "ARID1A promotes fibrosis" reading. Our own data show ARID1A activity increasing with fibrosis progression in all three datasets (concordant direction = +1), which is compatible with either (i) a bulk-tissue cell-composition confound, in which the rising fraction of activated HSCs in whole-tissue RNA as fibrosis progresses inflates the apparent activity of any HSC-enriched regulon target set independent of any true regulatory change, or (ii) a genuine, cell-type-opposite function, whereby ARID1A is protective in hepatocytes/cholangiocytes but pro-fibrotic when acting cell-autonomously within HSCs. Critically, neither published study tested ARID1A directly in HSCs, leaving this specific, narrower question open and experimentally tractable (Section 5).</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19"/>
              </w:rPr>
              <w:t>TF</w:t>
            </w:r>
          </w:p>
        </w:tc>
        <w:tc>
          <w:tcPr>
            <w:tcW w:type="dxa" w:w="1728"/>
          </w:tcPr>
          <w:p>
            <w:r/>
            <w:r>
              <w:rPr>
                <w:rFonts w:ascii="Times New Roman" w:hAnsi="Times New Roman"/>
                <w:b/>
                <w:sz w:val="19"/>
              </w:rPr>
              <w:t>Existing evidence</w:t>
            </w:r>
          </w:p>
        </w:tc>
        <w:tc>
          <w:tcPr>
            <w:tcW w:type="dxa" w:w="1728"/>
          </w:tcPr>
          <w:p>
            <w:r/>
            <w:r>
              <w:rPr>
                <w:rFonts w:ascii="Times New Roman" w:hAnsi="Times New Roman"/>
                <w:b/>
                <w:sz w:val="19"/>
              </w:rPr>
              <w:t>Cell type tested</w:t>
            </w:r>
          </w:p>
        </w:tc>
        <w:tc>
          <w:tcPr>
            <w:tcW w:type="dxa" w:w="1728"/>
          </w:tcPr>
          <w:p>
            <w:r/>
            <w:r>
              <w:rPr>
                <w:rFonts w:ascii="Times New Roman" w:hAnsi="Times New Roman"/>
                <w:b/>
                <w:sz w:val="19"/>
              </w:rPr>
              <w:t>Direction reported</w:t>
            </w:r>
          </w:p>
        </w:tc>
        <w:tc>
          <w:tcPr>
            <w:tcW w:type="dxa" w:w="1728"/>
          </w:tcPr>
          <w:p>
            <w:r/>
            <w:r>
              <w:rPr>
                <w:rFonts w:ascii="Times New Roman" w:hAnsi="Times New Roman"/>
                <w:b/>
                <w:sz w:val="19"/>
              </w:rPr>
              <w:t>Druggability</w:t>
            </w:r>
          </w:p>
        </w:tc>
      </w:tr>
      <w:tr>
        <w:tc>
          <w:tcPr>
            <w:tcW w:type="dxa" w:w="1728"/>
          </w:tcPr>
          <w:p>
            <w:r/>
            <w:r>
              <w:rPr>
                <w:rFonts w:ascii="Times New Roman" w:hAnsi="Times New Roman"/>
                <w:b w:val="0"/>
                <w:sz w:val="19"/>
              </w:rPr>
              <w:t>SMARCA4</w:t>
            </w:r>
          </w:p>
        </w:tc>
        <w:tc>
          <w:tcPr>
            <w:tcW w:type="dxa" w:w="1728"/>
          </w:tcPr>
          <w:p>
            <w:r/>
            <w:r>
              <w:rPr>
                <w:rFonts w:ascii="Times New Roman" w:hAnsi="Times New Roman"/>
                <w:b w:val="0"/>
                <w:sz w:val="19"/>
              </w:rPr>
              <w:t>Direct HSC fibrogenic driver (2023)</w:t>
            </w:r>
          </w:p>
        </w:tc>
        <w:tc>
          <w:tcPr>
            <w:tcW w:type="dxa" w:w="1728"/>
          </w:tcPr>
          <w:p>
            <w:r/>
            <w:r>
              <w:rPr>
                <w:rFonts w:ascii="Times New Roman" w:hAnsi="Times New Roman"/>
                <w:b w:val="0"/>
                <w:sz w:val="19"/>
              </w:rPr>
              <w:t>HSC</w:t>
            </w:r>
          </w:p>
        </w:tc>
        <w:tc>
          <w:tcPr>
            <w:tcW w:type="dxa" w:w="1728"/>
          </w:tcPr>
          <w:p>
            <w:r/>
            <w:r>
              <w:rPr>
                <w:rFonts w:ascii="Times New Roman" w:hAnsi="Times New Roman"/>
                <w:b w:val="0"/>
                <w:sz w:val="19"/>
              </w:rPr>
              <w:t>Pro-fibrotic</w:t>
            </w:r>
          </w:p>
        </w:tc>
        <w:tc>
          <w:tcPr>
            <w:tcW w:type="dxa" w:w="1728"/>
          </w:tcPr>
          <w:p>
            <w:r/>
            <w:r>
              <w:rPr>
                <w:rFonts w:ascii="Times New Roman" w:hAnsi="Times New Roman"/>
                <w:b w:val="0"/>
                <w:sz w:val="19"/>
              </w:rPr>
              <w:t>FHD-286-class BAF-ATPase inhibitor (clinical stage)</w:t>
            </w:r>
          </w:p>
        </w:tc>
      </w:tr>
      <w:tr>
        <w:tc>
          <w:tcPr>
            <w:tcW w:type="dxa" w:w="1728"/>
          </w:tcPr>
          <w:p>
            <w:r/>
            <w:r>
              <w:rPr>
                <w:rFonts w:ascii="Times New Roman" w:hAnsi="Times New Roman"/>
                <w:b w:val="0"/>
                <w:sz w:val="19"/>
              </w:rPr>
              <w:t>ARID1A</w:t>
            </w:r>
          </w:p>
        </w:tc>
        <w:tc>
          <w:tcPr>
            <w:tcW w:type="dxa" w:w="1728"/>
          </w:tcPr>
          <w:p>
            <w:r/>
            <w:r>
              <w:rPr>
                <w:rFonts w:ascii="Times New Roman" w:hAnsi="Times New Roman"/>
                <w:b w:val="0"/>
                <w:sz w:val="19"/>
              </w:rPr>
              <w:t>Protective in hepatocytes (2019) and cholangiocytes (2022)</w:t>
            </w:r>
          </w:p>
        </w:tc>
        <w:tc>
          <w:tcPr>
            <w:tcW w:type="dxa" w:w="1728"/>
          </w:tcPr>
          <w:p>
            <w:r/>
            <w:r>
              <w:rPr>
                <w:rFonts w:ascii="Times New Roman" w:hAnsi="Times New Roman"/>
                <w:b w:val="0"/>
                <w:sz w:val="19"/>
              </w:rPr>
              <w:t>Hepatocyte, cholangiocyte (not HSC)</w:t>
            </w:r>
          </w:p>
        </w:tc>
        <w:tc>
          <w:tcPr>
            <w:tcW w:type="dxa" w:w="1728"/>
          </w:tcPr>
          <w:p>
            <w:r/>
            <w:r>
              <w:rPr>
                <w:rFonts w:ascii="Times New Roman" w:hAnsi="Times New Roman"/>
                <w:b w:val="0"/>
                <w:sz w:val="19"/>
              </w:rPr>
              <w:t>Protective (epithelial); direction in HSC untested</w:t>
            </w:r>
          </w:p>
        </w:tc>
        <w:tc>
          <w:tcPr>
            <w:tcW w:type="dxa" w:w="1728"/>
          </w:tcPr>
          <w:p>
            <w:r/>
            <w:r>
              <w:rPr>
                <w:rFonts w:ascii="Times New Roman" w:hAnsi="Times New Roman"/>
                <w:b w:val="0"/>
                <w:sz w:val="19"/>
              </w:rPr>
              <w:t>Indirect, via BAF-complex inhibitors</w:t>
            </w:r>
          </w:p>
        </w:tc>
      </w:tr>
    </w:tbl>
    <w:p/>
    <w:p>
      <w:r>
        <w:rPr>
          <w:i/>
          <w:color w:val="606060"/>
          <w:sz w:val="19"/>
        </w:rPr>
        <w:t>Evidence sources: SMARCA4, Zhu et al., Cell Death Dis 2023; ARID1A hepatocyte evidence, Moore et al., Hepatology 2019; ARID1A cholangiocyte evidence, Guo et al., Cell Rep 2022; FHD-286, Vaswani et al., J Med Chem 2025.</w:t>
      </w:r>
    </w:p>
    <w:p>
      <w:pPr>
        <w:pStyle w:val="Heading2"/>
      </w:pPr>
      <w:r>
        <w:t>3.6 THAP11 as an unstudied alternative candidate</w:t>
      </w:r>
    </w:p>
    <w:p>
      <w:r>
        <w:rPr>
          <w:b w:val="0"/>
          <w:i w:val="0"/>
        </w:rPr>
        <w:t>Among the consensus set, THAP11 (Ronin) showed the strongest statistical signal of any candidate with no identifiable prior fibrosis literature after re-verification under multiple alternate search strategies (protein alias, mitochondrial/metabolic gene-regulation context, and direct HSC-specific queries). Unlike ARID1A, THAP11 has no known pharmacological inhibitor, so its translational value is presently limited to hypothesis generation rather than immediate drug repurposing. Two additional TFs initially proposed as novel -- MEOX1/MEOX2 and NR2C2 -- were subsequently found, on the same re-verification protocol, to already have direct, recently published liver-fibrosis or HSC-activation literature -- for MEOX1, originally characterized as a druggable driver of cardiac fibroblast activation (Alexanian et al., Nature 2021) and subsequently shown to activate hepatic stellate cells and promote MASH-related fibrosis (Chen et al., PLoS Genet 2025; Jiao et al., Int J Biol Markers 2025); for NR2C2 (TR4), a TGF-β-Smad2/3-mediated driver of HSC activation in a bile-duct-ligation model (Fu et al., Ann Hepatol 2023) -- and are reclassified in our triage as further external validation of the pipeline rather than as novel candidates.</w:t>
      </w:r>
    </w:p>
    <w:p>
      <w:pPr>
        <w:pStyle w:val="Heading1"/>
      </w:pPr>
      <w:r>
        <w:t>4. Discussion</w:t>
      </w:r>
    </w:p>
    <w:p>
      <w:r>
        <w:rPr>
          <w:b w:val="0"/>
          <w:i w:val="0"/>
        </w:rPr>
        <w:t>This study applied a conservative, direction-aware consensus framework to three independent liver-injury transcriptomic datasets spanning two species and three distinct etiologies, and identified 54 transcription factors whose activity changes with fibrosis progression regardless of injury mechanism. The recovery of a coherent TGF-β/SMAD directional signature and of SMARCA4 -- independently validated in the primary literature only two years prior to this analysis -- without any pathway- or gene-level supervision, is evidence that the consensus set captures genuine fibrogenic biology rather than platform- or cohort-specific noise.</w:t>
      </w:r>
    </w:p>
    <w:p>
      <w:r>
        <w:rPr>
          <w:b w:val="0"/>
          <w:i w:val="0"/>
        </w:rPr>
        <w:t>The principal translational nomination of this study, ARID1A, illustrates both the value and the limits of bulk-transcriptomic consensus filtering. Its inclusion is motivated by a defensible mechanistic argument (shared complex membership with an independently validated driver, SMARCA4) rather than statistical rank alone. At the same time, the discrepancy between its epithelial-protective role in the published literature and its bulk-tissue "increasing" signature in this analysis is a genuinely open question that this study cannot resolve without cell-type-resolved data, and we treat this as a strength of the analysis rather than a weakness: it generates a specific, falsifiable hypothesis (cell-type-opposite function of ARID1A in HSCs versus hepatocytes) rather than an unqualified target claim.</w:t>
      </w:r>
    </w:p>
    <w:p>
      <w:r>
        <w:rPr>
          <w:b w:val="0"/>
          <w:i w:val="0"/>
        </w:rPr>
        <w:t>More broadly, this analysis illustrates a general methodological point for transcriptomic meta-analyses that combine cohorts of highly unequal size: naive p-value combination (e.g., Fisher's method alone) can be dominated by a single well-powered cohort, nominating candidates that are not independently supported in lower-powered but mechanistically informative cohorts (exemplified here by YAP1, which reached nominal combined significance driven entirely by the human cohort despite being non-significant in the mouse CCl4 data). Requiring independent significance and concordant direction in every contributing cohort is a simple, generalizable safeguard against this failure mode, at the cost of reduced sensitivity to context-specific regulators.</w:t>
      </w:r>
    </w:p>
    <w:p>
      <w:r>
        <w:rPr>
          <w:b w:val="0"/>
          <w:i w:val="0"/>
        </w:rPr>
        <w:t>This study also supports the translational premise, of direct relevance to toxicology-oriented pharmacology research, that regulators identified in rodent chemical-toxicant hepatotoxicity models can converge with those operating in human metabolic liver disease. Two chemically and mechanistically distinct hepatotoxicants (CCl4 and TAA) independently converged with the human MASLD cohort on the same 54-TF consensus set, suggesting that acute chemical-injury rodent models retain translational relevance for a metabolic human disease that develops over years to decades -- a premise directly relevant to laboratories whose primary expertise is in xenobiotic hepatotoxicity.</w:t>
      </w:r>
    </w:p>
    <w:p>
      <w:pPr>
        <w:pStyle w:val="Heading1"/>
      </w:pPr>
      <w:r>
        <w:t>5. Limitations</w:t>
      </w:r>
    </w:p>
    <w:p>
      <w:r>
        <w:rPr>
          <w:b w:val="0"/>
          <w:i w:val="0"/>
        </w:rPr>
        <w:t>Several limitations should inform interpretation of these findings. First, all three datasets are bulk-tissue transcriptomes; TF activity scores reflect the weighted average across all cell types present, and cannot on their own distinguish a true cell-autonomous regulatory change from a shift in cell-type composition (e.g., an increasing fraction of activated HSCs as fibrosis progresses) -- a distinction that is directly relevant to the interpretation of the ARID1A finding (Section 3.5) and, in principle, to any consensus TF reported here. Second, the two mouse datasets have small per-group sample sizes (n=3-4), which limits within-dataset statistical power and is only partially mitigated by the cross-dataset consensus design. Third, cross-species TF matching used a database-backed ortholog table (Orthology.eg.db, chained through Entrez Gene identifiers; Methods 2.5) rather than gene-symbol case conversion, and is therefore not subject to the divergent-nomenclature failure mode described in Methods 2.5; however, it necessarily inherits any incompleteness or curation lag in NCBI's ortholog annotations, and it excludes TFs whose CollecTRI network entry uses a non-canonical gene symbol not resolvable to a current Entrez record (Section 3.2). Fourth, TF activity was inferred using a single statistical method (decoupleR's univariate linear model); the CollecTRI regulon itself is built from ChIP-seq and perturbation studies aggregated across many tissues and cell lines, predominantly non-hepatic, and its target-gene sets do not necessarily reflect liver- or HSC-specific regulatory relationships. Fifth, the literature and druggability triage was performed manually and, while the top-ranked candidates were iteratively re-verified (correcting 4 of 6 initially proposed novel candidates), the remaining approximately 40 of 54 consensus TFs have not been individually re-verified to the same standard and should be treated as provisional. Finally, and most importantly, this is a correlational, hypothesis-generating study: no causal or experimental evidence is presented here for any candidate, and the ARID1A and THAP11 nominations require the cell-type-resolved experimental validation outlined in Section 6 before any therapeutic-target claim can be made.</w:t>
      </w:r>
    </w:p>
    <w:p>
      <w:pPr>
        <w:pStyle w:val="Heading1"/>
      </w:pPr>
      <w:r>
        <w:t>6. Future Directions</w:t>
      </w:r>
    </w:p>
    <w:p>
      <w:r>
        <w:rPr>
          <w:b w:val="0"/>
          <w:i w:val="0"/>
        </w:rPr>
        <w:t>We propose a staged experimental plan to resolve the central open question raised by this analysis -- whether ARID1A (and, in parallel, THAP11) act in a cell-autonomous, HSC-intrinsic manner consistent with a fibrogenic role, or whether the bulk-tissue signal reflects cell-composition change alone. Phase 1 (in vitro, ~8 weeks) will compare ARID1A and THAP11 knockdown/overexpression side-by-side in the human HSC line LX-2 and the mouse hepatocyte line AML12, prioritizing this cell-type comparison ahead of all other assays because it directly discriminates between the two candidate explanations for the ARID1A discrepancy. Loss-of-function phenotypes will be assessed by fibrogenic marker expression (ACTA2, COL1A1, TIMP1, SERPINE1), proliferation, and migration, using the same readout panel as the published SMARCA4 study to allow direct comparison. Contingent on Phase 1 results, Phase 2 will test ARID1A-SMARCA4 epistasis (double vs. single knockdown, and chromatin accessibility at known SMARCA4 target loci) to determine whether ARID1A acts within the same functional complex in HSCs, and Phase 3-4 will extend the strongest candidate to the laboratory's existing CCl4/TAA hepatotoxicant models and, resources permitting, to HSC-specific conditional knockout mice. Full experimental protocols, a proposed budget, and a timeline are provided in ARID1A_experimental_plan.md in the accompanying code repository.</w:t>
      </w:r>
    </w:p>
    <w:p>
      <w:pPr>
        <w:pStyle w:val="Heading1"/>
      </w:pPr>
      <w:r>
        <w:t>Data and Code Availability</w:t>
      </w:r>
    </w:p>
    <w:p>
      <w:r>
        <w:rPr>
          <w:b w:val="0"/>
          <w:i w:val="0"/>
        </w:rPr>
        <w:t>All analysis code, intermediate result files, figures, the full 54-TF consensus table, the literature/druggability triage, and the experimental validation plan are publicly available at github.com/bioinform25/pharmacology2254. Public datasets analyzed are available from GEO under accessions GSE135251, GSE222576, and GSE74605.</w:t>
      </w:r>
    </w:p>
    <w:p>
      <w:pPr>
        <w:pStyle w:val="Heading1"/>
      </w:pPr>
      <w:r>
        <w:t>Acknowledgment of AI-Assisted Analysis</w:t>
      </w:r>
    </w:p>
    <w:p>
      <w:r>
        <w:rPr>
          <w:b w:val="0"/>
          <w:i w:val="0"/>
        </w:rPr>
        <w:t>The bioinformatic pipeline, statistical framework, and this manuscript draft were developed with the assistance of an AI coding agent (Claude, Anthropic) under author supervision and review; all code was executed and all results independently inspected by the author(s) prior to inclusion. This statement should be revised or removed per target-journal policy on AI-assistance disclosure.</w:t>
      </w:r>
    </w:p>
    <w:p>
      <w:r>
        <w:br w:type="page"/>
      </w:r>
    </w:p>
    <w:p>
      <w:pPr>
        <w:pStyle w:val="Heading1"/>
      </w:pPr>
      <w:r>
        <w:t>References</w:t>
      </w:r>
    </w:p>
    <w:p>
      <w:r>
        <w:rPr>
          <w:i/>
          <w:color w:val="606060"/>
          <w:sz w:val="19"/>
        </w:rPr>
        <w:t>Author-year in-text citation style; references listed alphabetically. Verify against target-journal style (e.g. Vancouver, APA) before submission.</w:t>
      </w:r>
    </w:p>
    <w:p>
      <w:pPr>
        <w:spacing w:after="160"/>
        <w:ind w:left="432" w:hanging="432"/>
      </w:pPr>
      <w:r>
        <w:rPr>
          <w:rFonts w:ascii="Times New Roman" w:hAnsi="Times New Roman"/>
          <w:sz w:val="21"/>
        </w:rPr>
        <w:t>Alexanian M, Przytycki PF, Micheletti R, Padmanabhan A, Ye L, Travers JG, Gonzalez-Teran B, Silva AC, Duan Q, Ranade SS, Felix F, Linares-Saldana R, Li L, Lee JK, Sadagopan N, Redondo-Angulo I, Ganjoo K, Cohn J, McKinsey TA, Judge DP, Ashley EA, Jain R, Srivastava D. A transcriptional switch governs fibroblast activation in heart disease. Nature. 2021;595(7867):438-443. doi:10.1038/s41586-021-03674-1</w:t>
      </w:r>
    </w:p>
    <w:p>
      <w:pPr>
        <w:spacing w:after="160"/>
        <w:ind w:left="432" w:hanging="432"/>
      </w:pPr>
      <w:r>
        <w:rPr>
          <w:rFonts w:ascii="Times New Roman" w:hAnsi="Times New Roman"/>
          <w:sz w:val="21"/>
        </w:rPr>
        <w:t>Badia-i-Mompel P, Velez Santiago J, Braunger J, Geiss C, Dimitrov D, Muller-Dott S, Taus P, Dugourd A, Holland CH, Ramirez Flores RO, Saez-Rodriguez J. decoupleR: ensemble of computational methods to infer biological activities from omics data. Bioinform Adv. 2022;2(1):vbac016. doi:10.1093/bioadv/vbac016</w:t>
      </w:r>
    </w:p>
    <w:p>
      <w:pPr>
        <w:spacing w:after="160"/>
        <w:ind w:left="432" w:hanging="432"/>
      </w:pPr>
      <w:r>
        <w:rPr>
          <w:rFonts w:ascii="Times New Roman" w:hAnsi="Times New Roman"/>
          <w:sz w:val="21"/>
        </w:rPr>
        <w:t>Carvalho BS, Irizarry RA. A framework for oligonucleotide microarray preprocessing. Bioinformatics. 2010;26(19):2363-2367. doi:10.1093/bioinformatics/btq431</w:t>
      </w:r>
    </w:p>
    <w:p>
      <w:pPr>
        <w:spacing w:after="160"/>
        <w:ind w:left="432" w:hanging="432"/>
      </w:pPr>
      <w:r>
        <w:rPr>
          <w:rFonts w:ascii="Times New Roman" w:hAnsi="Times New Roman"/>
          <w:sz w:val="21"/>
        </w:rPr>
        <w:t>Chen L, Yang H, Wang J, Zhang H, Fu K, Yan Y, Liu Z. MEOX1-mediated transcriptional regulation of circABHD3 exacerbates hepatic fibrosis through promoting m6A/YTHDF2-dependent YPEL3 mRNA decay to activate beta-catenin signaling. PLoS Genet. 2025;21(3):e1011622. doi:10.1371/journal.pgen.1011622</w:t>
      </w:r>
    </w:p>
    <w:p>
      <w:pPr>
        <w:spacing w:after="160"/>
        <w:ind w:left="432" w:hanging="432"/>
      </w:pPr>
      <w:r>
        <w:rPr>
          <w:rFonts w:ascii="Times New Roman" w:hAnsi="Times New Roman"/>
          <w:sz w:val="21"/>
        </w:rPr>
        <w:t>Davis S, Meltzer PS. GEOquery: a bridge between the Gene Expression Omnibus (GEO) and BioConductor. Bioinformatics. 2007;23(14):1846-1847. doi:10.1093/bioinformatics/btm254</w:t>
      </w:r>
    </w:p>
    <w:p>
      <w:pPr>
        <w:spacing w:after="160"/>
        <w:ind w:left="432" w:hanging="432"/>
      </w:pPr>
      <w:r>
        <w:rPr>
          <w:rFonts w:ascii="Times New Roman" w:hAnsi="Times New Roman"/>
          <w:sz w:val="21"/>
        </w:rPr>
        <w:t>Fu Y, Zhou Y, Mu Y, Lv Y, Chen G, Zhang H, Liu P, Chen J. Testicular orphan receptor 4 induced hepatic stellate cells activation via the regulation of TGF-beta receptor I/Smad2/3 signaling pathway. Ann Hepatol. 2023;28(1):100775. doi:10.1016/j.aohep.2022.100775</w:t>
      </w:r>
    </w:p>
    <w:p>
      <w:pPr>
        <w:spacing w:after="160"/>
        <w:ind w:left="432" w:hanging="432"/>
      </w:pPr>
      <w:r>
        <w:rPr>
          <w:rFonts w:ascii="Times New Roman" w:hAnsi="Times New Roman"/>
          <w:sz w:val="21"/>
        </w:rPr>
        <w:t>Govaere O, Cockell S, Tiniakos D, Queen R, Younes R, Vacca M, Alexander L, Ravaioli F, Palmer J, Petta S, Boursier J, Rosso C, Johnson K, Wonders K, Day CP, Ekstedt M, Oresic M, Darlay R, Cordell HJ, Marra F, Vidal-Puig A, Bedossa P, Schattenberg JM, Clement K, Allison M, Bugianesi E, Ratziu V, Daly AK, Anstee QM. Transcriptomic profiling across the nonalcoholic fatty liver disease spectrum reveals gene signatures for steatohepatitis and fibrosis. Sci Transl Med. 2020;12(572):eaba4448. doi:10.1126/scitranslmed.aba4448</w:t>
      </w:r>
    </w:p>
    <w:p>
      <w:pPr>
        <w:spacing w:after="160"/>
        <w:ind w:left="432" w:hanging="432"/>
      </w:pPr>
      <w:r>
        <w:rPr>
          <w:rFonts w:ascii="Times New Roman" w:hAnsi="Times New Roman"/>
          <w:sz w:val="21"/>
        </w:rPr>
        <w:t>Guo B, Friedland SC, Alexander W, Myers JA, Wang W, O'Dell MR, Getman M, Whitney-Miller CL, Agostini-Vulaj D, Huber AR, Mello SS, Vertino PM, Land HK, Steiner LA, Hezel AF. Arid1a mutation suppresses TGF-beta signaling and induces cholangiocarcinoma. Cell Rep. 2022;40(9):111253. doi:10.1016/j.celrep.2022.111253</w:t>
      </w:r>
    </w:p>
    <w:p>
      <w:pPr>
        <w:spacing w:after="160"/>
        <w:ind w:left="432" w:hanging="432"/>
      </w:pPr>
      <w:r>
        <w:rPr>
          <w:rFonts w:ascii="Times New Roman" w:hAnsi="Times New Roman"/>
          <w:sz w:val="21"/>
        </w:rPr>
        <w:t>Hammad S, Ogris C, Othman A, Erdoesi P, Schmidt-Heck W, Biermayer I, Helm B, Gao Y, Pioronska W, Holland CH, D'Alessandro LA, de la Torre C, Sticht C, Al Aoua S, Theis FJ, Bantel H, Ebert MP, Klingmueller U, Hengstler JG, Dooley S, Mueller NS. Tolerance of repeated toxic injuries of murine livers is associated with steatosis and inflammation. Cell Death Dis. 2023;14(7):414. doi:10.1038/s41419-023-05855-4</w:t>
      </w:r>
    </w:p>
    <w:p>
      <w:pPr>
        <w:spacing w:after="160"/>
        <w:ind w:left="432" w:hanging="432"/>
      </w:pPr>
      <w:r>
        <w:rPr>
          <w:rFonts w:ascii="Times New Roman" w:hAnsi="Times New Roman"/>
          <w:sz w:val="21"/>
        </w:rPr>
        <w:t>Jiao X, Lai L, Qian Y, Sun B, Yang W. Identification of MEOX1 as a potential target in metabolic dysfunction-associated steatohepatitis-related liver fibrosis. Int J Biol Markers. 2025;40(2):133-144. doi:10.1177/03936155251335975</w:t>
      </w:r>
    </w:p>
    <w:p>
      <w:pPr>
        <w:spacing w:after="160"/>
        <w:ind w:left="432" w:hanging="432"/>
      </w:pPr>
      <w:r>
        <w:rPr>
          <w:rFonts w:ascii="Times New Roman" w:hAnsi="Times New Roman"/>
          <w:sz w:val="21"/>
        </w:rPr>
        <w:t>Love MI, Huber W, Anders S. Moderated estimation of fold change and dispersion for RNA-seq data with DESeq2. Genome Biol. 2014;15(12):550. doi:10.1186/s13059-014-0550-8</w:t>
      </w:r>
    </w:p>
    <w:p>
      <w:pPr>
        <w:spacing w:after="160"/>
        <w:ind w:left="432" w:hanging="432"/>
      </w:pPr>
      <w:r>
        <w:rPr>
          <w:rFonts w:ascii="Times New Roman" w:hAnsi="Times New Roman"/>
          <w:sz w:val="21"/>
        </w:rPr>
        <w:t>Melino M, Gadd VL, Alexander KA, Beattie L, Lineburg KE, Martinez M, Teal B, Le Texier L, Irvine KM, Miller GC, Boyle GM, Hill GR, Clouston AD, Powell EE, MacDonald KPA. Spatiotemporal characterization of the cellular and molecular contributors to liver fibrosis in a murine hepatotoxic-injury model. Am J Pathol. 2016;186(3):524-538. doi:10.1016/j.ajpath.2015.10.029</w:t>
      </w:r>
    </w:p>
    <w:p>
      <w:pPr>
        <w:spacing w:after="160"/>
        <w:ind w:left="432" w:hanging="432"/>
      </w:pPr>
      <w:r>
        <w:rPr>
          <w:rFonts w:ascii="Times New Roman" w:hAnsi="Times New Roman"/>
          <w:sz w:val="21"/>
        </w:rPr>
        <w:t>Moore A, Wu L, Chuang JC, Sun X, Luo X, Gopal P, Li L, Celen C, Zimmer M, Zhu H. Arid1a loss drives nonalcoholic steatohepatitis in mice through epigenetic dysregulation of hepatic lipogenesis and fatty acid oxidation. Hepatology. 2019;69(5):1931-1945. doi:10.1002/hep.30487</w:t>
      </w:r>
    </w:p>
    <w:p>
      <w:pPr>
        <w:spacing w:after="160"/>
        <w:ind w:left="432" w:hanging="432"/>
      </w:pPr>
      <w:r>
        <w:rPr>
          <w:rFonts w:ascii="Times New Roman" w:hAnsi="Times New Roman"/>
          <w:sz w:val="21"/>
        </w:rPr>
        <w:t>Muller-Dott S, Tsirvouli E, Vazquez M, Ramirez Flores RO, Badia-i-Mompel P, Fallegger R, Turei D, Laegreid A, Saez-Rodriguez J. Expanding the coverage of regulons from high-confidence prior knowledge for accurate estimation of transcription factor activities. Nucleic Acids Res. 2023;51(20):10934-10949. doi:10.1093/nar/gkad841</w:t>
      </w:r>
    </w:p>
    <w:p>
      <w:pPr>
        <w:spacing w:after="160"/>
        <w:ind w:left="432" w:hanging="432"/>
      </w:pPr>
      <w:r>
        <w:rPr>
          <w:rFonts w:ascii="Times New Roman" w:hAnsi="Times New Roman"/>
          <w:sz w:val="21"/>
        </w:rPr>
        <w:t>Ritchie ME, Phipson B, Wu D, Hu Y, Law CW, Shi W, Smyth GK. limma powers differential expression analyses for RNA-sequencing and microarray studies. Nucleic Acids Res. 2015;43(7):e47. doi:10.1093/nar/gkv007</w:t>
      </w:r>
    </w:p>
    <w:p>
      <w:pPr>
        <w:spacing w:after="160"/>
        <w:ind w:left="432" w:hanging="432"/>
      </w:pPr>
      <w:r>
        <w:rPr>
          <w:rFonts w:ascii="Times New Roman" w:hAnsi="Times New Roman"/>
          <w:sz w:val="21"/>
        </w:rPr>
        <w:t>Vaswani RG, Huang DS, Anthony N, Xu L, Centore R, Schiller S, Li Z, Fan H, Setser J, Zawadzke LE, Davenport Y, Chen X, Barnash K, Adam A, Ichikawa K, Huang L, Gu CH, Voigt J, Millan D, Chan HM, Decicco C, Hentemann M, Bellon SF, Wilson KJ. Discovery of FHD-286, a first-in-class, orally bioavailable, allosteric dual inhibitor of the Brahma homologue (BRM) and Brahma-related gene 1 (BRG1) ATPase activity for the treatment of SWI/SNF-dependent cancers. J Med Chem. 2025;68(2):1772-1792. doi:10.1021/acs.jmedchem.4c02535</w:t>
      </w:r>
    </w:p>
    <w:p>
      <w:pPr>
        <w:spacing w:after="160"/>
        <w:ind w:left="432" w:hanging="432"/>
      </w:pPr>
      <w:r>
        <w:rPr>
          <w:rFonts w:ascii="Times New Roman" w:hAnsi="Times New Roman"/>
          <w:sz w:val="21"/>
        </w:rPr>
        <w:t>Zhu Y, Kang A, Kuai Y, Guo Y, Miao X, Zhu L, Kong M, Li N. The chromatin remodeling protein BRG1 regulates HSC-myofibroblast differentiation and liver fibrosis. Cell Death Dis. 2023;14(12):826. doi:10.1038/s41419-023-06351-5</w:t>
      </w:r>
    </w:p>
    <w:p>
      <w:r>
        <w:rPr>
          <w:i/>
          <w:color w:val="606060"/>
          <w:sz w:val="19"/>
        </w:rPr>
        <w:t>All author lists, volumes, page numbers, and DOIs above were verified directly against PubMed/PMC or the publisher's page rather than reconstructed from memory. As standard practice, cross-check against CrossRef or the journal's own citation export before submission, and confirm the reference/citation style (author-year vs. numbered Vancouver) matches the target journal's author guidelines.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