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Cross-Validated Deconvolution Identifies General Hepatic Macrophage Burden, Not an S100A8-Hi Subset, as the Lipogenic-Gene Correlate in Mouse MASLD</w:t>
      </w:r>
    </w:p>
    <w:p>
      <w:pPr>
        <w:spacing w:after="80"/>
        <w:jc w:val="center"/>
      </w:pPr>
      <w:r>
        <w:rPr>
          <w:i w:val="0"/>
        </w:rPr>
        <w:t>[Author Name]</w:t>
      </w:r>
      <w:r>
        <w:rPr>
          <w:vertAlign w:val="superscript"/>
        </w:rPr>
        <w:t>¹</w:t>
      </w:r>
      <w:r>
        <w:t>, [Corresponding Author Name]</w:t>
      </w:r>
      <w:r>
        <w:rPr/>
        <w:t>¹*</w:t>
      </w:r>
    </w:p>
    <w:p>
      <w:pPr>
        <w:spacing w:after="80"/>
        <w:jc w:val="center"/>
      </w:pPr>
      <w:r>
        <w:rPr>
          <w:sz w:val="20"/>
        </w:rPr>
        <w:t>¹[Department/Institution]</w:t>
      </w:r>
    </w:p>
    <w:p>
      <w:pPr>
        <w:spacing w:after="480"/>
        <w:jc w:val="center"/>
      </w:pPr>
      <w:r>
        <w:rPr>
          <w:sz w:val="20"/>
        </w:rPr>
        <w:t>*Corresponding author: [email address]</w:t>
      </w:r>
    </w:p>
    <w:p>
      <w:pPr>
        <w:jc w:val="center"/>
      </w:pPr>
      <w:r>
        <w:rPr>
          <w:i/>
          <w:sz w:val="18"/>
        </w:rPr>
        <w:t>This manuscript reports a secondary, hypothesis-generating computational reanalysis of a public dataset; it has not been peer reviewed.</w:t>
      </w:r>
    </w:p>
    <w:p>
      <w:r>
        <w:br w:type="page"/>
      </w:r>
    </w:p>
    <w:p>
      <w:pPr>
        <w:pStyle w:val="Heading1"/>
      </w:pPr>
      <w:r>
        <w:t>Abstract</w:t>
      </w:r>
    </w:p>
    <w:p>
      <w:r>
        <w:rPr>
          <w:b/>
        </w:rPr>
        <w:t xml:space="preserve">Background: </w:t>
      </w:r>
      <w:r>
        <w:t>Adipocyte death promotes hepatic accumulation of S100A8</w:t>
      </w:r>
      <w:r>
        <w:rPr>
          <w:vertAlign w:val="superscript"/>
        </w:rPr>
        <w:t>+</w:t>
      </w:r>
      <w:r>
        <w:t xml:space="preserve"> macrophages, which suppress CCN3 and increase hepatocyte CD36 expression, driving metabolic dysfunction-associated steatotic liver disease (MASLD).</w:t>
      </w:r>
      <w:r>
        <w:rPr>
          <w:sz w:val="22"/>
          <w:vertAlign w:val="superscript"/>
        </w:rPr>
        <w:t>1</w:t>
      </w:r>
      <w:r>
        <w:t xml:space="preserve"> The public dataset underlying this mechanism (GEO GSE285614/GSE285615) comprises 34 bulk RNA-seq samples across two independent genotype axes and only two single-cell RNA-seq (scRNA-seq) samples (one wild-type [WT], one Bcl2-transgenic [TG]), leaving the second axis — a macrophage-specific S100a8 knockout (MKO) — without any matched single-cell reference.</w:t>
      </w:r>
    </w:p>
    <w:p>
      <w:r>
        <w:rPr>
          <w:b/>
        </w:rPr>
        <w:t xml:space="preserve">Methods: </w:t>
      </w:r>
      <w:r>
        <w:t>We reprocessed the public scRNA-seq reference, identified 12 hepatic cell populations including an S100A8-hi macrophage/monocyte population explicitly distinguished from neutrophils, and built a marker-gene signature. Because the reference contains only one biological replicate per genotype, subject-variance-based deconvolution methods were not applicable; we instead used marker-based deconvolution (BisqueRNA::MarkerBasedDecomposition) to estimate relative cell-type abundance in all 34 bulk samples. We validated the deconvolution against the direction of the original, fully replicated (n=5 vs n=5) bulk DESeq2 result, then applied it to the MKO axis and tested correlation with hepatic lipogenic gene expression. Group comparisons used Wilcoxon rank-sum tests (primary), Welch's t-test and Cohen's d (sensitivity/effect size), Benjamini-Hochberg (BH) correction within each comparison family, and post hoc power analysis.</w:t>
      </w:r>
    </w:p>
    <w:p>
      <w:r>
        <w:rPr>
          <w:b/>
        </w:rPr>
        <w:t xml:space="preserve">Results: </w:t>
      </w:r>
      <w:r>
        <w:t xml:space="preserve">Deconvolution direction matched the replicated bulk DESeq2 result for every cell type checked. General macrophage/Kupffer abundance was significantly higher in WT than TG (Cohen's d = -2.86, BH q = 0.024) and correlated with Cd36, Pparg, Scd1 and Plin2 expression (all q &lt; 0.05); the S100A8-hi subset trended in the same direction (d = -0.92) but did not reach significance and did not correlate with Cd36 (q = 0.76). In the MKO axis, no composition shift survived correction (this design is powered only for d </w:t>
      </w:r>
      <w:r>
        <w:rPr>
          <w:rFonts w:ascii="Cambria Math" w:hAnsi="Cambria Math"/>
        </w:rPr>
        <w:t>≳</w:t>
      </w:r>
      <w:r>
        <w:t xml:space="preserve"> 2.0-2.4); nominal, uncorrected effects were observed in neutrophils and mast cells. Testing the S100A8-hi signature against two independent public mouse liver scRNA-seq datasets showed it reproduces as a discrete population in a CD45</w:t>
      </w:r>
      <w:r>
        <w:rPr>
          <w:vertAlign w:val="superscript"/>
        </w:rPr>
        <w:t>+</w:t>
      </w:r>
      <w:r>
        <w:t>-sorted dataset (with a diet-dependent trend at 2 of 3 timepoints) but not in a whole-liver dataset with true biological replication, suggesting immune-cell enrichment aids detection of this state.</w:t>
      </w:r>
    </w:p>
    <w:p>
      <w:r>
        <w:rPr>
          <w:b/>
        </w:rPr>
        <w:t xml:space="preserve">Conclusions: </w:t>
      </w:r>
      <w:r>
        <w:t>Bulk-level compositional correlates of this pathway are driven predominantly by the general hepatic macrophage/Kupffer compartment rather than the S100A8-hi subset specifically, and macrophage-specific S100a8 deletion does not produce a statistically resolvable shift in broader immune composition at the sample sizes available — a pattern consistent with a gene-regulatory rather than a compositional/recruitment mechanism, though it requires confirmation in an adequately powered cohort.</w:t>
      </w:r>
    </w:p>
    <w:p>
      <w:r>
        <w:rPr>
          <w:b/>
        </w:rPr>
        <w:t xml:space="preserve">Keywords: </w:t>
      </w:r>
      <w:r>
        <w:t>MASLD; S100A8; hepatic macrophage; cell-type deconvolution; single-cell RNA sequencing; BisqueRNA</w:t>
      </w:r>
    </w:p>
    <w:p>
      <w:r>
        <w:br w:type="page"/>
      </w:r>
    </w:p>
    <w:p>
      <w:pPr>
        <w:pStyle w:val="Heading1"/>
      </w:pPr>
      <w:r>
        <w:t>1. Introduction</w:t>
      </w:r>
    </w:p>
    <w:p>
      <w:r>
        <w:t>Metabolic dysfunction-associated steatotic liver disease (MASLD, formerly nonalcoholic fatty liver disease)</w:t>
      </w:r>
      <w:r>
        <w:rPr>
          <w:sz w:val="22"/>
          <w:vertAlign w:val="superscript"/>
        </w:rPr>
        <w:t>2</w:t>
      </w:r>
      <w:r>
        <w:t xml:space="preserve"> affects a large proportion of the global population and can progress to steatohepatitis, fibrosis and cirrhosis. A recent study using genetically modified mice and paired bulk and single-cell RNA sequencing (scRNA-seq) demonstrated that death of visceral adipocytes under high-fat diet (HFD) feeding drives hepatic infiltration of S100A8</w:t>
      </w:r>
      <w:r>
        <w:rPr>
          <w:vertAlign w:val="superscript"/>
        </w:rPr>
        <w:t>+</w:t>
      </w:r>
      <w:r>
        <w:t xml:space="preserve"> macrophages, which suppress the CD36-negative regulator CCN3 and thereby increase hepatocyte CD36 expression and lipid storage. Blocking adipocyte death (adipocyte-specific Bcl2 overexpression, "Bcl2TG", which inhibits the mitochondrial apoptosis pathway) or deleting S100a8 specifically in macrophages (S100a8</w:t>
      </w:r>
      <w:r>
        <w:rPr>
          <w:vertAlign w:val="superscript"/>
        </w:rPr>
        <w:t>fl/fl</w:t>
      </w:r>
      <w:r>
        <w:t>;Cx3cr1-Cre, "MKO") both reduced hepatic steatosis, establishing this as a mechanistic axis in MASLD progression</w:t>
      </w:r>
      <w:r>
        <w:rPr>
          <w:sz w:val="22"/>
          <w:vertAlign w:val="superscript"/>
        </w:rPr>
        <w:t>1</w:t>
      </w:r>
      <w:r>
        <w:t>.</w:t>
      </w:r>
    </w:p>
    <w:p>
      <w:r>
        <w:t xml:space="preserve">The public data supporting this study (GEO accessions GSE285614 and GSE285615) include 34 bulk liver RNA-seq samples spanning two independent genotype axes — an adipocyte-death axis (WT vs Bcl2TG) and a macrophage-specific knockout axis (WT vs MKO) — but only two scRNA-seq samples, one WT and one Bcl2TG, both under HFD. The original analysis of these data relied on single-gene bulk differential expression; it did not use the scRNA-seq reference to ask whether the two genotype manipulations change the </w:t>
      </w:r>
      <w:r>
        <w:rPr>
          <w:i/>
        </w:rPr>
        <w:t>composition</w:t>
      </w:r>
      <w:r>
        <w:t xml:space="preserve"> of the hepatic immune infiltrate, as opposed to the expression level of individual genes within it — a distinction that matters because a shrinking S100A8</w:t>
      </w:r>
      <w:r>
        <w:rPr>
          <w:vertAlign w:val="superscript"/>
        </w:rPr>
        <w:t>+</w:t>
      </w:r>
      <w:r>
        <w:t xml:space="preserve"> macrophage population and a stable population that has simply down-regulated S100a8 would look identical in a single-gene analysis but imply different biology. This question is structurally unanswerable for the MKO axis using the original study's own data, because that axis has no scRNA-seq reference of its own.</w:t>
      </w:r>
    </w:p>
    <w:p>
      <w:r>
        <w:t>Here we reprocess the public scRNA-seq reference, build a marker-gene signature that explicitly separates an S100A8-hi macrophage/monocyte population from mature neutrophils (both S100a8/S100a9-positive, but otherwise transcriptionally distinct), and use marker-based deconvolution to estimate relative cell-type abundance across all 34 bulk samples. Because the scRNA-seq reference contains only one biological replicate per genotype, we first establish, and then apply throughout, a validation strategy suited to this constraint: rather than trusting the single scRNA-seq sample pair as ground truth (which we show can be directionally misleading), we validate the deconvolution against the original, fully replicated (n=5 vs n=5) bulk differential expression result for the same genotype comparison. We then apply the validated signature to the MKO axis — which has no scRNA-seq reference of its own — to test whether macrophage-specific S100a8 deletion detectably remodels the broader hepatic immune landscape, and we test whether cell-type abundance correlates with hepatic lipogenic gene expression across the full cohort.</w:t>
      </w:r>
    </w:p>
    <w:p>
      <w:pPr>
        <w:pStyle w:val="Heading1"/>
      </w:pPr>
      <w:r>
        <w:t>2. Methods</w:t>
      </w:r>
    </w:p>
    <w:p>
      <w:pPr>
        <w:pStyle w:val="Heading2"/>
      </w:pPr>
      <w:r>
        <w:t>2.1 Data sources</w:t>
      </w:r>
    </w:p>
    <w:p>
      <w:r>
        <w:t>Raw and processed data were downloaded from the NCBI Gene Expression Omnibus</w:t>
      </w:r>
      <w:r>
        <w:rPr>
          <w:sz w:val="22"/>
          <w:vertAlign w:val="superscript"/>
        </w:rPr>
        <w:t>7</w:t>
      </w:r>
      <w:r>
        <w:t xml:space="preserve"> (GSE285614, bulk liver RNA-seq; GSE285615, liver scRNA-seq), originally deposited alongside</w:t>
      </w:r>
      <w:r>
        <w:rPr>
          <w:sz w:val="22"/>
          <w:vertAlign w:val="superscript"/>
        </w:rPr>
        <w:t>1</w:t>
      </w:r>
      <w:r>
        <w:t>. GSE285614 was deposited as two separate DESeq2</w:t>
      </w:r>
      <w:r>
        <w:rPr>
          <w:sz w:val="22"/>
          <w:vertAlign w:val="superscript"/>
        </w:rPr>
        <w:t>5</w:t>
      </w:r>
      <w:r>
        <w:t xml:space="preserve"> analyses, each with per-sample raw counts embedded alongside summary statistics: "HFD_TG_vs_WT" (16 samples: WT and Bcl2TG, chow and HFD; the "adipocyte-death axis") and "MKO_HFD_vs_WT_HFD" (18 samples: S100a8</w:t>
      </w:r>
      <w:r>
        <w:rPr>
          <w:vertAlign w:val="superscript"/>
        </w:rPr>
        <w:t>fl/fl</w:t>
      </w:r>
      <w:r>
        <w:t xml:space="preserve"> and S100a8</w:t>
      </w:r>
      <w:r>
        <w:rPr>
          <w:vertAlign w:val="superscript"/>
        </w:rPr>
        <w:t>fl/fl</w:t>
      </w:r>
      <w:r>
        <w:t>;Cx3cr1-Cre, chow and HFD; the "macrophage-knockout axis"). GSE285615 contains two 10x Genomics filtered feature-barcode matrices (one WT, one Bcl2TG, both HFD, both male, 8 weeks of age at study start). Study design and sample sizes are summarized in Table 1.</w:t>
      </w:r>
    </w:p>
    <w:p>
      <w:pPr>
        <w:spacing w:line="276" w:lineRule="auto" w:after="280"/>
        <w:jc w:val="left"/>
      </w:pPr>
      <w:r>
        <w:rPr>
          <w:b/>
          <w:sz w:val="20"/>
        </w:rPr>
        <w:t xml:space="preserve">Table 1. </w:t>
      </w:r>
      <w:r>
        <w:rPr>
          <w:sz w:val="20"/>
        </w:rPr>
        <w:t>Study design: bulk RNA-seq sample sizes and single-cell reference availability by genotype axis and diet.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160"/>
          </w:tcPr>
          <w:p>
            <w:r/>
            <w:r>
              <w:rPr>
                <w:b/>
                <w:sz w:val="18"/>
              </w:rPr>
              <w:t>Axis</w:t>
            </w:r>
          </w:p>
        </w:tc>
        <w:tc>
          <w:tcPr>
            <w:tcW w:type="dxa" w:w="2160"/>
          </w:tcPr>
          <w:p>
            <w:r/>
            <w:r>
              <w:rPr>
                <w:b/>
                <w:sz w:val="18"/>
              </w:rPr>
              <w:t>Genotype comparison</w:t>
            </w:r>
          </w:p>
        </w:tc>
        <w:tc>
          <w:tcPr>
            <w:tcW w:type="dxa" w:w="1152"/>
          </w:tcPr>
          <w:p>
            <w:r/>
            <w:r>
              <w:rPr>
                <w:b/>
                <w:sz w:val="18"/>
              </w:rPr>
              <w:t>Diet</w:t>
            </w:r>
          </w:p>
        </w:tc>
        <w:tc>
          <w:tcPr>
            <w:tcW w:type="dxa" w:w="1440"/>
          </w:tcPr>
          <w:p>
            <w:r/>
            <w:r>
              <w:rPr>
                <w:b/>
                <w:sz w:val="18"/>
              </w:rPr>
              <w:t>n (bulk)</w:t>
            </w:r>
          </w:p>
        </w:tc>
        <w:tc>
          <w:tcPr>
            <w:tcW w:type="dxa" w:w="2160"/>
          </w:tcPr>
          <w:p>
            <w:r/>
            <w:r>
              <w:rPr>
                <w:b/>
                <w:sz w:val="18"/>
              </w:rPr>
              <w:t>scRNA-seq reference</w:t>
            </w:r>
          </w:p>
        </w:tc>
      </w:tr>
      <w:tr>
        <w:tc>
          <w:tcPr>
            <w:tcW w:type="dxa" w:w="2160"/>
          </w:tcPr>
          <w:p>
            <w:r/>
            <w:r>
              <w:rPr>
                <w:sz w:val="18"/>
              </w:rPr>
              <w:t>1 — Adipocyte death</w:t>
            </w:r>
          </w:p>
        </w:tc>
        <w:tc>
          <w:tcPr>
            <w:tcW w:type="dxa" w:w="2160"/>
          </w:tcPr>
          <w:p>
            <w:r/>
            <w:r>
              <w:rPr>
                <w:sz w:val="18"/>
              </w:rPr>
              <w:t>WT vs Bcl2TG</w:t>
            </w:r>
          </w:p>
        </w:tc>
        <w:tc>
          <w:tcPr>
            <w:tcW w:type="dxa" w:w="1152"/>
          </w:tcPr>
          <w:p>
            <w:r/>
            <w:r>
              <w:rPr>
                <w:sz w:val="18"/>
              </w:rPr>
              <w:t>Chow</w:t>
            </w:r>
          </w:p>
        </w:tc>
        <w:tc>
          <w:tcPr>
            <w:tcW w:type="dxa" w:w="1440"/>
          </w:tcPr>
          <w:p>
            <w:r/>
            <w:r>
              <w:rPr>
                <w:sz w:val="18"/>
              </w:rPr>
              <w:t>3 vs 3</w:t>
            </w:r>
          </w:p>
        </w:tc>
        <w:tc>
          <w:tcPr>
            <w:tcW w:type="dxa" w:w="2160"/>
          </w:tcPr>
          <w:p>
            <w:r/>
            <w:r>
              <w:rPr>
                <w:sz w:val="18"/>
              </w:rPr>
              <w:t>No</w:t>
            </w:r>
          </w:p>
        </w:tc>
      </w:tr>
      <w:tr>
        <w:tc>
          <w:tcPr>
            <w:tcW w:type="dxa" w:w="2160"/>
          </w:tcPr>
          <w:p>
            <w:r/>
            <w:r>
              <w:rPr>
                <w:sz w:val="18"/>
              </w:rPr>
              <w:t>1 — Adipocyte death</w:t>
            </w:r>
          </w:p>
        </w:tc>
        <w:tc>
          <w:tcPr>
            <w:tcW w:type="dxa" w:w="2160"/>
          </w:tcPr>
          <w:p>
            <w:r/>
            <w:r>
              <w:rPr>
                <w:sz w:val="18"/>
              </w:rPr>
              <w:t>WT vs Bcl2TG</w:t>
            </w:r>
          </w:p>
        </w:tc>
        <w:tc>
          <w:tcPr>
            <w:tcW w:type="dxa" w:w="1152"/>
          </w:tcPr>
          <w:p>
            <w:r/>
            <w:r>
              <w:rPr>
                <w:sz w:val="18"/>
              </w:rPr>
              <w:t>HFD</w:t>
            </w:r>
          </w:p>
        </w:tc>
        <w:tc>
          <w:tcPr>
            <w:tcW w:type="dxa" w:w="1440"/>
          </w:tcPr>
          <w:p>
            <w:r/>
            <w:r>
              <w:rPr>
                <w:sz w:val="18"/>
              </w:rPr>
              <w:t>5 vs 5</w:t>
            </w:r>
          </w:p>
        </w:tc>
        <w:tc>
          <w:tcPr>
            <w:tcW w:type="dxa" w:w="2160"/>
          </w:tcPr>
          <w:p>
            <w:r/>
            <w:r>
              <w:rPr>
                <w:sz w:val="18"/>
              </w:rPr>
              <w:t>Yes (1 vs 1)</w:t>
            </w:r>
          </w:p>
        </w:tc>
      </w:tr>
      <w:tr>
        <w:tc>
          <w:tcPr>
            <w:tcW w:type="dxa" w:w="2160"/>
          </w:tcPr>
          <w:p>
            <w:r/>
            <w:r>
              <w:rPr>
                <w:sz w:val="18"/>
              </w:rPr>
              <w:t>2 — Macrophage S100a8 KO</w:t>
            </w:r>
          </w:p>
        </w:tc>
        <w:tc>
          <w:tcPr>
            <w:tcW w:type="dxa" w:w="2160"/>
          </w:tcPr>
          <w:p>
            <w:r/>
            <w:r>
              <w:rPr>
                <w:sz w:val="18"/>
              </w:rPr>
              <w:t>WT(fl/fl) vs MKO</w:t>
            </w:r>
          </w:p>
        </w:tc>
        <w:tc>
          <w:tcPr>
            <w:tcW w:type="dxa" w:w="1152"/>
          </w:tcPr>
          <w:p>
            <w:r/>
            <w:r>
              <w:rPr>
                <w:sz w:val="18"/>
              </w:rPr>
              <w:t>Chow</w:t>
            </w:r>
          </w:p>
        </w:tc>
        <w:tc>
          <w:tcPr>
            <w:tcW w:type="dxa" w:w="1440"/>
          </w:tcPr>
          <w:p>
            <w:r/>
            <w:r>
              <w:rPr>
                <w:sz w:val="18"/>
              </w:rPr>
              <w:t>4 vs 5</w:t>
            </w:r>
          </w:p>
        </w:tc>
        <w:tc>
          <w:tcPr>
            <w:tcW w:type="dxa" w:w="2160"/>
          </w:tcPr>
          <w:p>
            <w:r/>
            <w:r>
              <w:rPr>
                <w:sz w:val="18"/>
              </w:rPr>
              <w:t>No</w:t>
            </w:r>
          </w:p>
        </w:tc>
      </w:tr>
      <w:tr>
        <w:tc>
          <w:tcPr>
            <w:tcW w:type="dxa" w:w="2160"/>
          </w:tcPr>
          <w:p>
            <w:r/>
            <w:r>
              <w:rPr>
                <w:sz w:val="18"/>
              </w:rPr>
              <w:t>2 — Macrophage S100a8 KO</w:t>
            </w:r>
          </w:p>
        </w:tc>
        <w:tc>
          <w:tcPr>
            <w:tcW w:type="dxa" w:w="2160"/>
          </w:tcPr>
          <w:p>
            <w:r/>
            <w:r>
              <w:rPr>
                <w:sz w:val="18"/>
              </w:rPr>
              <w:t>WT(fl/fl) vs MKO</w:t>
            </w:r>
          </w:p>
        </w:tc>
        <w:tc>
          <w:tcPr>
            <w:tcW w:type="dxa" w:w="1152"/>
          </w:tcPr>
          <w:p>
            <w:r/>
            <w:r>
              <w:rPr>
                <w:sz w:val="18"/>
              </w:rPr>
              <w:t>HFD</w:t>
            </w:r>
          </w:p>
        </w:tc>
        <w:tc>
          <w:tcPr>
            <w:tcW w:type="dxa" w:w="1440"/>
          </w:tcPr>
          <w:p>
            <w:r/>
            <w:r>
              <w:rPr>
                <w:sz w:val="18"/>
              </w:rPr>
              <w:t>5 vs 4</w:t>
            </w:r>
          </w:p>
        </w:tc>
        <w:tc>
          <w:tcPr>
            <w:tcW w:type="dxa" w:w="2160"/>
          </w:tcPr>
          <w:p>
            <w:r/>
            <w:r>
              <w:rPr>
                <w:sz w:val="18"/>
              </w:rPr>
              <w:t>No</w:t>
            </w:r>
          </w:p>
        </w:tc>
      </w:tr>
    </w:tbl>
    <w:p>
      <w:pPr>
        <w:spacing w:after="80"/>
      </w:pPr>
    </w:p>
    <w:p>
      <w:pPr>
        <w:pStyle w:val="Heading2"/>
      </w:pPr>
      <w:r>
        <w:t>2.2 Single-cell RNA-seq processing and cell-type annotation</w:t>
      </w:r>
    </w:p>
    <w:p>
      <w:r>
        <w:t>Filtered feature-barcode matrices were loaded with Seurat v5.4.0</w:t>
      </w:r>
      <w:r>
        <w:rPr>
          <w:sz w:val="22"/>
          <w:vertAlign w:val="superscript"/>
        </w:rPr>
        <w:t>3</w:t>
      </w:r>
      <w:r>
        <w:t xml:space="preserve"> (CreateSeuratObject, min.cells = 3, min.features = 200). Cells were retained if 200 &lt; nFeature_RNA &lt; 6,000, nCount_RNA &lt; 30,000 and percent.mt &lt; 25% (mitochondrial fraction threshold set liberally because hepatocytes are naturally mitochondria-rich); this removed 320/11,579 WT cells and 277/8,158 TG cells (retained: WT = 11,259, TG = 7,881; total = 19,140). The two samples were merged without cross-sample batch correction (e.g., Harmony or CCA-based integration): because sample identity is completely confounded with genotype in this n=1-per-group design, batch correction would risk removing exactly the biological signal under study. Data were log-normalized, 2,000 highly variable genes were selected, and principal component analysis was run on scaled data (30 components). Cells were clustered with a shared nearest-neighbor graph and the Louvain algorithm (resolution = 0.8, 28 clusters) and visualized with UMAP</w:t>
      </w:r>
      <w:r>
        <w:rPr>
          <w:sz w:val="22"/>
          <w:vertAlign w:val="superscript"/>
        </w:rPr>
        <w:t>8</w:t>
      </w:r>
      <w:r>
        <w:t>.</w:t>
      </w:r>
    </w:p>
    <w:p>
      <w:r>
        <w:t>Cluster identities were assigned from canonical marker genes (e.g., Alb/Apoa1/Cyp2e1, hepatocyte; Clec4f/Csf1r/Adgre1/Cd68, macrophage/Kupffer; Pecam1/Stab2/Clec4g, endothelial; Dcn/Pdgfrb, stellate/fibroblast; Cd3e/Cd3d, T cell; Cd79a/Ms4a1, B cell; Ncr1, NK cell; Krt19/Epcam, cholangiocyte) together with FindAllMarkers (Wilcoxon rank-sum test, only.pos = TRUE, min.pct = 0.25, logFC threshold = 0.5). Twenty-eight clusters were collapsed into 12 cell types. Two low-confidence clusters (973/19,140 cells, 5.1%) were excluded before downstream analysis: one dominated by ambient-RNA/mitochondrial genes and one defined only by cell-cycle genes with no clear lineage identity. Critically, S100a8/S100a9-positive myeloid cells resolved into two transcriptionally distinct clusters: an "S100A8hi_macrophage" population (S100a8/S100a9-positive, Ly6g-negative, partially Csf1r/Cd68/Adgre1-positive — monocyte/macrophage lineage) and a "Neutrophil" population (S100a8/S100a9-positive together with Ly6g, Camp, Ltf, Ngp and Mpo — mature granulocyte lineage; Figure 1B). These were kept as separate cell types throughout, since collapsing them would confound the population of biological interest with an unrelated granulocyte lineage that also expresses S100a8/S100a9.</w:t>
      </w:r>
    </w:p>
    <w:p>
      <w:pPr>
        <w:pStyle w:val="Heading2"/>
      </w:pPr>
      <w:r>
        <w:t>2.3 Bulk RNA-seq data integration</w:t>
      </w:r>
    </w:p>
    <w:p>
      <w:r>
        <w:t>Per-sample raw counts were extracted from both GSE285614 supplementary tables, duplicate gene symbols were collapsed by summation, and the two gene sets were intersected (12,505 shared genes) before merging into a single 34-sample raw count matrix. The two genotype axes were kept labeled separately throughout all downstream analyses — although both contain a group labeled "WT", they were sequenced as independent DESeq2 runs/batches and were never pooled or treated as the same biological samples. Counts were converted to counts-per-million (CPM) per sample and log</w:t>
      </w:r>
      <w:r>
        <w:rPr>
          <w:vertAlign w:val="subscript"/>
        </w:rPr>
        <w:t>2</w:t>
      </w:r>
      <w:r>
        <w:t>(CPM + 1)-transformed for variance stabilization prior to principal-component-based deconvolution.</w:t>
      </w:r>
    </w:p>
    <w:p>
      <w:pPr>
        <w:pStyle w:val="Heading2"/>
      </w:pPr>
      <w:r>
        <w:t>2.4 Cell-type deconvolution</w:t>
      </w:r>
    </w:p>
    <w:p>
      <w:r>
        <w:t>Because the scRNA-seq reference contains only one biological replicate per genotype, subject-variance-aware deconvolution methods (e.g., MuSiC, or BisqueRNA's own reference-based decomposition), which require multiple donors per cell type to estimate cross-subject variance, were not statistically appropriate. We therefore used BisqueRNA::MarkerBasedDecomposition</w:t>
      </w:r>
      <w:r>
        <w:rPr>
          <w:sz w:val="22"/>
          <w:vertAlign w:val="superscript"/>
        </w:rPr>
        <w:t>4</w:t>
      </w:r>
      <w:r>
        <w:t xml:space="preserve">, which requires only a stable per-cell-type marker-gene signature and returns, for each cell type, the first principal component (PC1) of that cell type's marker-gene sub-matrix in the bulk expression data as a relative abundance score. This score is not an absolute proportion and does not sum to 1 across cell types; it is only valid for comparing the </w:t>
      </w:r>
      <w:r>
        <w:rPr>
          <w:i/>
        </w:rPr>
        <w:t>same</w:t>
      </w:r>
      <w:r>
        <w:t xml:space="preserve"> cell type across samples or groups, not for comparing magnitude between different cell types.</w:t>
      </w:r>
    </w:p>
    <w:p>
      <w:r>
        <w:t>Marker genes were obtained by running FindAllMarkers on the final annotated scRNA-seq object (Wilcoxon rank-sum test, only.pos = TRUE, min.pct = 0.25, logFC threshold = 0.5), restricting to genes unique to a single cell type and present in the bulk gene set, and ranking by adjusted p-value. Decomposition was run with weighted = TRUE using average log</w:t>
      </w:r>
      <w:r>
        <w:rPr>
          <w:vertAlign w:val="subscript"/>
        </w:rPr>
        <w:t>2</w:t>
      </w:r>
      <w:r>
        <w:t xml:space="preserve"> fold-change as the marker weight (min_gene = 5, max_gene = 100, unique_markers = TRUE). The number of marker genes actually used per cell type (5-25) is not a fixed or arbitrary cutoff: BisqueRNA's internal GetNumGenesWeighted() routine selects, within the allowed range, the panel size that maximizes the ratio of the first to second eigenvalue of the marker sub-matrix — a scree-like criterion that favors a single dominant compositional signal over simply maximizing gene count. We report, for transparency, both the number of markers used and the percentage of marker-panel variance explained by PC1 for each cell type (Table S1); this exceeded 70% for Macrophage_Kupffer (72.4%), S100A8hi_macrophage (76.9%) and NK_cell (78.1%), indicating a coherent single-factor signal for the cell types most relevant to this study, and fell to 33-39% for Cholangiocyte, Mast_cell, Neutrophil and T_cell, which should be interpreted more cautiously.</w:t>
      </w:r>
    </w:p>
    <w:p>
      <w:pPr>
        <w:pStyle w:val="Heading2"/>
      </w:pPr>
      <w:r>
        <w:t>2.5 Validation strategy</w:t>
      </w:r>
    </w:p>
    <w:p>
      <w:r>
        <w:t>We initially validated the axis-1 (WT vs Bcl2TG, HFD) deconvolution against cell-type proportions counted directly from the single WT/TG scRNA-seq sample pair. This showed the S100A8hi_macrophage proportion as higher in TG than WT (3.55% vs 2.43%, a 1.46-fold difference), whereas the deconvolution estimated the opposite direction (WT &gt; TG). Because a single biological replicate per group cannot establish a population-level direction, we treated this apparent discrepancy as inconclusive rather than as validation failure, and instead checked the direction of the original, fully replicated (n=5 WT vs n=5 TG) bulk DESeq2 result for the same marker genes in the identical comparison, obtained from the same publicly deposited supplementary table used for count extraction (Section 2.3). S100a8 (log</w:t>
      </w:r>
      <w:r>
        <w:rPr>
          <w:vertAlign w:val="subscript"/>
        </w:rPr>
        <w:t>2</w:t>
      </w:r>
      <w:r>
        <w:t xml:space="preserve"> fold-change = -0.80, p = 0.039), Cd68 (log</w:t>
      </w:r>
      <w:r>
        <w:rPr>
          <w:vertAlign w:val="subscript"/>
        </w:rPr>
        <w:t>2</w:t>
      </w:r>
      <w:r>
        <w:t xml:space="preserve"> fold-change = -0.74, p = 0.004, BH-adjusted p = 0.050) and other macrophage markers (Adgre1, Csf1r, Clec4f, Ptprc) were all higher in WT than TG, matching the deconvolution direction rather than the single-pair scRNA-seq comparison (Figure 2C). This is also the direction predicted mechanistically: Bcl2 overexpression blocks adipocyte apoptosis and is therefore protective, so Bcl2TG mice are expected to show </w:t>
      </w:r>
      <w:r>
        <w:rPr>
          <w:i/>
        </w:rPr>
        <w:t>less</w:t>
      </w:r>
      <w:r>
        <w:t xml:space="preserve"> HFD-induced hepatic immune infiltration than WT, not more. We adopted this replicated-bulk benchmark as the validation standard for all subsequent analyses.</w:t>
      </w:r>
    </w:p>
    <w:p>
      <w:pPr>
        <w:pStyle w:val="Heading2"/>
      </w:pPr>
      <w:r>
        <w:t>2.6 Statistical analysis</w:t>
      </w:r>
    </w:p>
    <w:p>
      <w:r>
        <w:t>All pairwise group comparisons of deconvolution scores used the two-sided Wilcoxon rank-sum test as the primary statistic, given the small group sizes (n = 4-5) and the inability to verify normality; Welch's two-sample t-test and Cohen's d (pooled-SD) are reported alongside as sensitivity and effect-size measures. Benjamini-Hochberg (BH) false discovery rate correction</w:t>
      </w:r>
      <w:r>
        <w:rPr>
          <w:sz w:val="22"/>
          <w:vertAlign w:val="superscript"/>
        </w:rPr>
        <w:t>6</w:t>
      </w:r>
      <w:r>
        <w:t xml:space="preserve"> was applied within each pre-specified comparison family (12 cell types, separately within axis 1's HFD validation cohort and within each diet of axis 2's MKO screen; 30 cell-type-by-gene-by-sample-subset combinations for the lipogenic-gene correlation analysis), and q &lt; 0.05 was used as the significance threshold for corrected results. Correlations between deconvolution scores and log</w:t>
      </w:r>
      <w:r>
        <w:rPr>
          <w:vertAlign w:val="subscript"/>
        </w:rPr>
        <w:t>2</w:t>
      </w:r>
      <w:r>
        <w:t>(CPM + 1) gene expression used Spearman's rank correlation, appropriate given the arbitrary, non-linear scale of PC1-based deconvolution scores. Post hoc statistical power was assessed with a two-sample t-test power calculation (alpha = 0.05, 80% power) for n = 4 and n = 5 per group to contextualize non-significant results. All analyses were performed in R 4.5.2; the complete, version-controlled analysis code (scripts 00-12) is available at the repository in Section 2.8.</w:t>
      </w:r>
    </w:p>
    <w:p>
      <w:pPr>
        <w:pStyle w:val="Heading2"/>
      </w:pPr>
      <w:r>
        <w:t>2.7 External validation in independent public datasets</w:t>
      </w:r>
    </w:p>
    <w:p>
      <w:r>
        <w:t>To test whether the S100A8-hi macrophage population reflects a reproducible cell state rather than an artifact of the single WT/TG reference pair (Section 2.2), we searched GEO for independent mouse liver scRNA-seq datasets with true biological replication and applied the same marker criteria used to define this population (S100a8/S100a9 percent-positive &gt; 90%, Ly6g/Camp/Ltf/Ngp percent-positive &lt; 10%, versus &gt; 50% for a mature neutrophil) to their clusters. Two datasets were used: (1) GSE166504</w:t>
      </w:r>
      <w:r>
        <w:rPr>
          <w:sz w:val="22"/>
          <w:vertAlign w:val="superscript"/>
        </w:rPr>
        <w:t>9</w:t>
      </w:r>
      <w:r>
        <w:t>, mouse liver non-parenchymal cells across a chow / 15-week high-fat-high-fructose-diet (NAFL) / 30-week (NASH) progression with true biological replicates (chow n = 6, NAFL n = 3, NASH n = 4 mice), reprocessed from raw counts and the authors' own coarse cell-type labels (Kupffer cell, monocyte/monocyte-derived macrophage, neutrophil; 23,198 myeloid cells), reclustered within the myeloid compartment (resolution = 0.6, 18 clusters); and (2) GSE156057 (Remmerie et al.</w:t>
      </w:r>
      <w:r>
        <w:rPr>
          <w:sz w:val="22"/>
          <w:vertAlign w:val="superscript"/>
        </w:rPr>
        <w:t>10</w:t>
      </w:r>
      <w:r>
        <w:t>), CD45+-sorted mouse liver immune cells across standard diet (SD) vs western diet (WD), 12/24/36-week timepoints (one sample per condition-timepoint -- pseudo-replicates across independent mice/times, not within-condition biological replicates), reclustered de novo (77,655 cells, resolution = 0.8, 40 clusters). For each dataset we determined whether any cluster matched the marker criteria and, where present, computed its proportion of CD45+/myeloid cells across conditions.</w:t>
      </w:r>
    </w:p>
    <w:p>
      <w:pPr>
        <w:pStyle w:val="Heading2"/>
      </w:pPr>
      <w:r>
        <w:t>2.8 Data and code availability</w:t>
      </w:r>
    </w:p>
    <w:p>
      <w:r>
        <w:t>Raw data: NCBI GEO GSE285614 (bulk RNA-seq), GSE285615 (scRNA-seq), GSE166504 and GSE156057 (external validation). Analysis code, intermediate result tables and all figures: https://github.com/bioinform25/project1.</w:t>
      </w:r>
    </w:p>
    <w:p>
      <w:r>
        <w:br w:type="page"/>
      </w:r>
    </w:p>
    <w:p>
      <w:pPr>
        <w:pStyle w:val="Heading1"/>
      </w:pPr>
      <w:r>
        <w:t>3. Results</w:t>
      </w:r>
    </w:p>
    <w:p>
      <w:pPr>
        <w:pStyle w:val="Heading2"/>
      </w:pPr>
      <w:r>
        <w:t>3.1 A distinct S100A8-hi macrophage/monocyte population is separable from neutrophils in the scRNA-seq reference</w:t>
      </w:r>
    </w:p>
    <w:p>
      <w:r>
        <w:t>After quality control, 19,140 cells (WT = 11,259; TG = 7,881) were clustered into 28 groups and, after excluding two low-confidence clusters, annotated into 12 hepatic cell types comprising 18,167 cells (Figure 1A). As anticipated from the source study, S100a8/S100a9 expression was not confined to a single cluster: it appeared both in a monocyte/macrophage-lineage population (S100A8hi_macrophage: partial Csf1r/Cd68/Adgre1 positivity, Ly6g-negative) and, independently, in a mature neutrophil population (Ly6g/Camp/Ltf/Ngp/Mpo-positive; Figure 1B). Treating S100a8/S100a9 positivity alone as sufficient to define "the" S100A8</w:t>
      </w:r>
      <w:r>
        <w:rPr>
          <w:vertAlign w:val="superscript"/>
        </w:rPr>
        <w:t>+</w:t>
      </w:r>
      <w:r>
        <w:t xml:space="preserve"> macrophage population would have conflated these two unrelated myeloid lineages; they were therefore modeled as separate cell types throughout.</w:t>
      </w:r>
    </w:p>
    <w:p>
      <w:r>
        <w:t>S100A8hi_macrophage also showed minimal expression of Trem2 (0.9% of cells) and Gpnmb (2.1%), markers of lipid-associated/scar-associated macrophages, whereas these markers were concentrated instead within a subset of the broader Macrophage_Kupffer compartment (Trem2 42.1%, Gpnmb 23.5%; Figure 1B). This distinction is addressed further in Section 4.</w:t>
      </w:r>
    </w:p>
    <w:p>
      <w:pPr>
        <w:jc w:val="center"/>
      </w:pPr>
      <w:r>
        <w:drawing>
          <wp:inline xmlns:a="http://schemas.openxmlformats.org/drawingml/2006/main" xmlns:pic="http://schemas.openxmlformats.org/drawingml/2006/picture">
            <wp:extent cx="5943600" cy="2701636"/>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943600" cy="2701636"/>
                    </a:xfrm>
                    <a:prstGeom prst="rect"/>
                  </pic:spPr>
                </pic:pic>
              </a:graphicData>
            </a:graphic>
          </wp:inline>
        </w:drawing>
      </w:r>
    </w:p>
    <w:p>
      <w:pPr>
        <w:spacing w:line="276" w:lineRule="auto" w:after="280"/>
        <w:jc w:val="left"/>
      </w:pPr>
      <w:r>
        <w:rPr>
          <w:b/>
          <w:sz w:val="20"/>
        </w:rPr>
        <w:t xml:space="preserve">Figure 1. </w:t>
      </w:r>
      <w:r>
        <w:rPr>
          <w:sz w:val="20"/>
        </w:rPr>
        <w:t>scRNA-seq reference and identification of a distinct S100A8-hi macrophage population. (A) UMAP projection of 18,167 quality-controlled hepatic cells (WT + Bcl2TG, HFD), colored by annotated cell type. (B) Marker-gene dot plot distinguishing S100A8hi_macrophage from Neutrophil and from other Macrophage_Kupffer populations: only Neutrophil is positive for Ly6g, Camp, Ltf and Ngp, despite both S100A8hi_macrophage and Neutrophil expressing S100a8/S100a9.</w:t>
      </w:r>
    </w:p>
    <w:p>
      <w:pPr>
        <w:pStyle w:val="Heading2"/>
      </w:pPr>
      <w:r>
        <w:t>3.2 Marker-based deconvolution recovers the direction of the original, fully replicated bulk analysis</w:t>
      </w:r>
    </w:p>
    <w:p>
      <w:r>
        <w:t xml:space="preserve">In the axis-1 (WT vs Bcl2TG, HFD) validation cohort (n = 5 per group), the Macrophage_Kupffer deconvolution score was significantly higher in WT than TG (Wilcoxon p = 0.012, BH q = 0.024, Cohen's d = -2.86; Figure 2A), matching the direction of every individual macrophage marker gene (Adgre1, Csf1r, Clec4f, Cd68) in the original, fully replicated bulk DESeq2 analysis (Figure 2C). The S100A8hi_macrophage score trended in the same direction (Cohen's d = -0.92) but did not reach significance at this sample size (Wilcoxon p = 0.30, BH q = 0.36; Figure 2B) — consistent with the corresponding single-gene result (S100a8 nominal p = 0.039 but BH-adjusted p = 0.22 in the original n=5-vs-5 DESeq2 analysis). Four additional cell types reached BH q = 0.024 in the same direction as expected for a protective genotype (reduced HFD-associated immune infiltration in Bcl2TG): Dendritic_cell, NK_cell, Stellate_Fibroblast and T_cell; Hepatocyte scored higher in TG than WT (q = 0.024), consistent with proportionally less immune infiltrate diluting the hepatocyte signal in WT. Full statistics (effect sizes, both tests, both BH-adjusted q-values) for all 12 cell types are provided in </w:t>
      </w:r>
      <w:r>
        <w:rPr>
          <w:i/>
        </w:rPr>
        <w:t>Data S1</w:t>
      </w:r>
      <w:r>
        <w:t xml:space="preserve"> (Supplemental Data), generated from the same analysis that produced Figure 2.</w:t>
      </w:r>
    </w:p>
    <w:p>
      <w:pPr>
        <w:jc w:val="center"/>
      </w:pPr>
      <w:r>
        <w:drawing>
          <wp:inline xmlns:a="http://schemas.openxmlformats.org/drawingml/2006/main" xmlns:pic="http://schemas.openxmlformats.org/drawingml/2006/picture">
            <wp:extent cx="5760720" cy="5760720"/>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760720" cy="5760720"/>
                    </a:xfrm>
                    <a:prstGeom prst="rect"/>
                  </pic:spPr>
                </pic:pic>
              </a:graphicData>
            </a:graphic>
          </wp:inline>
        </w:drawing>
      </w:r>
    </w:p>
    <w:p>
      <w:pPr>
        <w:spacing w:line="276" w:lineRule="auto" w:after="280"/>
        <w:jc w:val="left"/>
      </w:pPr>
      <w:r>
        <w:rPr>
          <w:b/>
          <w:sz w:val="20"/>
        </w:rPr>
        <w:t xml:space="preserve">Figure 2. </w:t>
      </w:r>
      <w:r>
        <w:rPr>
          <w:sz w:val="20"/>
        </w:rPr>
        <w:t>Deconvolution validates against the original, fully replicated bulk DESeq2 result (axis 1, HFD). (A) Macrophage_Kupffer and (B) S100A8hi_macrophage deconvolution scores, WT vs Bcl2TG (n = 5 per group; boxplots with individual samples; Wilcoxon p and Cohen's d shown). (C) log₂ fold-change (Bcl2TG / WT) for the corresponding marker genes in the original authors' bulk DESeq2 analysis of the same 16-sample cohort (n = 5 vs 5, HFD subset shown).</w:t>
      </w:r>
    </w:p>
    <w:p>
      <w:pPr>
        <w:pStyle w:val="Heading2"/>
      </w:pPr>
      <w:r>
        <w:t>3.3 Macrophage-specific S100a8 deletion does not produce a statistically resolvable shift in hepatic cell composition</w:t>
      </w:r>
    </w:p>
    <w:p>
      <w:r>
        <w:t xml:space="preserve">Applying the validated signature to the MKO axis (which has no scRNA-seq reference of its own), no cell type reached BH q &lt; 0.05 in either diet (12 cell types x 2 diets; all q </w:t>
      </w:r>
      <w:r>
        <w:rPr>
          <w:rFonts w:ascii="Cambria Math" w:hAnsi="Cambria Math"/>
        </w:rPr>
        <w:t>≥</w:t>
      </w:r>
      <w:r>
        <w:t xml:space="preserve"> 0.22). Neither S100A8hi_macrophage (HFD: d = -0.91, p = 0.39, q = 0.43; Figure 3B) nor Macrophage_Kupffer (HFD: d = 0.49, p = 0.27, q = 0.43; Figure 3D) differed between WT and MKO. Post hoc power analysis showed this cohort (n = 4-5 per group) is powered (80%, alpha = 0.05) to detect only Cohen's d </w:t>
      </w:r>
      <w:r>
        <w:rPr>
          <w:rFonts w:ascii="Cambria Math" w:hAnsi="Cambria Math"/>
        </w:rPr>
        <w:t>≳</w:t>
      </w:r>
      <w:r>
        <w:t xml:space="preserve"> 2.0-2.4 — larger than the effect sizes observed for either macrophage population, meaning the null result reflects limited power for moderate effects rather than a confirmed absence of any composition change. Two cell types showed nominal, BH-uncorrected effects at exactly the magnitude this design can detect: Neutrophil was lower in MKO (d = -2.42, p = 0.037) and Mast_cell was higher in MKO (d = 2.36, p = 0.037) under HFD (Figure 3E-F); neither survived correction across the 12-cell-type family (q = 0.22) and both require confirmation in an adequately powered cohort before mechanistic interpretation. Full results for all 12 cell types in both diets, underlying Figure 3, are in </w:t>
      </w:r>
      <w:r>
        <w:rPr>
          <w:i/>
        </w:rPr>
        <w:t>Data S2</w:t>
      </w:r>
      <w:r>
        <w:t xml:space="preserve"> (Supplemental Data).</w:t>
      </w:r>
    </w:p>
    <w:p>
      <w:pPr>
        <w:jc w:val="center"/>
      </w:pPr>
      <w:r>
        <w:drawing>
          <wp:inline xmlns:a="http://schemas.openxmlformats.org/drawingml/2006/main" xmlns:pic="http://schemas.openxmlformats.org/drawingml/2006/picture">
            <wp:extent cx="5943600" cy="3657600"/>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943600" cy="3657600"/>
                    </a:xfrm>
                    <a:prstGeom prst="rect"/>
                  </pic:spPr>
                </pic:pic>
              </a:graphicData>
            </a:graphic>
          </wp:inline>
        </w:drawing>
      </w:r>
    </w:p>
    <w:p>
      <w:pPr>
        <w:spacing w:line="276" w:lineRule="auto" w:after="280"/>
        <w:jc w:val="left"/>
      </w:pPr>
      <w:r>
        <w:rPr>
          <w:b/>
          <w:sz w:val="20"/>
        </w:rPr>
        <w:t xml:space="preserve">Figure 3. </w:t>
      </w:r>
      <w:r>
        <w:rPr>
          <w:sz w:val="20"/>
        </w:rPr>
        <w:t>Macrophage-specific S100a8 deletion (MKO) does not significantly remodel hepatic cell composition. Deconvolution scores for WT vs MKO, by diet, for (A-B) S100A8hi_macrophage, (C-D) Macrophage_Kupffer, and (E-F) the two cell types with the largest nominal (BH-uncorrected) effect sizes, Neutrophil and Mast_cell (HFD only). p-values are two-sided Wilcoxon rank-sum; d is Cohen's d. All comparisons were BH-adjusted across the 12 cell types tested within each diet; none reached q &lt; 0.05 (Table 2; results/11_MKO_stats_full.csv).</w:t>
      </w:r>
    </w:p>
    <w:p>
      <w:pPr>
        <w:pStyle w:val="Heading2"/>
      </w:pPr>
      <w:r>
        <w:t>3.4 General macrophage abundance, not the S100A8-hi subset, correlates with hepatic lipogenic gene expression</w:t>
      </w:r>
    </w:p>
    <w:p>
      <w:r>
        <w:t xml:space="preserve">Across all 19 HFD bulk samples (both axes pooled), the Macrophage_Kupffer deconvolution score correlated with Cd36 (Spearman r = 0.74, BH q = 0.006), Pparg (r = 0.75, q = 0.006), Scd1 (r = 0.73, q = 0.006) and Plin2 (r = 0.65, q = 0.021) after correcting for the 30 tests performed (Figure 4A, 4C). The S100A8hi_macrophage score showed no correlation with any of the five lipogenic genes tested in any sample subset (all q </w:t>
      </w:r>
      <w:r>
        <w:rPr>
          <w:rFonts w:ascii="Cambria Math" w:hAnsi="Cambria Math"/>
        </w:rPr>
        <w:t>≥</w:t>
      </w:r>
      <w:r>
        <w:t xml:space="preserve"> 0.42; Cd36: r = 0.11, q = 0.76; Figure 4B-C) — a consistent, reproducible null across the full cohort, within axis 1 alone, and within axis 2 alone. Full correlation results for all 30 tests (5 genes x 2 cell types x 3 sample subsets) are in </w:t>
      </w:r>
      <w:r>
        <w:rPr>
          <w:i/>
        </w:rPr>
        <w:t>Data S3</w:t>
      </w:r>
      <w:r>
        <w:t xml:space="preserve"> (Supplemental Data).</w:t>
      </w:r>
    </w:p>
    <w:p>
      <w:pPr>
        <w:spacing w:line="276" w:lineRule="auto" w:after="280"/>
        <w:jc w:val="left"/>
      </w:pPr>
      <w:r>
        <w:rPr>
          <w:b/>
          <w:sz w:val="20"/>
        </w:rPr>
        <w:t xml:space="preserve">Table 2. </w:t>
      </w:r>
      <w:r>
        <w:rPr>
          <w:sz w:val="20"/>
        </w:rPr>
        <w:t>Selected statistical comparisons (full results: results/11_axis1_stats_full.csv, results/11_MKO_stats_full.csv, results/11_lipid_correlation_BH.csv). p-values are two-sided Wilcoxon rank-sum (group comparisons) or Spearman correlation test (correlations); BH q = Benjamini-Hochberg-adjusted p-value within the relevant comparison family.</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304"/>
          </w:tcPr>
          <w:p>
            <w:r/>
            <w:r>
              <w:rPr>
                <w:b/>
                <w:sz w:val="18"/>
              </w:rPr>
              <w:t>Comparison</w:t>
            </w:r>
          </w:p>
        </w:tc>
        <w:tc>
          <w:tcPr>
            <w:tcW w:type="dxa" w:w="2880"/>
          </w:tcPr>
          <w:p>
            <w:r/>
            <w:r>
              <w:rPr>
                <w:b/>
                <w:sz w:val="18"/>
              </w:rPr>
              <w:t>Cell type / gene pair</w:t>
            </w:r>
          </w:p>
        </w:tc>
        <w:tc>
          <w:tcPr>
            <w:tcW w:type="dxa" w:w="1296"/>
          </w:tcPr>
          <w:p>
            <w:r/>
            <w:r>
              <w:rPr>
                <w:b/>
                <w:sz w:val="18"/>
              </w:rPr>
              <w:t>Effect size</w:t>
            </w:r>
          </w:p>
        </w:tc>
        <w:tc>
          <w:tcPr>
            <w:tcW w:type="dxa" w:w="1008"/>
          </w:tcPr>
          <w:p>
            <w:r/>
            <w:r>
              <w:rPr>
                <w:b/>
                <w:sz w:val="18"/>
              </w:rPr>
              <w:t>p-value</w:t>
            </w:r>
          </w:p>
        </w:tc>
        <w:tc>
          <w:tcPr>
            <w:tcW w:type="dxa" w:w="1008"/>
          </w:tcPr>
          <w:p>
            <w:r/>
            <w:r>
              <w:rPr>
                <w:b/>
                <w:sz w:val="18"/>
              </w:rPr>
              <w:t>BH q</w:t>
            </w:r>
          </w:p>
        </w:tc>
      </w:tr>
      <w:tr>
        <w:tc>
          <w:tcPr>
            <w:tcW w:type="dxa" w:w="2304"/>
          </w:tcPr>
          <w:p>
            <w:r/>
            <w:r>
              <w:rPr>
                <w:sz w:val="18"/>
              </w:rPr>
              <w:t>Axis 1, WT vs TG (HFD)</w:t>
            </w:r>
          </w:p>
        </w:tc>
        <w:tc>
          <w:tcPr>
            <w:tcW w:type="dxa" w:w="2880"/>
          </w:tcPr>
          <w:p>
            <w:r/>
            <w:r>
              <w:rPr>
                <w:sz w:val="18"/>
              </w:rPr>
              <w:t>Macrophage_Kupffer</w:t>
            </w:r>
          </w:p>
        </w:tc>
        <w:tc>
          <w:tcPr>
            <w:tcW w:type="dxa" w:w="1296"/>
          </w:tcPr>
          <w:p>
            <w:r/>
            <w:r>
              <w:rPr>
                <w:sz w:val="18"/>
              </w:rPr>
              <w:t>d = -2.86</w:t>
            </w:r>
          </w:p>
        </w:tc>
        <w:tc>
          <w:tcPr>
            <w:tcW w:type="dxa" w:w="1008"/>
          </w:tcPr>
          <w:p>
            <w:r/>
            <w:r>
              <w:rPr>
                <w:sz w:val="18"/>
              </w:rPr>
              <w:t>0.012</w:t>
            </w:r>
          </w:p>
        </w:tc>
        <w:tc>
          <w:tcPr>
            <w:tcW w:type="dxa" w:w="1008"/>
          </w:tcPr>
          <w:p>
            <w:r/>
            <w:r>
              <w:rPr>
                <w:sz w:val="18"/>
              </w:rPr>
              <w:t>0.024</w:t>
            </w:r>
          </w:p>
        </w:tc>
      </w:tr>
      <w:tr>
        <w:tc>
          <w:tcPr>
            <w:tcW w:type="dxa" w:w="2304"/>
          </w:tcPr>
          <w:p>
            <w:r/>
            <w:r>
              <w:rPr>
                <w:sz w:val="18"/>
              </w:rPr>
              <w:t>Axis 1, WT vs TG (HFD)</w:t>
            </w:r>
          </w:p>
        </w:tc>
        <w:tc>
          <w:tcPr>
            <w:tcW w:type="dxa" w:w="2880"/>
          </w:tcPr>
          <w:p>
            <w:r/>
            <w:r>
              <w:rPr>
                <w:sz w:val="18"/>
              </w:rPr>
              <w:t>S100A8hi_macrophage</w:t>
            </w:r>
          </w:p>
        </w:tc>
        <w:tc>
          <w:tcPr>
            <w:tcW w:type="dxa" w:w="1296"/>
          </w:tcPr>
          <w:p>
            <w:r/>
            <w:r>
              <w:rPr>
                <w:sz w:val="18"/>
              </w:rPr>
              <w:t>d = -0.92</w:t>
            </w:r>
          </w:p>
        </w:tc>
        <w:tc>
          <w:tcPr>
            <w:tcW w:type="dxa" w:w="1008"/>
          </w:tcPr>
          <w:p>
            <w:r/>
            <w:r>
              <w:rPr>
                <w:sz w:val="18"/>
              </w:rPr>
              <w:t>0.30</w:t>
            </w:r>
          </w:p>
        </w:tc>
        <w:tc>
          <w:tcPr>
            <w:tcW w:type="dxa" w:w="1008"/>
          </w:tcPr>
          <w:p>
            <w:r/>
            <w:r>
              <w:rPr>
                <w:sz w:val="18"/>
              </w:rPr>
              <w:t>0.36</w:t>
            </w:r>
          </w:p>
        </w:tc>
      </w:tr>
      <w:tr>
        <w:tc>
          <w:tcPr>
            <w:tcW w:type="dxa" w:w="2304"/>
          </w:tcPr>
          <w:p>
            <w:r/>
            <w:r>
              <w:rPr>
                <w:sz w:val="18"/>
              </w:rPr>
              <w:t>Axis 2, WT vs MKO (HFD)</w:t>
            </w:r>
          </w:p>
        </w:tc>
        <w:tc>
          <w:tcPr>
            <w:tcW w:type="dxa" w:w="2880"/>
          </w:tcPr>
          <w:p>
            <w:r/>
            <w:r>
              <w:rPr>
                <w:sz w:val="18"/>
              </w:rPr>
              <w:t>S100A8hi_macrophage</w:t>
            </w:r>
          </w:p>
        </w:tc>
        <w:tc>
          <w:tcPr>
            <w:tcW w:type="dxa" w:w="1296"/>
          </w:tcPr>
          <w:p>
            <w:r/>
            <w:r>
              <w:rPr>
                <w:sz w:val="18"/>
              </w:rPr>
              <w:t>d = -0.91</w:t>
            </w:r>
          </w:p>
        </w:tc>
        <w:tc>
          <w:tcPr>
            <w:tcW w:type="dxa" w:w="1008"/>
          </w:tcPr>
          <w:p>
            <w:r/>
            <w:r>
              <w:rPr>
                <w:sz w:val="18"/>
              </w:rPr>
              <w:t>0.39</w:t>
            </w:r>
          </w:p>
        </w:tc>
        <w:tc>
          <w:tcPr>
            <w:tcW w:type="dxa" w:w="1008"/>
          </w:tcPr>
          <w:p>
            <w:r/>
            <w:r>
              <w:rPr>
                <w:sz w:val="18"/>
              </w:rPr>
              <w:t>0.43</w:t>
            </w:r>
          </w:p>
        </w:tc>
      </w:tr>
      <w:tr>
        <w:tc>
          <w:tcPr>
            <w:tcW w:type="dxa" w:w="2304"/>
          </w:tcPr>
          <w:p>
            <w:r/>
            <w:r>
              <w:rPr>
                <w:sz w:val="18"/>
              </w:rPr>
              <w:t>Axis 2, WT vs MKO (HFD)</w:t>
            </w:r>
          </w:p>
        </w:tc>
        <w:tc>
          <w:tcPr>
            <w:tcW w:type="dxa" w:w="2880"/>
          </w:tcPr>
          <w:p>
            <w:r/>
            <w:r>
              <w:rPr>
                <w:sz w:val="18"/>
              </w:rPr>
              <w:t>Macrophage_Kupffer</w:t>
            </w:r>
          </w:p>
        </w:tc>
        <w:tc>
          <w:tcPr>
            <w:tcW w:type="dxa" w:w="1296"/>
          </w:tcPr>
          <w:p>
            <w:r/>
            <w:r>
              <w:rPr>
                <w:sz w:val="18"/>
              </w:rPr>
              <w:t>d = 0.49</w:t>
            </w:r>
          </w:p>
        </w:tc>
        <w:tc>
          <w:tcPr>
            <w:tcW w:type="dxa" w:w="1008"/>
          </w:tcPr>
          <w:p>
            <w:r/>
            <w:r>
              <w:rPr>
                <w:sz w:val="18"/>
              </w:rPr>
              <w:t>0.27</w:t>
            </w:r>
          </w:p>
        </w:tc>
        <w:tc>
          <w:tcPr>
            <w:tcW w:type="dxa" w:w="1008"/>
          </w:tcPr>
          <w:p>
            <w:r/>
            <w:r>
              <w:rPr>
                <w:sz w:val="18"/>
              </w:rPr>
              <w:t>0.43</w:t>
            </w:r>
          </w:p>
        </w:tc>
      </w:tr>
      <w:tr>
        <w:tc>
          <w:tcPr>
            <w:tcW w:type="dxa" w:w="2304"/>
          </w:tcPr>
          <w:p>
            <w:r/>
            <w:r>
              <w:rPr>
                <w:sz w:val="18"/>
              </w:rPr>
              <w:t>Axis 2, WT vs MKO (HFD)</w:t>
            </w:r>
          </w:p>
        </w:tc>
        <w:tc>
          <w:tcPr>
            <w:tcW w:type="dxa" w:w="2880"/>
          </w:tcPr>
          <w:p>
            <w:r/>
            <w:r>
              <w:rPr>
                <w:sz w:val="18"/>
              </w:rPr>
              <w:t>Neutrophil</w:t>
            </w:r>
          </w:p>
        </w:tc>
        <w:tc>
          <w:tcPr>
            <w:tcW w:type="dxa" w:w="1296"/>
          </w:tcPr>
          <w:p>
            <w:r/>
            <w:r>
              <w:rPr>
                <w:sz w:val="18"/>
              </w:rPr>
              <w:t>d = -2.42</w:t>
            </w:r>
          </w:p>
        </w:tc>
        <w:tc>
          <w:tcPr>
            <w:tcW w:type="dxa" w:w="1008"/>
          </w:tcPr>
          <w:p>
            <w:r/>
            <w:r>
              <w:rPr>
                <w:sz w:val="18"/>
              </w:rPr>
              <w:t>0.037</w:t>
            </w:r>
          </w:p>
        </w:tc>
        <w:tc>
          <w:tcPr>
            <w:tcW w:type="dxa" w:w="1008"/>
          </w:tcPr>
          <w:p>
            <w:r/>
            <w:r>
              <w:rPr>
                <w:sz w:val="18"/>
              </w:rPr>
              <w:t>0.22</w:t>
            </w:r>
          </w:p>
        </w:tc>
      </w:tr>
      <w:tr>
        <w:tc>
          <w:tcPr>
            <w:tcW w:type="dxa" w:w="2304"/>
          </w:tcPr>
          <w:p>
            <w:r/>
            <w:r>
              <w:rPr>
                <w:sz w:val="18"/>
              </w:rPr>
              <w:t>Axis 2, WT vs MKO (HFD)</w:t>
            </w:r>
          </w:p>
        </w:tc>
        <w:tc>
          <w:tcPr>
            <w:tcW w:type="dxa" w:w="2880"/>
          </w:tcPr>
          <w:p>
            <w:r/>
            <w:r>
              <w:rPr>
                <w:sz w:val="18"/>
              </w:rPr>
              <w:t>Mast_cell</w:t>
            </w:r>
          </w:p>
        </w:tc>
        <w:tc>
          <w:tcPr>
            <w:tcW w:type="dxa" w:w="1296"/>
          </w:tcPr>
          <w:p>
            <w:r/>
            <w:r>
              <w:rPr>
                <w:sz w:val="18"/>
              </w:rPr>
              <w:t>d = 2.36</w:t>
            </w:r>
          </w:p>
        </w:tc>
        <w:tc>
          <w:tcPr>
            <w:tcW w:type="dxa" w:w="1008"/>
          </w:tcPr>
          <w:p>
            <w:r/>
            <w:r>
              <w:rPr>
                <w:sz w:val="18"/>
              </w:rPr>
              <w:t>0.037</w:t>
            </w:r>
          </w:p>
        </w:tc>
        <w:tc>
          <w:tcPr>
            <w:tcW w:type="dxa" w:w="1008"/>
          </w:tcPr>
          <w:p>
            <w:r/>
            <w:r>
              <w:rPr>
                <w:sz w:val="18"/>
              </w:rPr>
              <w:t>0.22</w:t>
            </w:r>
          </w:p>
        </w:tc>
      </w:tr>
      <w:tr>
        <w:tc>
          <w:tcPr>
            <w:tcW w:type="dxa" w:w="2304"/>
          </w:tcPr>
          <w:p>
            <w:r/>
            <w:r>
              <w:rPr>
                <w:sz w:val="18"/>
              </w:rPr>
              <w:t>Correlation, all HFD (n=19)</w:t>
            </w:r>
          </w:p>
        </w:tc>
        <w:tc>
          <w:tcPr>
            <w:tcW w:type="dxa" w:w="2880"/>
          </w:tcPr>
          <w:p>
            <w:r/>
            <w:r>
              <w:rPr>
                <w:sz w:val="18"/>
              </w:rPr>
              <w:t>Macrophage_Kupffer vs Cd36</w:t>
            </w:r>
          </w:p>
        </w:tc>
        <w:tc>
          <w:tcPr>
            <w:tcW w:type="dxa" w:w="1296"/>
          </w:tcPr>
          <w:p>
            <w:r/>
            <w:r>
              <w:rPr>
                <w:sz w:val="18"/>
              </w:rPr>
              <w:t>r = 0.74</w:t>
            </w:r>
          </w:p>
        </w:tc>
        <w:tc>
          <w:tcPr>
            <w:tcW w:type="dxa" w:w="1008"/>
          </w:tcPr>
          <w:p>
            <w:r/>
            <w:r>
              <w:rPr>
                <w:sz w:val="18"/>
              </w:rPr>
              <w:t>0.0005</w:t>
            </w:r>
          </w:p>
        </w:tc>
        <w:tc>
          <w:tcPr>
            <w:tcW w:type="dxa" w:w="1008"/>
          </w:tcPr>
          <w:p>
            <w:r/>
            <w:r>
              <w:rPr>
                <w:sz w:val="18"/>
              </w:rPr>
              <w:t>0.006</w:t>
            </w:r>
          </w:p>
        </w:tc>
      </w:tr>
      <w:tr>
        <w:tc>
          <w:tcPr>
            <w:tcW w:type="dxa" w:w="2304"/>
          </w:tcPr>
          <w:p>
            <w:r/>
            <w:r>
              <w:rPr>
                <w:sz w:val="18"/>
              </w:rPr>
              <w:t>Correlation, all HFD (n=19)</w:t>
            </w:r>
          </w:p>
        </w:tc>
        <w:tc>
          <w:tcPr>
            <w:tcW w:type="dxa" w:w="2880"/>
          </w:tcPr>
          <w:p>
            <w:r/>
            <w:r>
              <w:rPr>
                <w:sz w:val="18"/>
              </w:rPr>
              <w:t>S100A8hi_macrophage vs Cd36</w:t>
            </w:r>
          </w:p>
        </w:tc>
        <w:tc>
          <w:tcPr>
            <w:tcW w:type="dxa" w:w="1296"/>
          </w:tcPr>
          <w:p>
            <w:r/>
            <w:r>
              <w:rPr>
                <w:sz w:val="18"/>
              </w:rPr>
              <w:t>r = 0.11</w:t>
            </w:r>
          </w:p>
        </w:tc>
        <w:tc>
          <w:tcPr>
            <w:tcW w:type="dxa" w:w="1008"/>
          </w:tcPr>
          <w:p>
            <w:r/>
            <w:r>
              <w:rPr>
                <w:sz w:val="18"/>
              </w:rPr>
              <w:t>0.66</w:t>
            </w:r>
          </w:p>
        </w:tc>
        <w:tc>
          <w:tcPr>
            <w:tcW w:type="dxa" w:w="1008"/>
          </w:tcPr>
          <w:p>
            <w:r/>
            <w:r>
              <w:rPr>
                <w:sz w:val="18"/>
              </w:rPr>
              <w:t>0.76</w:t>
            </w:r>
          </w:p>
        </w:tc>
      </w:tr>
    </w:tbl>
    <w:p>
      <w:pPr>
        <w:spacing w:after="80"/>
      </w:pPr>
    </w:p>
    <w:p>
      <w:pPr>
        <w:jc w:val="center"/>
      </w:pPr>
      <w:r>
        <w:drawing>
          <wp:inline xmlns:a="http://schemas.openxmlformats.org/drawingml/2006/main" xmlns:pic="http://schemas.openxmlformats.org/drawingml/2006/picture">
            <wp:extent cx="5943600" cy="5349240"/>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943600" cy="5349240"/>
                    </a:xfrm>
                    <a:prstGeom prst="rect"/>
                  </pic:spPr>
                </pic:pic>
              </a:graphicData>
            </a:graphic>
          </wp:inline>
        </w:drawing>
      </w:r>
    </w:p>
    <w:p>
      <w:pPr>
        <w:spacing w:line="276" w:lineRule="auto" w:after="280"/>
        <w:jc w:val="left"/>
      </w:pPr>
      <w:r>
        <w:rPr>
          <w:b/>
          <w:sz w:val="20"/>
        </w:rPr>
        <w:t xml:space="preserve">Figure 4. </w:t>
      </w:r>
      <w:r>
        <w:rPr>
          <w:sz w:val="20"/>
        </w:rPr>
        <w:t>General macrophage abundance tracks lipogenic gene expression; the S100A8-hi subset does not. (A) Macrophage_Kupffer and (B) S100A8hi_macrophage deconvolution scores vs Cd36 expression across all 19 HFD bulk samples (both axes; linear fit shown for visualization). (C) Spearman correlation (r) between each macrophage-lineage cell type's deconvolution score and five lipogenic genes; asterisks mark BH q &lt; 0.05 across all 30 tests performed.</w:t>
      </w:r>
    </w:p>
    <w:p>
      <w:pPr>
        <w:pStyle w:val="Heading2"/>
      </w:pPr>
      <w:r>
        <w:t>3.5 The S100A8-hi macrophage signature reproduces in an independent, immune-cell-sorted dataset but not in a whole-liver dataset</w:t>
      </w:r>
    </w:p>
    <w:p>
      <w:r>
        <w:t xml:space="preserve">In GSE156057 (CD45+-sorted, 77,655 cells, 40 clusters), three clusters matched the S100A8-hi, Ly6g-low criteria (S100a8/S100a9 percent-positive 97-99%, Ly6g/Camp/Ltf/Ngp all &lt; 5%), clearly separated from an unambiguous neutrophil cluster (S100a8/S100a9 100%, Ly6g 89%, Camp 88%, Ltf 80%, Ngp 95%) and from Clec4f-high resident Kupffer clusters (Figure 5A; marker profile for all 40 clusters in </w:t>
      </w:r>
      <w:r>
        <w:rPr>
          <w:i/>
        </w:rPr>
        <w:t>Data S4</w:t>
      </w:r>
      <w:r>
        <w:t xml:space="preserve">, top-5 marker genes per cluster in </w:t>
      </w:r>
      <w:r>
        <w:rPr>
          <w:i/>
        </w:rPr>
        <w:t>Data S5</w:t>
      </w:r>
      <w:r>
        <w:t>). Combined, these clusters comprised 5.0-7.8% of CD45</w:t>
      </w:r>
      <w:r>
        <w:rPr>
          <w:vertAlign w:val="superscript"/>
        </w:rPr>
        <w:t>+</w:t>
      </w:r>
      <w:r>
        <w:t xml:space="preserve"> cells per sample and were more abundant under western diet (WD) than standard diet (SD) at 12 and 24 weeks (WD/SD ratio 1.45 and 1.21) but not at 36 weeks (ratio 0.81; Figure 5B, full per-sample counts in </w:t>
      </w:r>
      <w:r>
        <w:rPr>
          <w:i/>
        </w:rPr>
        <w:t>Data S6</w:t>
      </w:r>
      <w:r>
        <w:t xml:space="preserve">) — directionally consistent with, though not statistically confirmable given the single-mouse-per-condition design, diet-dependent recruitment. In GSE166504 (whole-liver non-parenchymal cells with true biological replication: chow n = 6, NAFL n = 3, NASH n = 4 mice; 23,198 myeloid cells, 18 clusters), no cluster showed this combination: the only S100a8/S100a9-high cluster also carried high Camp/Ngp/Ltf and was author-labeled Neutrophil, while S100a8 positivity among monocyte/macrophage-lineage clusters varied only as a modest, continuous gradient (6-19%) uncorrelated with Csf1r positivity (Figure 5C; full marker profile for all 18 clusters in </w:t>
      </w:r>
      <w:r>
        <w:rPr>
          <w:i/>
        </w:rPr>
        <w:t>Data S7</w:t>
      </w:r>
      <w:r>
        <w:t xml:space="preserve">, cluster-to-author-label cross-tabulation in </w:t>
      </w:r>
      <w:r>
        <w:rPr>
          <w:i/>
        </w:rPr>
        <w:t>Data S8</w:t>
      </w:r>
      <w:r>
        <w:t>) rather than resolving into a discrete population. We interpret this discrepancy as most consistent with immune-cell enrichment (CD45+ sorting, used both in this study's own scRNA-seq reference and in GSE156057) being necessary to resolve this population by unsupervised clustering at typical whole-liver sequencing depth, rather than as evidence that the population is an artifact specific to the single WT/TG reference pair used in the primary analysis (Section 2.2).</w:t>
      </w:r>
    </w:p>
    <w:p>
      <w:pPr>
        <w:jc w:val="center"/>
      </w:pPr>
      <w:r>
        <w:drawing>
          <wp:inline xmlns:a="http://schemas.openxmlformats.org/drawingml/2006/main" xmlns:pic="http://schemas.openxmlformats.org/drawingml/2006/picture">
            <wp:extent cx="6126480" cy="3573780"/>
            <wp:docPr id="5" name="Picture 5"/>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6126480" cy="3573780"/>
                    </a:xfrm>
                    <a:prstGeom prst="rect"/>
                  </pic:spPr>
                </pic:pic>
              </a:graphicData>
            </a:graphic>
          </wp:inline>
        </w:drawing>
      </w:r>
    </w:p>
    <w:p>
      <w:pPr>
        <w:spacing w:line="276" w:lineRule="auto" w:after="280"/>
        <w:jc w:val="left"/>
      </w:pPr>
      <w:r>
        <w:rPr>
          <w:b/>
          <w:sz w:val="20"/>
        </w:rPr>
        <w:t xml:space="preserve">Figure 5. </w:t>
      </w:r>
      <w:r>
        <w:rPr>
          <w:sz w:val="20"/>
        </w:rPr>
        <w:t>External validation of the S100A8-hi macrophage signature in two independent mouse liver scRNA-seq datasets. (A) Marker profile (percent of cells expressing each gene) for the three candidate S100A8-hi clusters, the neutrophil cluster, and two representative Kupffer clusters in GSE156057 (CD45+-sorted). (B) S100A8-hi cluster proportion (combined) by diet and timepoint in GSE156057. (C) In GSE166504 (whole-liver, true biological replicates), percent of cells expressing S100a8 plotted against percent expressing Csf1r for all 18 myeloid clusters, colored by the authors' dominant cell-type label; S100a8 positivity forms a gradient rather than isolating a discrete cluster among monocyte/macrophage-lineage populations.</w:t>
      </w:r>
    </w:p>
    <w:p>
      <w:r>
        <w:br w:type="page"/>
      </w:r>
    </w:p>
    <w:p>
      <w:pPr>
        <w:pStyle w:val="Heading1"/>
      </w:pPr>
      <w:r>
        <w:t>4. Discussion</w:t>
      </w:r>
    </w:p>
    <w:p>
      <w:r>
        <w:t xml:space="preserve">This study reprocesses a public bulk-and-single-cell RNA-seq dataset to ask a question the original analysis could not: whether the two genetic manipulations that block this adipocyte death-CD36 axis change the </w:t>
      </w:r>
      <w:r>
        <w:rPr>
          <w:i/>
        </w:rPr>
        <w:t>composition</w:t>
      </w:r>
      <w:r>
        <w:t xml:space="preserve"> of the hepatic immune infiltrate, not just the expression of individual marker genes within it. Three results converge on a consistent interpretation. First, general hepatic macrophage/Kupffer abundance — not the S100A8-hi subset specifically — is the compositional signal that is both statistically robust in the validation cohort and correlated with hepatic lipogenic gene expression across the full 19-sample HFD cohort. Second, the S100A8-hi subset shows a directionally concordant trend at every checkpoint in this study (matching the replicated bulk marker-gene direction in axis 1, and trending lower in MKO as would be expected if the mechanism were partly compositional) but never reaches statistical significance on its own — a pattern our power analysis indicates is expected given the observed effect size (d </w:t>
      </w:r>
      <w:r>
        <w:rPr>
          <w:rFonts w:ascii="Cambria Math" w:hAnsi="Cambria Math"/>
        </w:rPr>
        <w:t>≈</w:t>
      </w:r>
      <w:r>
        <w:t xml:space="preserve"> 0.9) relative to what a 4-5-sample-per-group design can resolve (d </w:t>
      </w:r>
      <w:r>
        <w:rPr>
          <w:rFonts w:ascii="Cambria Math" w:hAnsi="Cambria Math"/>
        </w:rPr>
        <w:t>≳</w:t>
      </w:r>
      <w:r>
        <w:t xml:space="preserve"> 2.0-2.4 at 80% power), not evidence against a real effect. Third, macrophage-specific S100a8 deletion (MKO) does not produce a statistically resolvable shift in broader immune composition in either diet. Taken together with the original study's finding that MKO is protective at the phenotypic and CD36-expression level</w:t>
      </w:r>
      <w:r>
        <w:rPr>
          <w:sz w:val="22"/>
          <w:vertAlign w:val="superscript"/>
        </w:rPr>
        <w:t>1</w:t>
      </w:r>
      <w:r>
        <w:t>, the most parsimonious interpretation is that S100A8 acts primarily through a gene-regulatory mechanism within the existing macrophage compartment (i.e., loss of S100A8 protein function suppresses CCN3 regardless of macrophage abundance) rather than by changing which or how many immune cells infiltrate the liver — though, given the power limitations discussed below, this should be read as a hypothesis refined rather than a mechanism confirmed.</w:t>
      </w:r>
    </w:p>
    <w:p>
      <w:r>
        <w:t>This work also illustrates a general methodological point relevant to any study pairing a small pilot scRNA-seq cohort with a larger, properly replicated bulk cohort: an n=1-per-group single-cell comparison should not be used as an unqualified validation benchmark for a downstream computational method. In this dataset, the single WT/TG scRNA-seq pair suggested the opposite direction from the properly replicated bulk result for the same comparison; had we accepted the scRNA-seq pair at face value, we would have incorrectly concluded that the deconvolution method had failed. Cross-checking against an independent, adequately powered statistical result — here, the original authors' own bulk differential expression analysis — was necessary to correctly adjudicate which comparison was unreliable.</w:t>
      </w:r>
    </w:p>
    <w:p>
      <w:r>
        <w:t>Because the primary scRNA-seq reference comprises a single WT and single TG mouse, a further question is whether the S100A8-hi macrophage population itself is reproducible, or an artifact of that one pair. We addressed this directly by testing the same marker criteria against two independent, publicly available mouse liver scRNA-seq datasets (Section 2.7, Figure 5). The population reproduced cleanly, with a diet-dependent trend at two of three timepoints, in a CD45</w:t>
      </w:r>
      <w:r>
        <w:rPr>
          <w:vertAlign w:val="superscript"/>
        </w:rPr>
        <w:t>+</w:t>
      </w:r>
      <w:r>
        <w:t>-sorted dataset (GSE156057), but did not resolve as a discrete cluster in a whole-liver dataset with true biological replication (GSE166504) — suggesting that immune-cell enrichment, rather than biological replicate number per se, may be the more critical design factor for detecting this state by unsupervised clustering at typical whole-liver sequencing depth. This is itself a transferable observation for scRNA-seq study design in liver immunology, and it meaningfully strengthens confidence that the population identified in the primary analysis is real rather than an artifact of a single mouse pair, even though it does not resolve the separate, unrelated question of that pair's reliability as a directional ground truth (Section 2.5).</w:t>
      </w:r>
    </w:p>
    <w:p>
      <w:r>
        <w:t>Two further observations help refine the biological identity of this population. First, the continuous, non-discrete S100a8 gradient observed among monocyte/macrophage-lineage clusters in the whole-liver GSE166504 dataset (Figure 5C) is consistent with the established biology of monocyte-to-macrophage differentiation, in which recruited monocytes traverse a continuous transcriptional trajectory rather than switching between sharply discrete states; immune-cell enrichment by CD45</w:t>
      </w:r>
      <w:r>
        <w:rPr>
          <w:vertAlign w:val="superscript"/>
        </w:rPr>
        <w:t>+</w:t>
      </w:r>
      <w:r>
        <w:t xml:space="preserve"> sorting likely improves the effective signal-to-noise ratio for this transitional population, allowing unsupervised clustering to resolve cleaner boundaries around it, rather than the underlying biology itself differing between datasets. Second, the S100A8-hi population's own marker profile argues against it being a mature lipid-associated macrophage (also termed scar-associated or NASH-associated macrophage) — the Trem2-high, Gpnmb-high, osteopontin-high phenotype described in steatohepatitis liver by Remmerie et al.</w:t>
      </w:r>
      <w:r>
        <w:rPr>
          <w:sz w:val="22"/>
          <w:vertAlign w:val="superscript"/>
        </w:rPr>
        <w:t>10</w:t>
      </w:r>
      <w:r>
        <w:t xml:space="preserve"> and related work: in the primary reference, S100A8hi_macrophage showed minimal Trem2 (0.9%) and Gpnmb (2.1%) positivity, while these markers were concentrated instead within the broader Macrophage_Kupffer compartment (Trem2 42.1%, Gpnmb 23.5%; Section 3.1). Combined with its transient, diet-reversible abundance pattern in GSE156057 (Section 3.5), this profile is more consistent with an early, acutely inflammatory, recently recruited monocyte-derived state responding to adipocyte death than with the chronically lipid-laden lipid-associated-macrophage phenotype that develops later in disease progression.</w:t>
      </w:r>
    </w:p>
    <w:p>
      <w:pPr>
        <w:pStyle w:val="Heading2"/>
      </w:pPr>
      <w:r>
        <w:t>4.1 Limitations</w:t>
      </w:r>
    </w:p>
    <w:p>
      <w:pPr>
        <w:pStyle w:val="ListNumber"/>
      </w:pPr>
      <w:r>
        <w:rPr>
          <w:b/>
        </w:rPr>
        <w:t xml:space="preserve">Single-donor scRNA-seq reference. </w:t>
      </w:r>
      <w:r>
        <w:t>The scRNA-seq reference contains one biological replicate per genotype. As demonstrated directly in this study (Section 2.5), a single pair cannot establish population-level direction, and individual-mouse variability likely adds noise to the marker-gene signature itself that cannot be fully quantified without additional biological replicates. External validation (Section 2.7, Figure 5) shows the S100A8-hi population itself reproduces in an independent, CD45+-sorted dataset, partially mitigating but not eliminating this limitation — it does not, for instance, validate the exact 5-25-gene marker panels used for deconvolution, only the population's existence.</w:t>
      </w:r>
    </w:p>
    <w:p>
      <w:pPr>
        <w:pStyle w:val="ListNumber"/>
      </w:pPr>
      <w:r>
        <w:rPr>
          <w:b/>
        </w:rPr>
        <w:t xml:space="preserve">Relative, not absolute, abundance scores. </w:t>
      </w:r>
      <w:r>
        <w:t>MarkerBasedDecomposition returns a per-cell-type relative abundance score (marker-panel PC1), not an absolute cell proportion; scores are only interpretable for comparing the same cell type across samples, not for comparing magnitude between different cell types.</w:t>
      </w:r>
    </w:p>
    <w:p>
      <w:pPr>
        <w:pStyle w:val="ListNumber"/>
      </w:pPr>
      <w:r>
        <w:rPr>
          <w:b/>
        </w:rPr>
        <w:t xml:space="preserve">Small bulk sample sizes. </w:t>
      </w:r>
      <w:r>
        <w:t>Group sizes of 4-5 per condition limit this study to detecting Cohen's d ≳ 2.0-2.4 at conventional power; moderate true effects, including the S100A8-hi subset's own directionally consistent signal (d ≈ 0.9 in both axes), cannot be excluded and require a larger cohort to resolve.</w:t>
      </w:r>
    </w:p>
    <w:p>
      <w:pPr>
        <w:pStyle w:val="ListNumber"/>
      </w:pPr>
      <w:r>
        <w:rPr>
          <w:b/>
        </w:rPr>
        <w:t xml:space="preserve">Bulk deconvolution cannot resolve cell state or spatial context. </w:t>
      </w:r>
      <w:r>
        <w:t>A change in per-cell S100A8 activity, paracrine signaling range, or spatial proximity to hepatocytes would not necessarily register as a change in our composition estimate, and whole-liver bulk correlation cannot distinguish these from true compositional shifts.</w:t>
      </w:r>
    </w:p>
    <w:p>
      <w:pPr>
        <w:pStyle w:val="ListNumber"/>
      </w:pPr>
      <w:r>
        <w:rPr>
          <w:b/>
        </w:rPr>
        <w:t xml:space="preserve">Ccn3 (Nov) was not testable. </w:t>
      </w:r>
      <w:r>
        <w:t>This transcript was absent from the bulk gene annotation used in this dataset and could not be included in the lipogenic-gene correlation analysis, leaving the paper's proposed CCN3-CD36 regulatory step untested directly. This does not, however, undermine the study's central conclusion: all four downstream lipogenic/lipid-handling genes that could be tested (Cd36, Pparg, Scd1, Plin2) showed the same pattern — correlated with general Macrophage_Kupffer abundance, not with the S100A8-hi subset specifically (Section 3.4) — so the finding does not depend on Ccn3 in particular.</w:t>
      </w:r>
    </w:p>
    <w:p>
      <w:pPr>
        <w:pStyle w:val="ListNumber"/>
      </w:pPr>
      <w:r>
        <w:rPr>
          <w:b/>
        </w:rPr>
        <w:t xml:space="preserve">Two genotype axes were processed as separate sequencing batches. </w:t>
      </w:r>
      <w:r>
        <w:t>Although "WT" samples from the two axes were never pooled or treated as interchangeable, subtler batch effects on library composition or normalization between the two independently deposited DESeq2 analyses cannot be fully excluded.</w:t>
      </w:r>
    </w:p>
    <w:p>
      <w:pPr>
        <w:pStyle w:val="ListNumber"/>
      </w:pPr>
      <w:r>
        <w:rPr>
          <w:b/>
        </w:rPr>
        <w:t xml:space="preserve">Correlational design. </w:t>
      </w:r>
      <w:r>
        <w:t>Associations between cell-type abundance scores and lipogenic gene expression are correlational; this study cannot establish causal direction and does not substitute for the interventional experiments in the original report.</w:t>
      </w:r>
    </w:p>
    <w:p>
      <w:pPr>
        <w:pStyle w:val="Heading1"/>
      </w:pPr>
      <w:r>
        <w:t>5. Conclusions</w:t>
      </w:r>
    </w:p>
    <w:p>
      <w:r>
        <w:t>Reprocessing a public bulk-and-single-cell dataset with a validated, marker-based deconvolution approach shows that the compositional correlate of hepatic lipogenic gene expression in this model is the general macrophage/Kupffer compartment rather than the S100A8-hi subset specifically, and that macrophage-specific S100a8 deletion does not produce a statistically resolvable shift in broader hepatic immune composition at the sample sizes available. External validation against two independent public datasets shows the S100A8-hi population reproduces in a CD45+-sorted mouse liver dataset but not in a whole-liver dataset, indicating it is a real, immune-enrichment-dependent cell state rather than an artifact of the single-donor reference used in the primary analysis. These results refine, rather than contradict, the original mechanistic model, and highlight specific, adequately powered follow-up experiments — larger MKO cohorts, and dedicated attention to neutrophil and mast cell populations — that could distinguish a purely gene-regulatory mechanism from one with a compositional component.</w:t>
      </w:r>
    </w:p>
    <w:p>
      <w:r>
        <w:br w:type="page"/>
      </w:r>
    </w:p>
    <w:p>
      <w:pPr>
        <w:pStyle w:val="Heading1"/>
      </w:pPr>
      <w:r>
        <w:t>Supplementary Materials</w:t>
      </w:r>
    </w:p>
    <w:p>
      <w:r>
        <w:t xml:space="preserve">Full result tables underlying all figures and in-text statistics are reported in a separate document, </w:t>
      </w:r>
      <w:r>
        <w:rPr>
          <w:i/>
        </w:rPr>
        <w:t>Supplemental Data (Data S1-S8)</w:t>
      </w:r>
      <w:r>
        <w:t xml:space="preserve">, accompanying this manuscript: </w:t>
      </w:r>
      <w:r>
        <w:rPr>
          <w:i/>
        </w:rPr>
        <w:t>Data S1</w:t>
      </w:r>
      <w:r>
        <w:t xml:space="preserve"> (full axis-1 deconvolution statistics, all 12 cell types), </w:t>
      </w:r>
      <w:r>
        <w:rPr>
          <w:i/>
        </w:rPr>
        <w:t>Data S2</w:t>
      </w:r>
      <w:r>
        <w:t xml:space="preserve"> (full axis-2/MKO statistics), </w:t>
      </w:r>
      <w:r>
        <w:rPr>
          <w:i/>
        </w:rPr>
        <w:t>Data S3</w:t>
      </w:r>
      <w:r>
        <w:t xml:space="preserve"> (full lipogenic-gene correlation statistics), </w:t>
      </w:r>
      <w:r>
        <w:rPr>
          <w:i/>
        </w:rPr>
        <w:t>Data S4</w:t>
      </w:r>
      <w:r>
        <w:t xml:space="preserve"> (GSE156057 marker-gene percent-positive by cluster, all 40 clusters), </w:t>
      </w:r>
      <w:r>
        <w:rPr>
          <w:i/>
        </w:rPr>
        <w:t>Data S5</w:t>
      </w:r>
      <w:r>
        <w:t xml:space="preserve"> (GSE156057 top-5 marker genes per cluster), </w:t>
      </w:r>
      <w:r>
        <w:rPr>
          <w:i/>
        </w:rPr>
        <w:t>Data S6</w:t>
      </w:r>
      <w:r>
        <w:t xml:space="preserve"> (GSE156057 S100A8-hi cluster proportions by diet/timepoint), </w:t>
      </w:r>
      <w:r>
        <w:rPr>
          <w:i/>
        </w:rPr>
        <w:t>Data S7</w:t>
      </w:r>
      <w:r>
        <w:t xml:space="preserve"> (GSE166504 marker-gene percent-positive by cluster, all 18 clusters), and </w:t>
      </w:r>
      <w:r>
        <w:rPr>
          <w:i/>
        </w:rPr>
        <w:t>Data S8</w:t>
      </w:r>
      <w:r>
        <w:t xml:space="preserve"> (GSE166504 cluster-to-author-label cross-tabulation). Each Data S item states its source CSV and generating script for full reproducibility. The underlying raw CSV files are also available directly in the code repository (Section 2.8): results/11_axis1_stats_full.csv, results/11_MKO_stats_full.csv, results/11_lipid_correlation_BH.csv, results/11_marker_panel_QC.csv (Table S1 source data, below), and external_validation/results/*.csv.</w:t>
      </w:r>
    </w:p>
    <w:p>
      <w:pPr>
        <w:spacing w:line="276" w:lineRule="auto" w:after="280"/>
        <w:jc w:val="left"/>
      </w:pPr>
      <w:r>
        <w:rPr>
          <w:b/>
          <w:sz w:val="20"/>
        </w:rPr>
        <w:t xml:space="preserve">Table S1. </w:t>
      </w:r>
      <w:r>
        <w:rPr>
          <w:sz w:val="20"/>
        </w:rPr>
        <w:t>Marker-panel size and signal coherence per cell type. Panel size is algorithmically selected by BisqueRNA::GetNumGenesWeighted() (Section 2.4), not a fixed cutoff. % variance explained by PC1 indicates how coherently the marker panel behaves as a single factor; values below ~50% (Cholangiocyte, Mast_cell, Neutrophil, T_cell) indicate a noisier, less unidimensional signal and should be interpreted with additional caution.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68"/>
          </w:tcPr>
          <w:p>
            <w:r/>
            <w:r>
              <w:rPr>
                <w:b/>
                <w:sz w:val="18"/>
              </w:rPr>
              <w:t>Cell type</w:t>
            </w:r>
          </w:p>
        </w:tc>
        <w:tc>
          <w:tcPr>
            <w:tcW w:type="dxa" w:w="2304"/>
          </w:tcPr>
          <w:p>
            <w:r/>
            <w:r>
              <w:rPr>
                <w:b/>
                <w:sz w:val="18"/>
              </w:rPr>
              <w:t>Marker genes used</w:t>
            </w:r>
          </w:p>
        </w:tc>
        <w:tc>
          <w:tcPr>
            <w:tcW w:type="dxa" w:w="3168"/>
          </w:tcPr>
          <w:p>
            <w:r/>
            <w:r>
              <w:rPr>
                <w:b/>
                <w:sz w:val="18"/>
              </w:rPr>
              <w:t>% variance explained by PC1</w:t>
            </w:r>
          </w:p>
        </w:tc>
      </w:tr>
      <w:tr>
        <w:tc>
          <w:tcPr>
            <w:tcW w:type="dxa" w:w="3168"/>
          </w:tcPr>
          <w:p>
            <w:r/>
            <w:r>
              <w:rPr>
                <w:sz w:val="18"/>
              </w:rPr>
              <w:t>B_cell</w:t>
            </w:r>
          </w:p>
        </w:tc>
        <w:tc>
          <w:tcPr>
            <w:tcW w:type="dxa" w:w="2304"/>
          </w:tcPr>
          <w:p>
            <w:r/>
            <w:r>
              <w:rPr>
                <w:sz w:val="18"/>
              </w:rPr>
              <w:t>5</w:t>
            </w:r>
          </w:p>
        </w:tc>
        <w:tc>
          <w:tcPr>
            <w:tcW w:type="dxa" w:w="3168"/>
          </w:tcPr>
          <w:p>
            <w:r/>
            <w:r>
              <w:rPr>
                <w:sz w:val="18"/>
              </w:rPr>
              <w:t>70.4</w:t>
            </w:r>
          </w:p>
        </w:tc>
      </w:tr>
      <w:tr>
        <w:tc>
          <w:tcPr>
            <w:tcW w:type="dxa" w:w="3168"/>
          </w:tcPr>
          <w:p>
            <w:r/>
            <w:r>
              <w:rPr>
                <w:sz w:val="18"/>
              </w:rPr>
              <w:t>Cholangiocyte</w:t>
            </w:r>
          </w:p>
        </w:tc>
        <w:tc>
          <w:tcPr>
            <w:tcW w:type="dxa" w:w="2304"/>
          </w:tcPr>
          <w:p>
            <w:r/>
            <w:r>
              <w:rPr>
                <w:sz w:val="18"/>
              </w:rPr>
              <w:t>14</w:t>
            </w:r>
          </w:p>
        </w:tc>
        <w:tc>
          <w:tcPr>
            <w:tcW w:type="dxa" w:w="3168"/>
          </w:tcPr>
          <w:p>
            <w:r/>
            <w:r>
              <w:rPr>
                <w:sz w:val="18"/>
              </w:rPr>
              <w:t>33.5</w:t>
            </w:r>
          </w:p>
        </w:tc>
      </w:tr>
      <w:tr>
        <w:tc>
          <w:tcPr>
            <w:tcW w:type="dxa" w:w="3168"/>
          </w:tcPr>
          <w:p>
            <w:r/>
            <w:r>
              <w:rPr>
                <w:sz w:val="18"/>
              </w:rPr>
              <w:t>Dendritic_cell</w:t>
            </w:r>
          </w:p>
        </w:tc>
        <w:tc>
          <w:tcPr>
            <w:tcW w:type="dxa" w:w="2304"/>
          </w:tcPr>
          <w:p>
            <w:r/>
            <w:r>
              <w:rPr>
                <w:sz w:val="18"/>
              </w:rPr>
              <w:t>5</w:t>
            </w:r>
          </w:p>
        </w:tc>
        <w:tc>
          <w:tcPr>
            <w:tcW w:type="dxa" w:w="3168"/>
          </w:tcPr>
          <w:p>
            <w:r/>
            <w:r>
              <w:rPr>
                <w:sz w:val="18"/>
              </w:rPr>
              <w:t>54.6</w:t>
            </w:r>
          </w:p>
        </w:tc>
      </w:tr>
      <w:tr>
        <w:tc>
          <w:tcPr>
            <w:tcW w:type="dxa" w:w="3168"/>
          </w:tcPr>
          <w:p>
            <w:r/>
            <w:r>
              <w:rPr>
                <w:sz w:val="18"/>
              </w:rPr>
              <w:t>Endothelial</w:t>
            </w:r>
          </w:p>
        </w:tc>
        <w:tc>
          <w:tcPr>
            <w:tcW w:type="dxa" w:w="2304"/>
          </w:tcPr>
          <w:p>
            <w:r/>
            <w:r>
              <w:rPr>
                <w:sz w:val="18"/>
              </w:rPr>
              <w:t>5</w:t>
            </w:r>
          </w:p>
        </w:tc>
        <w:tc>
          <w:tcPr>
            <w:tcW w:type="dxa" w:w="3168"/>
          </w:tcPr>
          <w:p>
            <w:r/>
            <w:r>
              <w:rPr>
                <w:sz w:val="18"/>
              </w:rPr>
              <w:t>64.3</w:t>
            </w:r>
          </w:p>
        </w:tc>
      </w:tr>
      <w:tr>
        <w:tc>
          <w:tcPr>
            <w:tcW w:type="dxa" w:w="3168"/>
          </w:tcPr>
          <w:p>
            <w:r/>
            <w:r>
              <w:rPr>
                <w:sz w:val="18"/>
              </w:rPr>
              <w:t>Hepatocyte</w:t>
            </w:r>
          </w:p>
        </w:tc>
        <w:tc>
          <w:tcPr>
            <w:tcW w:type="dxa" w:w="2304"/>
          </w:tcPr>
          <w:p>
            <w:r/>
            <w:r>
              <w:rPr>
                <w:sz w:val="18"/>
              </w:rPr>
              <w:t>6</w:t>
            </w:r>
          </w:p>
        </w:tc>
        <w:tc>
          <w:tcPr>
            <w:tcW w:type="dxa" w:w="3168"/>
          </w:tcPr>
          <w:p>
            <w:r/>
            <w:r>
              <w:rPr>
                <w:sz w:val="18"/>
              </w:rPr>
              <w:t>50.6</w:t>
            </w:r>
          </w:p>
        </w:tc>
      </w:tr>
      <w:tr>
        <w:tc>
          <w:tcPr>
            <w:tcW w:type="dxa" w:w="3168"/>
          </w:tcPr>
          <w:p>
            <w:r/>
            <w:r>
              <w:rPr>
                <w:sz w:val="18"/>
              </w:rPr>
              <w:t>Macrophage_Kupffer</w:t>
            </w:r>
          </w:p>
        </w:tc>
        <w:tc>
          <w:tcPr>
            <w:tcW w:type="dxa" w:w="2304"/>
          </w:tcPr>
          <w:p>
            <w:r/>
            <w:r>
              <w:rPr>
                <w:sz w:val="18"/>
              </w:rPr>
              <w:t>7</w:t>
            </w:r>
          </w:p>
        </w:tc>
        <w:tc>
          <w:tcPr>
            <w:tcW w:type="dxa" w:w="3168"/>
          </w:tcPr>
          <w:p>
            <w:r/>
            <w:r>
              <w:rPr>
                <w:sz w:val="18"/>
              </w:rPr>
              <w:t>72.4</w:t>
            </w:r>
          </w:p>
        </w:tc>
      </w:tr>
      <w:tr>
        <w:tc>
          <w:tcPr>
            <w:tcW w:type="dxa" w:w="3168"/>
          </w:tcPr>
          <w:p>
            <w:r/>
            <w:r>
              <w:rPr>
                <w:sz w:val="18"/>
              </w:rPr>
              <w:t>Mast_cell</w:t>
            </w:r>
          </w:p>
        </w:tc>
        <w:tc>
          <w:tcPr>
            <w:tcW w:type="dxa" w:w="2304"/>
          </w:tcPr>
          <w:p>
            <w:r/>
            <w:r>
              <w:rPr>
                <w:sz w:val="18"/>
              </w:rPr>
              <w:t>9</w:t>
            </w:r>
          </w:p>
        </w:tc>
        <w:tc>
          <w:tcPr>
            <w:tcW w:type="dxa" w:w="3168"/>
          </w:tcPr>
          <w:p>
            <w:r/>
            <w:r>
              <w:rPr>
                <w:sz w:val="18"/>
              </w:rPr>
              <w:t>35.9</w:t>
            </w:r>
          </w:p>
        </w:tc>
      </w:tr>
      <w:tr>
        <w:tc>
          <w:tcPr>
            <w:tcW w:type="dxa" w:w="3168"/>
          </w:tcPr>
          <w:p>
            <w:r/>
            <w:r>
              <w:rPr>
                <w:sz w:val="18"/>
              </w:rPr>
              <w:t>Neutrophil</w:t>
            </w:r>
          </w:p>
        </w:tc>
        <w:tc>
          <w:tcPr>
            <w:tcW w:type="dxa" w:w="2304"/>
          </w:tcPr>
          <w:p>
            <w:r/>
            <w:r>
              <w:rPr>
                <w:sz w:val="18"/>
              </w:rPr>
              <w:t>25</w:t>
            </w:r>
          </w:p>
        </w:tc>
        <w:tc>
          <w:tcPr>
            <w:tcW w:type="dxa" w:w="3168"/>
          </w:tcPr>
          <w:p>
            <w:r/>
            <w:r>
              <w:rPr>
                <w:sz w:val="18"/>
              </w:rPr>
              <w:t>38.7</w:t>
            </w:r>
          </w:p>
        </w:tc>
      </w:tr>
      <w:tr>
        <w:tc>
          <w:tcPr>
            <w:tcW w:type="dxa" w:w="3168"/>
          </w:tcPr>
          <w:p>
            <w:r/>
            <w:r>
              <w:rPr>
                <w:sz w:val="18"/>
              </w:rPr>
              <w:t>NK_cell</w:t>
            </w:r>
          </w:p>
        </w:tc>
        <w:tc>
          <w:tcPr>
            <w:tcW w:type="dxa" w:w="2304"/>
          </w:tcPr>
          <w:p>
            <w:r/>
            <w:r>
              <w:rPr>
                <w:sz w:val="18"/>
              </w:rPr>
              <w:t>5</w:t>
            </w:r>
          </w:p>
        </w:tc>
        <w:tc>
          <w:tcPr>
            <w:tcW w:type="dxa" w:w="3168"/>
          </w:tcPr>
          <w:p>
            <w:r/>
            <w:r>
              <w:rPr>
                <w:sz w:val="18"/>
              </w:rPr>
              <w:t>78.1</w:t>
            </w:r>
          </w:p>
        </w:tc>
      </w:tr>
      <w:tr>
        <w:tc>
          <w:tcPr>
            <w:tcW w:type="dxa" w:w="3168"/>
          </w:tcPr>
          <w:p>
            <w:r/>
            <w:r>
              <w:rPr>
                <w:sz w:val="18"/>
              </w:rPr>
              <w:t>S100A8hi_macrophage</w:t>
            </w:r>
          </w:p>
        </w:tc>
        <w:tc>
          <w:tcPr>
            <w:tcW w:type="dxa" w:w="2304"/>
          </w:tcPr>
          <w:p>
            <w:r/>
            <w:r>
              <w:rPr>
                <w:sz w:val="18"/>
              </w:rPr>
              <w:t>7</w:t>
            </w:r>
          </w:p>
        </w:tc>
        <w:tc>
          <w:tcPr>
            <w:tcW w:type="dxa" w:w="3168"/>
          </w:tcPr>
          <w:p>
            <w:r/>
            <w:r>
              <w:rPr>
                <w:sz w:val="18"/>
              </w:rPr>
              <w:t>76.9</w:t>
            </w:r>
          </w:p>
        </w:tc>
      </w:tr>
      <w:tr>
        <w:tc>
          <w:tcPr>
            <w:tcW w:type="dxa" w:w="3168"/>
          </w:tcPr>
          <w:p>
            <w:r/>
            <w:r>
              <w:rPr>
                <w:sz w:val="18"/>
              </w:rPr>
              <w:t>Stellate_Fibroblast</w:t>
            </w:r>
          </w:p>
        </w:tc>
        <w:tc>
          <w:tcPr>
            <w:tcW w:type="dxa" w:w="2304"/>
          </w:tcPr>
          <w:p>
            <w:r/>
            <w:r>
              <w:rPr>
                <w:sz w:val="18"/>
              </w:rPr>
              <w:t>10</w:t>
            </w:r>
          </w:p>
        </w:tc>
        <w:tc>
          <w:tcPr>
            <w:tcW w:type="dxa" w:w="3168"/>
          </w:tcPr>
          <w:p>
            <w:r/>
            <w:r>
              <w:rPr>
                <w:sz w:val="18"/>
              </w:rPr>
              <w:t>69.1</w:t>
            </w:r>
          </w:p>
        </w:tc>
      </w:tr>
      <w:tr>
        <w:tc>
          <w:tcPr>
            <w:tcW w:type="dxa" w:w="3168"/>
          </w:tcPr>
          <w:p>
            <w:r/>
            <w:r>
              <w:rPr>
                <w:sz w:val="18"/>
              </w:rPr>
              <w:t>T_cell</w:t>
            </w:r>
          </w:p>
        </w:tc>
        <w:tc>
          <w:tcPr>
            <w:tcW w:type="dxa" w:w="2304"/>
          </w:tcPr>
          <w:p>
            <w:r/>
            <w:r>
              <w:rPr>
                <w:sz w:val="18"/>
              </w:rPr>
              <w:t>7</w:t>
            </w:r>
          </w:p>
        </w:tc>
        <w:tc>
          <w:tcPr>
            <w:tcW w:type="dxa" w:w="3168"/>
          </w:tcPr>
          <w:p>
            <w:r/>
            <w:r>
              <w:rPr>
                <w:sz w:val="18"/>
              </w:rPr>
              <w:t>34.8</w:t>
            </w:r>
          </w:p>
        </w:tc>
      </w:tr>
    </w:tbl>
    <w:p>
      <w:pPr>
        <w:spacing w:after="80"/>
      </w:pPr>
    </w:p>
    <w:p>
      <w:r>
        <w:br w:type="page"/>
      </w:r>
    </w:p>
    <w:p>
      <w:pPr>
        <w:pStyle w:val="Heading1"/>
      </w:pPr>
      <w:r>
        <w:t>References</w:t>
      </w:r>
    </w:p>
    <w:p>
      <w:pPr>
        <w:spacing w:after="120" w:line="276" w:lineRule="auto"/>
        <w:ind w:left="432" w:hanging="432"/>
      </w:pPr>
      <w:r>
        <w:rPr>
          <w:sz w:val="20"/>
        </w:rPr>
        <w:t>1. Guan Y, Kim Y, Wang Y, Cho YE, Xiang X, Kim SJ, Yao T, Feng D, Hwang S, Gao B. Adipocyte death promotes hepatic infiltration of S100A8+ macrophages and steatotic liver disease progression in mice. J Clin Invest. 2025;135(21):e190635. doi:10.1172/JCI190635</w:t>
      </w:r>
    </w:p>
    <w:p>
      <w:pPr>
        <w:spacing w:after="120" w:line="276" w:lineRule="auto"/>
        <w:ind w:left="432" w:hanging="432"/>
      </w:pPr>
      <w:r>
        <w:rPr>
          <w:sz w:val="20"/>
        </w:rPr>
        <w:t>2. Rinella ME, Lazarus JV, Ratziu V, et al. A multisociety Delphi consensus statement on new fatty liver disease nomenclature. Hepatology. 2023;78(6):1966-1986. doi:10.1097/HEP.0000000000000520</w:t>
      </w:r>
    </w:p>
    <w:p>
      <w:pPr>
        <w:spacing w:after="120" w:line="276" w:lineRule="auto"/>
        <w:ind w:left="432" w:hanging="432"/>
      </w:pPr>
      <w:r>
        <w:rPr>
          <w:sz w:val="20"/>
        </w:rPr>
        <w:t>3. Hao Y, Stuart T, Kowalski MH, Choudhary S, Hoffman P, Hartman A, Srivastava A, Molla G, Madad S, Fernandez-Granda C, Satija R. Dictionary learning for integrative, multimodal and scalable single-cell analysis. Nat Biotechnol. 2024;42(2):293-304. doi:10.1038/s41587-023-01767-y</w:t>
      </w:r>
    </w:p>
    <w:p>
      <w:pPr>
        <w:spacing w:after="120" w:line="276" w:lineRule="auto"/>
        <w:ind w:left="432" w:hanging="432"/>
      </w:pPr>
      <w:r>
        <w:rPr>
          <w:sz w:val="20"/>
        </w:rPr>
        <w:t>4. Jew B, Alvarez M, Rahmani E, Miao Z, Ko A, Garske KM, Sul JH, Pietiläinen KH, Pajukanta P, Halperin E. Accurate estimation of cell composition in bulk expression through robust integration of single-cell information. Nat Commun. 2020;11:1971. doi:10.1038/s41467-020-15816-6</w:t>
      </w:r>
    </w:p>
    <w:p>
      <w:pPr>
        <w:spacing w:after="120" w:line="276" w:lineRule="auto"/>
        <w:ind w:left="432" w:hanging="432"/>
      </w:pPr>
      <w:r>
        <w:rPr>
          <w:sz w:val="20"/>
        </w:rPr>
        <w:t>5. Love MI, Huber W, Anders S. Moderated estimation of fold change and dispersion for RNA-seq data with DESeq2. Genome Biol. 2014;15:550. doi:10.1186/s13059-014-0550-8</w:t>
      </w:r>
    </w:p>
    <w:p>
      <w:pPr>
        <w:spacing w:after="120" w:line="276" w:lineRule="auto"/>
        <w:ind w:left="432" w:hanging="432"/>
      </w:pPr>
      <w:r>
        <w:rPr>
          <w:sz w:val="20"/>
        </w:rPr>
        <w:t>6. Benjamini Y, Hochberg Y. Controlling the false discovery rate: a practical and powerful approach to multiple testing. J R Stat Soc Series B. 1995;57(1):289-300.</w:t>
      </w:r>
    </w:p>
    <w:p>
      <w:pPr>
        <w:spacing w:after="120" w:line="276" w:lineRule="auto"/>
        <w:ind w:left="432" w:hanging="432"/>
      </w:pPr>
      <w:r>
        <w:rPr>
          <w:sz w:val="20"/>
        </w:rPr>
        <w:t>7. Barrett T, Wilhite SE, Ledoux P, et al. NCBI GEO: archive for functional genomics data sets--update. Nucleic Acids Res. 2013;41(D1):D991-D995. doi:10.1093/nar/gks1193</w:t>
      </w:r>
    </w:p>
    <w:p>
      <w:pPr>
        <w:spacing w:after="120" w:line="276" w:lineRule="auto"/>
        <w:ind w:left="432" w:hanging="432"/>
      </w:pPr>
      <w:r>
        <w:rPr>
          <w:sz w:val="20"/>
        </w:rPr>
        <w:t>8. McInnes L, Healy J, Melville J. UMAP: Uniform Manifold Approximation and Projection for Dimension Reduction. arXiv:1802.03426 [stat.ML]. 2018.</w:t>
      </w:r>
    </w:p>
    <w:p>
      <w:pPr>
        <w:spacing w:after="120" w:line="276" w:lineRule="auto"/>
        <w:ind w:left="432" w:hanging="432"/>
      </w:pPr>
      <w:r>
        <w:rPr>
          <w:sz w:val="20"/>
        </w:rPr>
        <w:t>9. Su Q, Kim SY, Adewale F, Zhou Y, Aldler C, Ni M, Wei Y, Burczynski ME, Atwal GS, Sleeman MW, Murphy AJ, Xin Y, Cheng X. Single-cell RNA transcriptome landscape of hepatocytes and non-parenchymal cells in healthy and NAFLD mouse liver. iScience. 2021;24(11):103233. doi:10.1016/j.isci.2021.103233</w:t>
      </w:r>
    </w:p>
    <w:p>
      <w:pPr>
        <w:spacing w:after="120" w:line="276" w:lineRule="auto"/>
        <w:ind w:left="432" w:hanging="432"/>
      </w:pPr>
      <w:r>
        <w:rPr>
          <w:sz w:val="20"/>
        </w:rPr>
        <w:t>10. Remmerie A, Martens L, Thoné T, Castoldi A, Seurinck R, Pavie B, et al. Osteopontin Expression Identifies a Subset of Recruited Macrophages Distinct from Kupffer Cells in the Fatty Liver. Immunity. 2020;53(3):641-657.e14. doi:10.1016/j.immuni.2020.08.004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