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360"/>
        <w:jc w:val="center"/>
      </w:pPr>
      <w:r>
        <w:rPr>
          <w:b/>
          <w:sz w:val="32"/>
        </w:rPr>
        <w:t>HSF2 Expression Is Inversely, Not Positively, Associated with a NETosis-Core Gene Signature Across Liver and Lung Fibrosis: A Multi-Cohort Transcriptomic Analysis</w:t>
      </w:r>
    </w:p>
    <w:p>
      <w:pPr>
        <w:spacing w:after="80"/>
        <w:jc w:val="center"/>
      </w:pPr>
      <w:r>
        <w:rPr/>
        <w:t>[Author Name]</w:t>
      </w:r>
      <w:r>
        <w:rPr>
          <w:sz w:val="24"/>
        </w:rPr>
        <w:t>[Author Name]1, [Author Name]1</w:t>
      </w:r>
    </w:p>
    <w:p>
      <w:pPr>
        <w:spacing w:after="480"/>
        <w:jc w:val="center"/>
      </w:pPr>
      <w:r>
        <w:rPr>
          <w:i/>
          <w:sz w:val="22"/>
        </w:rPr>
        <w:t>1[Department], [Institution]</w:t>
      </w:r>
    </w:p>
    <w:p>
      <w:pPr>
        <w:spacing w:after="480"/>
        <w:jc w:val="center"/>
      </w:pPr>
      <w:r>
        <w:rPr>
          <w:sz w:val="20"/>
        </w:rPr>
        <w:t>Corresponding author: [Author Name], [Email]</w:t>
      </w:r>
    </w:p>
    <w:p>
      <w:pPr>
        <w:pStyle w:val="Heading1"/>
      </w:pPr>
      <w:r>
        <w:t>Abstract</w:t>
      </w:r>
    </w:p>
    <w:p>
      <w:r>
        <w:rPr>
          <w:b/>
        </w:rPr>
        <w:t xml:space="preserve">Background: </w:t>
      </w:r>
      <w:r>
        <w:t xml:space="preserve">Environmental-toxicant-exposed neutrophils have been proposed to adopt a pro-fibrotic, immunosuppressive “N2” phenotype characterized by neutrophil extracellular trap (NET) release, a process potentially relevant to hepatocellular carcinoma (HCC) immune evasion. In a pilot experiment, the stress/development-associated transcription factor heat shock factor 2 (HSF2) was found to increase in polyhexamethylene guanidine (PHMG)-treated neutrophils, motivating the hypothesis that HSF2 upregulation drives NETosis-associated gene expression during toxicant-induced fibrosis. </w:t>
      </w:r>
      <w:r>
        <w:rPr>
          <w:b/>
        </w:rPr>
        <w:t xml:space="preserve">Methods: </w:t>
      </w:r>
      <w:r>
        <w:t xml:space="preserve">Before further wet-laboratory work, we tested the population-level prediction of this hypothesis — that HSF2 should positively correlate with NETosis-core gene expression (PADI4, ELANE, MPO) in fibrotic tissue — using four independent public transcriptomic cohorts (two liver: GSE135251, GSE14323; two lung: GSE47460, GSE53845) spanning three microarray/RNA-seq platforms. Pre-specified Spearman correlation, bootstrap confidence intervals, Benjamini-Hochberg FDR correction, and random-effects meta-analysis (DerSimonian-Laird) were used. A PTPRC (CD45) specificity control, ChEA3 in silico transcription-factor enrichment, and an exploratory analysis of three independent HCC immune-checkpoint-inhibitor (ICI) cohorts were performed as follow-up. </w:t>
      </w:r>
      <w:r>
        <w:rPr>
          <w:b/>
        </w:rPr>
        <w:t xml:space="preserve">Results: </w:t>
      </w:r>
      <w:r>
        <w:t xml:space="preserve">Contrary to the original hypothesis, HSF2 showed a significant negative correlation with the NETosis-core score in 3 of 4 cohorts (pooled random-effects rho = −0.31, 95% CI [−0.51, −0.08], p = 0.010), which was not explained by generic immune-cell infiltration (PTPRC showed the opposite, positive association). No existing ChEA3 evidence library supported HSF2 as a direct positive regulator of these genes. Across three independent HCC-ICI cohorts, lower tumor HSF2 was nominally associated with treatment response in two combination-therapy cohorts, but pooled meta-analysis was not significant (p = 0.22) due to high heterogeneity. </w:t>
      </w:r>
      <w:r>
        <w:rPr>
          <w:b/>
        </w:rPr>
        <w:t xml:space="preserve">Conclusions: </w:t>
      </w:r>
      <w:r>
        <w:t xml:space="preserve">Public transcriptomic data do not support the hypothesis that HSF2 drives NETosis-associated gene expression in fibrotic tissue; instead, they suggest an unexplained inverse association warranting direct testing in isolated, toxicant-exposed neutrophils. </w:t>
      </w:r>
    </w:p>
    <w:p>
      <w:r>
        <w:rPr>
          <w:b/>
        </w:rPr>
        <w:t xml:space="preserve">Keywords: </w:t>
      </w:r>
      <w:r>
        <w:t>HSF2; neutrophil extracellular traps; NETosis; N1/N2 neutrophil polarization; liver fibrosis; pulmonary fibrosis; hepatocellular carcinoma; immune checkpoint inhibitor; meta-analysis</w:t>
      </w:r>
    </w:p>
    <w:p>
      <w:r>
        <w:br w:type="page"/>
      </w:r>
    </w:p>
    <w:p>
      <w:pPr>
        <w:pStyle w:val="Heading1"/>
      </w:pPr>
      <w:r>
        <w:t>1. Introduction</w:t>
      </w:r>
    </w:p>
    <w:p>
      <w:r>
        <w:t>Hepatocellular carcinoma (HCC) remains one of the leading causes of cancer-related mortality worldwide, and although immune checkpoint inhibitors (ICIs) have become a standard component of systemic therapy for advanced disease, a substantial fraction of patients show primary or acquired resistance, motivating an ongoing search for predictive biomarkers and novel therapeutic targets (1). Neutrophils are increasingly recognized as functionally heterogeneous participants in this resistance: tumor-associated neutrophils can be polarized toward a cytotoxic, antitumor “N1” phenotype or a pro-tumorigenic, immunosuppressive “N2” phenotype, a dichotomy first described in the context of TGF-β signaling (2) and subsequently reproduced in vitro (3). N2-polarized and otherwise activated neutrophils can release neutrophil extracellular traps (NETs) — web-like structures of decondensed chromatin decorated with granule proteins such as myeloperoxidase (MPO) and neutrophil elastase (ELANE), a process that requires the citrullinating enzyme peptidylarginine deiminase 4 (PAD4/PADI4) (4). Excessive NET formation has been mechanistically linked to fibrosis progression and to tumor immune evasion, making the transcriptional control of NETosis-associated genes of direct translational interest.</w:t>
      </w:r>
    </w:p>
    <w:p>
      <w:r>
        <w:t>Polyhexamethylene guanidine (PHMG), an environmental disinfectant toxicant with a well-documented history of causing severe lung injury and fibrosis, induces endoplasmic-reticulum-stress-mediated epithelial apoptosis (5) and robust pulmonary neutrophil infiltration and fibrosis in animal models (6). In a pilot laboratory experiment, primary neutrophils treated with PHMG (3 μg/mL, 6 hours) showed a visibly increased protein band for heat shock factor 2 (HSF2) relative to untreated controls. HSF2 is a paralog of the canonical acute-stress-responsive transcription factor HSF1; unlike HSF1, HSF2 responds weakly to acute heat stress and is instead more classically associated with proteasome-inhibition-triggered stress, cellular differentiation, and development, where it can heterotrimerize with and fine-tune HSF1 activity (7, 8). More recently, HSF2 has been implicated in cancer biology in a context-dependent, sometimes opposing manner: it suppresses invasion in prostate cancer (9), while cooperating with HSF1 to sustain a pro-malignant transcriptional program across multiple cancer types (10), and a pan-cancer bioinformatic analysis found HSF2 to be an independent poor-prognosis factor in liver hepatocellular carcinoma (LIHC) whose expression correlates positively with immune-checkpoint genes (PD-1, PD-L1, CTLA4) and with several immune-cell infiltration signatures (11).</w:t>
      </w:r>
    </w:p>
    <w:p>
      <w:r>
        <w:t>Building on the pilot finding, we formulated the hypothesis that PHMG-induced HSF2 upregulation drives neutrophils toward an N2/NETotic phenotype, thereby promoting fibrosis and, in the liver, an immunosuppressive microenvironment permissive to HCC immune evasion. Because no existing literature directly connects HSF2 to neutrophil polarization or NETosis (confirmed by literature review prior to this study), and because ChIP-seq evidence for HSF2 binding is sparse and not derived from myeloid cells, this hypothesis is not yet supported by direct mechanistic evidence in any cell type. Before committing further wet-laboratory resources to this specific mechanistic model, we reasoned that the hypothesis makes a testable population-level prediction: if HSF2 upregulation drives NETosis-associated gene expression, tissue-level HSF2 expression should positively correlate with the expression of core NETosis genes (PADI4, ELANE, MPO) specifically in fibrotic tissue, and this relationship should be reproducible across independent organs and cohorts. We tested this prediction using publicly available transcriptomic data from human liver and lung fibrosis cohorts, applying a pre-specified statistical plan with formal replication criteria, and extended the analysis with a specificity control, an in silico transcription-factor-target enrichment check, and an exploratory analysis of HSF2 in the context of HCC immunotherapy response.</w:t>
      </w:r>
    </w:p>
    <w:p>
      <w:pPr>
        <w:pStyle w:val="Heading1"/>
      </w:pPr>
      <w:r>
        <w:t>2. Methods</w:t>
      </w:r>
    </w:p>
    <w:p>
      <w:pPr>
        <w:pStyle w:val="Heading2"/>
      </w:pPr>
      <w:r>
        <w:t>2.1 Pre-specified hypothesis and analysis plan</w:t>
      </w:r>
    </w:p>
    <w:p>
      <w:r>
        <w:t>The analysis plan was fixed before inspecting any correlation result (documented in the project's version-controlled code repository). The primary endpoint was the Spearman correlation between HSF2 expression and a NETosis-core gene score (mean of gene-wise z-scores for PADI4, ELANE, and MPO — the three genes encoding proteins mechanistically required for NET formation) within diseased/fibrotic tissue samples in each cohort. A secondary “NETosis-extended” score added CTSG, LTF, CAMP, DEFA4, AZU1, ITGAM, NCF2, S100A12, and LCN2 (broader neutrophil granule/antimicrobial genes). Two independent cohorts per organ (liver, lung) were designated a priori as “primary” (larger n or continuous disease staging) and “replication” (independent platform). A finding was classified as replicated only if the primary and replication cohort agreed in sign and were each nominally significant (p &lt; 0.05). Individual-gene correlations were treated as secondary/exploratory and corrected for multiple comparisons (Benjamini-Hochberg false discovery rate, FDR).</w:t>
      </w:r>
    </w:p>
    <w:p>
      <w:pPr>
        <w:pStyle w:val="Heading2"/>
      </w:pPr>
      <w:r>
        <w:t>2.2 Data sources</w:t>
      </w:r>
    </w:p>
    <w:p>
      <w:r>
        <w:t>Four publicly available fibrosis cohorts were obtained from the NCBI Gene Expression Omnibus (GEO) (12) using the GEOquery Bioconductor package (13) (Table 1). Liver: GSE135251, a bulk RNA-seq cohort spanning the non-alcoholic fatty liver disease (NAFLD) severity spectrum with histological fibrosis staging F0–F4 (14), used as the primary liver cohort; and GSE14323, an Affymetrix HG-U133A/GPL571 microarray cohort of normal, cirrhotic, cirrhotic-with-HCC, and HCC liver tissue (15), used as the replication liver cohort. Lung: GSE47460, an Agilent (GPL14550 sub-series) cohort from the Lung Genomics Research Consortium/Lung Tissue Research Consortium comprising control, chronic obstructive pulmonary disease (COPD), and interstitial lung disease (ILD) subjects, of whom the histologically fibrotic “usual interstitial pneumonia/idiopathic pulmonary fibrosis” (UIP/IPF) subtype was used as the fibrotic population, used as the primary lung cohort (a single peer-reviewed publication describing this specific consortium sub-series could not be unambiguously identified among the several linked citations; the dataset is cited by GEO accession); and GSE53845, a two-color Agilent (GPL6480) cohort of IPF and control lung tissue (16), used as the replication lung cohort.</w:t>
      </w:r>
    </w:p>
    <w:p>
      <w:r>
        <w:t>Three independent HCC immune-checkpoint-inhibitor (ICI) response cohorts were analyzed as an exploratory extension: GSE215011 (nivolumab monotherapy, whole-transcriptome tumor RNA-seq, n = 10) (17); GSE279750 (anti-PD-L1-based combination therapy, post-treatment tumor RNA-seq, n = 10; no peer-reviewed publication was available in the GEO record at the time of access, cited by accession only) (23); and GSE235863 (anti-PD-1 plus lenvatinib combination therapy, post-treatment bulk tumor RNA-seq TPM matrix, n = 15 patients with available bulk data) (18). A fourth candidate ICI cohort, GSE140901 (19), was evaluated but excluded because its 785-gene NanoString PanCancer Immune Profiling panel does not include HSF2 and is missing two of the three NETosis-core genes (PADI4, MPO).</w:t>
      </w:r>
    </w:p>
    <w:p>
      <w:pPr>
        <w:pStyle w:val="Heading2"/>
      </w:pPr>
      <w:r>
        <w:t>2.3 Data processing</w:t>
      </w:r>
    </w:p>
    <w:p>
      <w:r>
        <w:t>For RNA-seq count data (GSE135251), gene-level Ensembl counts were obtained per sample, genes with mean count &lt; 10 across samples were removed except for pre-specified panel genes (which were retained regardless of this filter to accommodate the comparatively low bulk-tissue expression of neutrophil-lineage transcripts, with per-gene detection rates reported explicitly in Supplementary Table S1d), and variance-stabilizing transformation (blind to any grouping variable) was applied using DESeq2 (20). For microarray data (GSE14323, GSE47460, GSE53845), previously normalized expression values provided by data submitters were used as-is (confirmed log2-scale; RMA for GSE14323, cyclic-loess for GSE47460, two-color log-ratio for GSE53845). Where a gene symbol mapped to multiple Ensembl IDs or probes, the ID/probe with the highest mean expression across the cohort was retained. For the HCC-ICI cohorts (GSE215011, GSE279750: per-sample tables; GSE235863: a shared TPM matrix), gene-level expression was log2(x+1)-transformed.</w:t>
      </w:r>
    </w:p>
    <w:p>
      <w:pPr>
        <w:pStyle w:val="Heading2"/>
      </w:pPr>
      <w:r>
        <w:t>2.4 Statistical analysis</w:t>
      </w:r>
    </w:p>
    <w:p>
      <w:r>
        <w:t>Spearman correlation coefficients were computed for the primary and secondary endpoints, accompanied by 2000-replicate percentile bootstrap 95% confidence intervals and leave-one-out sensitivity analysis. A specificity control tested whether HSF2 also correlated with PTPRC (CD45, a pan-leukocyte marker) to distinguish a NETosis-specific transcriptional relationship from a nonspecific bulk-tissue immune-infiltration/cell-composition artifact. Cross-cohort synthesis of the primary endpoint used a random-effects meta-analysis implemented from first principles (Fisher z-transformation of Spearman rho, DerSimonian-Laird between-study variance estimator, τ²) (21), given the absence of a package dependency (metafor) in the analysis environment; results were verified to reproduce standard formulas. Heterogeneity was quantified with Cochran's Q and I². For the HCC-ICI cohorts, responder-versus-non-responder comparisons used the Wilcoxon rank-sum test, with effect size expressed as the scale-free rank-biserial correlation to allow pooling across cohorts measured on different expression scales/normalizations; the three cohorts were combined using the same random-effects meta-analysis framework. All statistical analyses were performed in R (version 4.5.2) using the DESeq2, GEOquery, org.Hs.eg.db, boot, and ggplot2 packages; in silico transcription-factor enrichment used the ChEA3 web API (22).</w:t>
      </w:r>
    </w:p>
    <w:p>
      <w:pPr>
        <w:pStyle w:val="Heading2"/>
      </w:pPr>
      <w:r>
        <w:t>2.5 In silico transcription-factor enrichment</w:t>
      </w:r>
    </w:p>
    <w:p>
      <w:r>
        <w:t>To assess whether existing public ChIP-seq, co-expression, and literature-curated evidence supports HSF2 as a direct upstream regulator of the genes identified in this study, three gene sets — (i) the five genes found to be consistently negatively associated with HSF2 across all four fibrosis cohorts (PADI4, ELANE, MPO, CAMP, DEFA4), (ii) four genes found to have organ-divergent associations (LTF, NCF2, ITGAM, LCN2), and (iii) the pre-specified NETosis-core panel alone (PADI4, ELANE, MPO) — were submitted to ChEA3 (22), which ranks candidate upstream transcription factors against a query gene set across eight evidence libraries (including ENCODE ChIP-seq, ReMap ChIP-seq, Literature ChIP-seq, ARCHS4 co-expression, and GTEx co-expression). HSF2's rank and gene-overlap count were extracted from each library in which it was returned.</w:t>
      </w:r>
    </w:p>
    <w:p>
      <w:pPr>
        <w:pStyle w:val="Heading1"/>
      </w:pPr>
      <w:r>
        <w:t>3. Results</w:t>
      </w:r>
    </w:p>
    <w:p>
      <w:pPr>
        <w:pStyle w:val="Heading3"/>
      </w:pPr>
      <w:r>
        <w:t>Table 1. Fibrosis cohort overview.</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1296"/>
            <w:shd w:val="clear" w:fill="D9D9D9"/>
          </w:tcPr>
          <w:p>
            <w:r/>
            <w:r>
              <w:rPr>
                <w:b/>
                <w:sz w:val="18"/>
              </w:rPr>
              <w:t>Cohort</w:t>
            </w:r>
          </w:p>
        </w:tc>
        <w:tc>
          <w:tcPr>
            <w:tcW w:type="dxa" w:w="792"/>
            <w:shd w:val="clear" w:fill="D9D9D9"/>
          </w:tcPr>
          <w:p>
            <w:r/>
            <w:r>
              <w:rPr>
                <w:b/>
                <w:sz w:val="18"/>
              </w:rPr>
              <w:t>Organ</w:t>
            </w:r>
          </w:p>
        </w:tc>
        <w:tc>
          <w:tcPr>
            <w:tcW w:type="dxa" w:w="1080"/>
            <w:shd w:val="clear" w:fill="D9D9D9"/>
          </w:tcPr>
          <w:p>
            <w:r/>
            <w:r>
              <w:rPr>
                <w:b/>
                <w:sz w:val="18"/>
              </w:rPr>
              <w:t>Role</w:t>
            </w:r>
          </w:p>
        </w:tc>
        <w:tc>
          <w:tcPr>
            <w:tcW w:type="dxa" w:w="1872"/>
            <w:shd w:val="clear" w:fill="D9D9D9"/>
          </w:tcPr>
          <w:p>
            <w:r/>
            <w:r>
              <w:rPr>
                <w:b/>
                <w:sz w:val="18"/>
              </w:rPr>
              <w:t>Platform</w:t>
            </w:r>
          </w:p>
        </w:tc>
        <w:tc>
          <w:tcPr>
            <w:tcW w:type="dxa" w:w="1080"/>
            <w:shd w:val="clear" w:fill="D9D9D9"/>
          </w:tcPr>
          <w:p>
            <w:r/>
            <w:r>
              <w:rPr>
                <w:b/>
                <w:sz w:val="18"/>
              </w:rPr>
              <w:t>n (total)</w:t>
            </w:r>
          </w:p>
        </w:tc>
        <w:tc>
          <w:tcPr>
            <w:tcW w:type="dxa" w:w="2016"/>
            <w:shd w:val="clear" w:fill="D9D9D9"/>
          </w:tcPr>
          <w:p>
            <w:r/>
            <w:r>
              <w:rPr>
                <w:b/>
                <w:sz w:val="18"/>
              </w:rPr>
              <w:t>n (fibrotic/diseased)</w:t>
            </w:r>
          </w:p>
        </w:tc>
        <w:tc>
          <w:tcPr>
            <w:tcW w:type="dxa" w:w="864"/>
            <w:shd w:val="clear" w:fill="D9D9D9"/>
          </w:tcPr>
          <w:p>
            <w:r/>
            <w:r>
              <w:rPr>
                <w:b/>
                <w:sz w:val="18"/>
              </w:rPr>
              <w:t>Ref.</w:t>
            </w:r>
          </w:p>
        </w:tc>
      </w:tr>
      <w:tr>
        <w:tc>
          <w:tcPr>
            <w:tcW w:type="dxa" w:w="1296"/>
          </w:tcPr>
          <w:p>
            <w:r/>
            <w:r>
              <w:rPr>
                <w:sz w:val="18"/>
              </w:rPr>
              <w:t>GSE135251</w:t>
            </w:r>
          </w:p>
        </w:tc>
        <w:tc>
          <w:tcPr>
            <w:tcW w:type="dxa" w:w="792"/>
          </w:tcPr>
          <w:p>
            <w:r/>
            <w:r>
              <w:rPr>
                <w:sz w:val="18"/>
              </w:rPr>
              <w:t>Liver</w:t>
            </w:r>
          </w:p>
        </w:tc>
        <w:tc>
          <w:tcPr>
            <w:tcW w:type="dxa" w:w="1080"/>
          </w:tcPr>
          <w:p>
            <w:r/>
            <w:r>
              <w:rPr>
                <w:sz w:val="18"/>
              </w:rPr>
              <w:t>Primary</w:t>
            </w:r>
          </w:p>
        </w:tc>
        <w:tc>
          <w:tcPr>
            <w:tcW w:type="dxa" w:w="1872"/>
          </w:tcPr>
          <w:p>
            <w:r/>
            <w:r>
              <w:rPr>
                <w:sz w:val="18"/>
              </w:rPr>
              <w:t>RNA-seq</w:t>
            </w:r>
          </w:p>
        </w:tc>
        <w:tc>
          <w:tcPr>
            <w:tcW w:type="dxa" w:w="1080"/>
          </w:tcPr>
          <w:p>
            <w:r/>
            <w:r>
              <w:rPr>
                <w:sz w:val="18"/>
              </w:rPr>
              <w:t>216</w:t>
            </w:r>
          </w:p>
        </w:tc>
        <w:tc>
          <w:tcPr>
            <w:tcW w:type="dxa" w:w="2016"/>
          </w:tcPr>
          <w:p>
            <w:r/>
            <w:r>
              <w:rPr>
                <w:sz w:val="18"/>
              </w:rPr>
              <w:t>206 (NAFLD, F0–F4)</w:t>
            </w:r>
          </w:p>
        </w:tc>
        <w:tc>
          <w:tcPr>
            <w:tcW w:type="dxa" w:w="864"/>
          </w:tcPr>
          <w:p>
            <w:r/>
            <w:r>
              <w:rPr>
                <w:sz w:val="18"/>
              </w:rPr>
              <w:t>(14)</w:t>
            </w:r>
          </w:p>
        </w:tc>
      </w:tr>
      <w:tr>
        <w:tc>
          <w:tcPr>
            <w:tcW w:type="dxa" w:w="1296"/>
          </w:tcPr>
          <w:p>
            <w:r/>
            <w:r>
              <w:rPr>
                <w:sz w:val="18"/>
              </w:rPr>
              <w:t>GSE14323</w:t>
            </w:r>
          </w:p>
        </w:tc>
        <w:tc>
          <w:tcPr>
            <w:tcW w:type="dxa" w:w="792"/>
          </w:tcPr>
          <w:p>
            <w:r/>
            <w:r>
              <w:rPr>
                <w:sz w:val="18"/>
              </w:rPr>
              <w:t>Liver</w:t>
            </w:r>
          </w:p>
        </w:tc>
        <w:tc>
          <w:tcPr>
            <w:tcW w:type="dxa" w:w="1080"/>
          </w:tcPr>
          <w:p>
            <w:r/>
            <w:r>
              <w:rPr>
                <w:sz w:val="18"/>
              </w:rPr>
              <w:t>Replication</w:t>
            </w:r>
          </w:p>
        </w:tc>
        <w:tc>
          <w:tcPr>
            <w:tcW w:type="dxa" w:w="1872"/>
          </w:tcPr>
          <w:p>
            <w:r/>
            <w:r>
              <w:rPr>
                <w:sz w:val="18"/>
              </w:rPr>
              <w:t>Affymetrix HG-U133A</w:t>
            </w:r>
          </w:p>
        </w:tc>
        <w:tc>
          <w:tcPr>
            <w:tcW w:type="dxa" w:w="1080"/>
          </w:tcPr>
          <w:p>
            <w:r/>
            <w:r>
              <w:rPr>
                <w:sz w:val="18"/>
              </w:rPr>
              <w:t>115</w:t>
            </w:r>
          </w:p>
        </w:tc>
        <w:tc>
          <w:tcPr>
            <w:tcW w:type="dxa" w:w="2016"/>
          </w:tcPr>
          <w:p>
            <w:r/>
            <w:r>
              <w:rPr>
                <w:sz w:val="18"/>
              </w:rPr>
              <w:t>96 (cirrhosis/cirrhosisHCC/HCC)</w:t>
            </w:r>
          </w:p>
        </w:tc>
        <w:tc>
          <w:tcPr>
            <w:tcW w:type="dxa" w:w="864"/>
          </w:tcPr>
          <w:p>
            <w:r/>
            <w:r>
              <w:rPr>
                <w:sz w:val="18"/>
              </w:rPr>
              <w:t>(15)</w:t>
            </w:r>
          </w:p>
        </w:tc>
      </w:tr>
      <w:tr>
        <w:tc>
          <w:tcPr>
            <w:tcW w:type="dxa" w:w="1296"/>
          </w:tcPr>
          <w:p>
            <w:r/>
            <w:r>
              <w:rPr>
                <w:sz w:val="18"/>
              </w:rPr>
              <w:t>GSE47460</w:t>
            </w:r>
          </w:p>
        </w:tc>
        <w:tc>
          <w:tcPr>
            <w:tcW w:type="dxa" w:w="792"/>
          </w:tcPr>
          <w:p>
            <w:r/>
            <w:r>
              <w:rPr>
                <w:sz w:val="18"/>
              </w:rPr>
              <w:t>Lung</w:t>
            </w:r>
          </w:p>
        </w:tc>
        <w:tc>
          <w:tcPr>
            <w:tcW w:type="dxa" w:w="1080"/>
          </w:tcPr>
          <w:p>
            <w:r/>
            <w:r>
              <w:rPr>
                <w:sz w:val="18"/>
              </w:rPr>
              <w:t>Primary</w:t>
            </w:r>
          </w:p>
        </w:tc>
        <w:tc>
          <w:tcPr>
            <w:tcW w:type="dxa" w:w="1872"/>
          </w:tcPr>
          <w:p>
            <w:r/>
            <w:r>
              <w:rPr>
                <w:sz w:val="18"/>
              </w:rPr>
              <w:t>Agilent GPL14550</w:t>
            </w:r>
          </w:p>
        </w:tc>
        <w:tc>
          <w:tcPr>
            <w:tcW w:type="dxa" w:w="1080"/>
          </w:tcPr>
          <w:p>
            <w:r/>
            <w:r>
              <w:rPr>
                <w:sz w:val="18"/>
              </w:rPr>
              <w:t>429 (213 used)</w:t>
            </w:r>
          </w:p>
        </w:tc>
        <w:tc>
          <w:tcPr>
            <w:tcW w:type="dxa" w:w="2016"/>
          </w:tcPr>
          <w:p>
            <w:r/>
            <w:r>
              <w:rPr>
                <w:sz w:val="18"/>
              </w:rPr>
              <w:t>122 (UIP/IPF)</w:t>
            </w:r>
          </w:p>
        </w:tc>
        <w:tc>
          <w:tcPr>
            <w:tcW w:type="dxa" w:w="864"/>
          </w:tcPr>
          <w:p>
            <w:r/>
            <w:r>
              <w:rPr>
                <w:sz w:val="18"/>
              </w:rPr>
              <w:t>GEO accession</w:t>
            </w:r>
          </w:p>
        </w:tc>
      </w:tr>
      <w:tr>
        <w:tc>
          <w:tcPr>
            <w:tcW w:type="dxa" w:w="1296"/>
          </w:tcPr>
          <w:p>
            <w:r/>
            <w:r>
              <w:rPr>
                <w:sz w:val="18"/>
              </w:rPr>
              <w:t>GSE53845</w:t>
            </w:r>
          </w:p>
        </w:tc>
        <w:tc>
          <w:tcPr>
            <w:tcW w:type="dxa" w:w="792"/>
          </w:tcPr>
          <w:p>
            <w:r/>
            <w:r>
              <w:rPr>
                <w:sz w:val="18"/>
              </w:rPr>
              <w:t>Lung</w:t>
            </w:r>
          </w:p>
        </w:tc>
        <w:tc>
          <w:tcPr>
            <w:tcW w:type="dxa" w:w="1080"/>
          </w:tcPr>
          <w:p>
            <w:r/>
            <w:r>
              <w:rPr>
                <w:sz w:val="18"/>
              </w:rPr>
              <w:t>Replication</w:t>
            </w:r>
          </w:p>
        </w:tc>
        <w:tc>
          <w:tcPr>
            <w:tcW w:type="dxa" w:w="1872"/>
          </w:tcPr>
          <w:p>
            <w:r/>
            <w:r>
              <w:rPr>
                <w:sz w:val="18"/>
              </w:rPr>
              <w:t>Agilent GPL6480 (2-color)</w:t>
            </w:r>
          </w:p>
        </w:tc>
        <w:tc>
          <w:tcPr>
            <w:tcW w:type="dxa" w:w="1080"/>
          </w:tcPr>
          <w:p>
            <w:r/>
            <w:r>
              <w:rPr>
                <w:sz w:val="18"/>
              </w:rPr>
              <w:t>48</w:t>
            </w:r>
          </w:p>
        </w:tc>
        <w:tc>
          <w:tcPr>
            <w:tcW w:type="dxa" w:w="2016"/>
          </w:tcPr>
          <w:p>
            <w:r/>
            <w:r>
              <w:rPr>
                <w:sz w:val="18"/>
              </w:rPr>
              <w:t>40 (IPF)</w:t>
            </w:r>
          </w:p>
        </w:tc>
        <w:tc>
          <w:tcPr>
            <w:tcW w:type="dxa" w:w="864"/>
          </w:tcPr>
          <w:p>
            <w:r/>
            <w:r>
              <w:rPr>
                <w:sz w:val="18"/>
              </w:rPr>
              <w:t>(16)</w:t>
            </w:r>
          </w:p>
        </w:tc>
      </w:tr>
    </w:tbl>
    <w:p>
      <w:pPr>
        <w:spacing w:after="40"/>
      </w:pPr>
    </w:p>
    <w:p>
      <w:pPr>
        <w:pStyle w:val="Heading2"/>
      </w:pPr>
      <w:r>
        <w:t>3.1 HSF2 is negatively, not positively, associated with the NETosis-core gene signature in fibrotic liver and lung tissue</w:t>
      </w:r>
    </w:p>
    <w:p>
      <w:r>
        <w:t>Across all four independent fibrosis cohorts, the pre-specified primary endpoint — Spearman correlation between HSF2 and the NETosis-core score (PADI4/ELANE/MPO) within diseased/fibrotic tissue — was negative in direction, opposite to the original hypothesis (Table 2, Figure 1). The correlation reached nominal significance in three of four cohorts: GSE135251 (liver, n = 206 NAFLD samples), rho = −0.14 (95% CI −0.29 to 0.00), p = 0.038; GSE14323 (liver, n = 96 diseased samples), rho = −0.55 (95% CI −0.69 to −0.38), p = 6.2 × 10⁻⁹; and GSE47460 (lung, n = 122 UIP/IPF samples), rho = −0.39 (95% CI −0.54 to −0.22), p = 8.1 × 10⁻⁶. GSE53845 (lung, n = 40 IPF samples) showed a negative point estimate of smaller magnitude that did not reach significance (rho = −0.05, p = 0.76); given its markedly smaller sample size, this cohort was interpreted as underpowered rather than as evidence against the direction observed elsewhere. By the pre-specified replication rule, the liver primary/replication pair (GSE135251, GSE14323) met the criterion for replication (same sign, both p &lt; 0.05); the lung pair did not formally meet the criterion because GSE53845 was not individually significant, though the direction was concordant. Full statistics for this endpoint, including bootstrap confidence intervals and leave-one-out sensitivity ranges for each cohort, are provided in Supplementary Table S1a; per-cohort scatter plots and boxplots underlying Table 2 and Figure 1 are provided in Supplementary Figures S1–S8.</w:t>
      </w:r>
    </w:p>
    <w:p>
      <w:r>
        <w:t>A random-effects meta-analysis of all four cohorts yielded a pooled rho of −0.31 (95% CI −0.51 to −0.08, p = 0.010), with substantial heterogeneity (I² = 83.5%) attributable largely to the smaller-magnitude GSE53845 estimate. Organ-restricted meta-analyses were directionally consistent but individually non-significant given only two studies each (liver-only pooled rho = −0.36, 95% CI −0.69 to 0.09, p = 0.11; lung-only pooled rho = −0.25, 95% CI −0.54 to 0.10, p = 0.15) (full meta-analysis output: Supplementary Table S1b).</w:t>
      </w:r>
    </w:p>
    <w:p>
      <w:pPr>
        <w:pStyle w:val="Heading3"/>
      </w:pPr>
      <w:r>
        <w:t>Table 2. Primary endpoint (HSF2 vs. NETosis-core score) results.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shd w:val="clear" w:fill="D9D9D9"/>
          </w:tcPr>
          <w:p>
            <w:r/>
            <w:r>
              <w:rPr>
                <w:b/>
                <w:sz w:val="18"/>
              </w:rPr>
              <w:t>Cohort</w:t>
            </w:r>
          </w:p>
        </w:tc>
        <w:tc>
          <w:tcPr>
            <w:tcW w:type="dxa" w:w="720"/>
            <w:shd w:val="clear" w:fill="D9D9D9"/>
          </w:tcPr>
          <w:p>
            <w:r/>
            <w:r>
              <w:rPr>
                <w:b/>
                <w:sz w:val="18"/>
              </w:rPr>
              <w:t>n</w:t>
            </w:r>
          </w:p>
        </w:tc>
        <w:tc>
          <w:tcPr>
            <w:tcW w:type="dxa" w:w="1008"/>
            <w:shd w:val="clear" w:fill="D9D9D9"/>
          </w:tcPr>
          <w:p>
            <w:r/>
            <w:r>
              <w:rPr>
                <w:b/>
                <w:sz w:val="18"/>
              </w:rPr>
              <w:t>rho</w:t>
            </w:r>
          </w:p>
        </w:tc>
        <w:tc>
          <w:tcPr>
            <w:tcW w:type="dxa" w:w="1872"/>
            <w:shd w:val="clear" w:fill="D9D9D9"/>
          </w:tcPr>
          <w:p>
            <w:r/>
            <w:r>
              <w:rPr>
                <w:b/>
                <w:sz w:val="18"/>
              </w:rPr>
              <w:t>95% CI</w:t>
            </w:r>
          </w:p>
        </w:tc>
        <w:tc>
          <w:tcPr>
            <w:tcW w:type="dxa" w:w="1728"/>
            <w:shd w:val="clear" w:fill="D9D9D9"/>
          </w:tcPr>
          <w:p>
            <w:r/>
            <w:r>
              <w:rPr>
                <w:b/>
                <w:sz w:val="18"/>
              </w:rPr>
              <w:t>p</w:t>
            </w:r>
          </w:p>
        </w:tc>
      </w:tr>
      <w:tr>
        <w:tc>
          <w:tcPr>
            <w:tcW w:type="dxa" w:w="3024"/>
          </w:tcPr>
          <w:p>
            <w:r/>
            <w:r>
              <w:rPr>
                <w:sz w:val="18"/>
              </w:rPr>
              <w:t>GSE135251 (liver, primary)</w:t>
            </w:r>
          </w:p>
        </w:tc>
        <w:tc>
          <w:tcPr>
            <w:tcW w:type="dxa" w:w="720"/>
          </w:tcPr>
          <w:p>
            <w:r/>
            <w:r>
              <w:rPr>
                <w:sz w:val="18"/>
              </w:rPr>
              <w:t>206</w:t>
            </w:r>
          </w:p>
        </w:tc>
        <w:tc>
          <w:tcPr>
            <w:tcW w:type="dxa" w:w="1008"/>
          </w:tcPr>
          <w:p>
            <w:r/>
            <w:r>
              <w:rPr>
                <w:sz w:val="18"/>
              </w:rPr>
              <w:t>−0.145</w:t>
            </w:r>
          </w:p>
        </w:tc>
        <w:tc>
          <w:tcPr>
            <w:tcW w:type="dxa" w:w="1872"/>
          </w:tcPr>
          <w:p>
            <w:r/>
            <w:r>
              <w:rPr>
                <w:sz w:val="18"/>
              </w:rPr>
              <w:t>−0.288, −0.002</w:t>
            </w:r>
          </w:p>
        </w:tc>
        <w:tc>
          <w:tcPr>
            <w:tcW w:type="dxa" w:w="1728"/>
          </w:tcPr>
          <w:p>
            <w:r/>
            <w:r>
              <w:rPr>
                <w:sz w:val="18"/>
              </w:rPr>
              <w:t>0.038</w:t>
            </w:r>
          </w:p>
        </w:tc>
      </w:tr>
      <w:tr>
        <w:tc>
          <w:tcPr>
            <w:tcW w:type="dxa" w:w="3024"/>
          </w:tcPr>
          <w:p>
            <w:r/>
            <w:r>
              <w:rPr>
                <w:sz w:val="18"/>
              </w:rPr>
              <w:t>GSE14323 (liver, replication)</w:t>
            </w:r>
          </w:p>
        </w:tc>
        <w:tc>
          <w:tcPr>
            <w:tcW w:type="dxa" w:w="720"/>
          </w:tcPr>
          <w:p>
            <w:r/>
            <w:r>
              <w:rPr>
                <w:sz w:val="18"/>
              </w:rPr>
              <w:t>96</w:t>
            </w:r>
          </w:p>
        </w:tc>
        <w:tc>
          <w:tcPr>
            <w:tcW w:type="dxa" w:w="1008"/>
          </w:tcPr>
          <w:p>
            <w:r/>
            <w:r>
              <w:rPr>
                <w:sz w:val="18"/>
              </w:rPr>
              <w:t>−0.550</w:t>
            </w:r>
          </w:p>
        </w:tc>
        <w:tc>
          <w:tcPr>
            <w:tcW w:type="dxa" w:w="1872"/>
          </w:tcPr>
          <w:p>
            <w:r/>
            <w:r>
              <w:rPr>
                <w:sz w:val="18"/>
              </w:rPr>
              <w:t>−0.689, −0.381</w:t>
            </w:r>
          </w:p>
        </w:tc>
        <w:tc>
          <w:tcPr>
            <w:tcW w:type="dxa" w:w="1728"/>
          </w:tcPr>
          <w:p>
            <w:r/>
            <w:r>
              <w:rPr>
                <w:sz w:val="18"/>
              </w:rPr>
              <w:t>6.2 × 10⁻⁹</w:t>
            </w:r>
          </w:p>
        </w:tc>
      </w:tr>
      <w:tr>
        <w:tc>
          <w:tcPr>
            <w:tcW w:type="dxa" w:w="3024"/>
          </w:tcPr>
          <w:p>
            <w:r/>
            <w:r>
              <w:rPr>
                <w:sz w:val="18"/>
              </w:rPr>
              <w:t>GSE47460 (lung, primary)</w:t>
            </w:r>
          </w:p>
        </w:tc>
        <w:tc>
          <w:tcPr>
            <w:tcW w:type="dxa" w:w="720"/>
          </w:tcPr>
          <w:p>
            <w:r/>
            <w:r>
              <w:rPr>
                <w:sz w:val="18"/>
              </w:rPr>
              <w:t>122</w:t>
            </w:r>
          </w:p>
        </w:tc>
        <w:tc>
          <w:tcPr>
            <w:tcW w:type="dxa" w:w="1008"/>
          </w:tcPr>
          <w:p>
            <w:r/>
            <w:r>
              <w:rPr>
                <w:sz w:val="18"/>
              </w:rPr>
              <w:t>−0.392</w:t>
            </w:r>
          </w:p>
        </w:tc>
        <w:tc>
          <w:tcPr>
            <w:tcW w:type="dxa" w:w="1872"/>
          </w:tcPr>
          <w:p>
            <w:r/>
            <w:r>
              <w:rPr>
                <w:sz w:val="18"/>
              </w:rPr>
              <w:t>−0.538, −0.218</w:t>
            </w:r>
          </w:p>
        </w:tc>
        <w:tc>
          <w:tcPr>
            <w:tcW w:type="dxa" w:w="1728"/>
          </w:tcPr>
          <w:p>
            <w:r/>
            <w:r>
              <w:rPr>
                <w:sz w:val="18"/>
              </w:rPr>
              <w:t>8.1 × 10⁻⁶</w:t>
            </w:r>
          </w:p>
        </w:tc>
      </w:tr>
      <w:tr>
        <w:tc>
          <w:tcPr>
            <w:tcW w:type="dxa" w:w="3024"/>
          </w:tcPr>
          <w:p>
            <w:r/>
            <w:r>
              <w:rPr>
                <w:sz w:val="18"/>
              </w:rPr>
              <w:t>GSE53845 (lung, replication)</w:t>
            </w:r>
          </w:p>
        </w:tc>
        <w:tc>
          <w:tcPr>
            <w:tcW w:type="dxa" w:w="720"/>
          </w:tcPr>
          <w:p>
            <w:r/>
            <w:r>
              <w:rPr>
                <w:sz w:val="18"/>
              </w:rPr>
              <w:t>40</w:t>
            </w:r>
          </w:p>
        </w:tc>
        <w:tc>
          <w:tcPr>
            <w:tcW w:type="dxa" w:w="1008"/>
          </w:tcPr>
          <w:p>
            <w:r/>
            <w:r>
              <w:rPr>
                <w:sz w:val="18"/>
              </w:rPr>
              <w:t>−0.050</w:t>
            </w:r>
          </w:p>
        </w:tc>
        <w:tc>
          <w:tcPr>
            <w:tcW w:type="dxa" w:w="1872"/>
          </w:tcPr>
          <w:p>
            <w:r/>
            <w:r>
              <w:rPr>
                <w:sz w:val="18"/>
              </w:rPr>
              <w:t>−0.350, 0.274</w:t>
            </w:r>
          </w:p>
        </w:tc>
        <w:tc>
          <w:tcPr>
            <w:tcW w:type="dxa" w:w="1728"/>
          </w:tcPr>
          <w:p>
            <w:r/>
            <w:r>
              <w:rPr>
                <w:sz w:val="18"/>
              </w:rPr>
              <w:t>0.760</w:t>
            </w:r>
          </w:p>
        </w:tc>
      </w:tr>
      <w:tr>
        <w:tc>
          <w:tcPr>
            <w:tcW w:type="dxa" w:w="3024"/>
          </w:tcPr>
          <w:p>
            <w:r/>
            <w:r>
              <w:rPr>
                <w:sz w:val="18"/>
              </w:rPr>
              <w:t>Pooled, random-effects (4 cohorts)</w:t>
            </w:r>
          </w:p>
        </w:tc>
        <w:tc>
          <w:tcPr>
            <w:tcW w:type="dxa" w:w="720"/>
          </w:tcPr>
          <w:p>
            <w:r/>
            <w:r>
              <w:rPr>
                <w:sz w:val="18"/>
              </w:rPr>
              <w:t>464</w:t>
            </w:r>
          </w:p>
        </w:tc>
        <w:tc>
          <w:tcPr>
            <w:tcW w:type="dxa" w:w="1008"/>
          </w:tcPr>
          <w:p>
            <w:r/>
            <w:r>
              <w:rPr>
                <w:sz w:val="18"/>
              </w:rPr>
              <w:t>−0.308</w:t>
            </w:r>
          </w:p>
        </w:tc>
        <w:tc>
          <w:tcPr>
            <w:tcW w:type="dxa" w:w="1872"/>
          </w:tcPr>
          <w:p>
            <w:r/>
            <w:r>
              <w:rPr>
                <w:sz w:val="18"/>
              </w:rPr>
              <w:t>−0.508, −0.076</w:t>
            </w:r>
          </w:p>
        </w:tc>
        <w:tc>
          <w:tcPr>
            <w:tcW w:type="dxa" w:w="1728"/>
          </w:tcPr>
          <w:p>
            <w:r/>
            <w:r>
              <w:rPr>
                <w:sz w:val="18"/>
              </w:rPr>
              <w:t>0.010 (I²=83.5%)</w:t>
            </w:r>
          </w:p>
        </w:tc>
      </w:tr>
    </w:tbl>
    <w:p>
      <w:pPr>
        <w:spacing w:after="40"/>
      </w:pPr>
    </w:p>
    <w:p>
      <w:pPr>
        <w:jc w:val="center"/>
      </w:pPr>
      <w:r>
        <w:drawing>
          <wp:inline xmlns:a="http://schemas.openxmlformats.org/drawingml/2006/main" xmlns:pic="http://schemas.openxmlformats.org/drawingml/2006/picture">
            <wp:extent cx="5486400" cy="3429000"/>
            <wp:docPr id="1" name="Picture 1"/>
            <wp:cNvGraphicFramePr>
              <a:graphicFrameLocks noChangeAspect="1"/>
            </wp:cNvGraphicFramePr>
            <a:graphic>
              <a:graphicData uri="http://schemas.openxmlformats.org/drawingml/2006/picture">
                <pic:pic>
                  <pic:nvPicPr>
                    <pic:cNvPr id="0" name="FOREST_HSF2_vs_NETcore_all_cohorts.png"/>
                    <pic:cNvPicPr/>
                  </pic:nvPicPr>
                  <pic:blipFill>
                    <a:blip r:embed="rId9"/>
                    <a:stretch>
                      <a:fillRect/>
                    </a:stretch>
                  </pic:blipFill>
                  <pic:spPr>
                    <a:xfrm>
                      <a:off x="0" y="0"/>
                      <a:ext cx="5486400" cy="3429000"/>
                    </a:xfrm>
                    <a:prstGeom prst="rect"/>
                  </pic:spPr>
                </pic:pic>
              </a:graphicData>
            </a:graphic>
          </wp:inline>
        </w:drawing>
      </w:r>
    </w:p>
    <w:p>
      <w:pPr>
        <w:spacing w:before="80" w:after="240"/>
      </w:pPr>
      <w:r>
        <w:rPr>
          <w:b/>
          <w:sz w:val="20"/>
        </w:rPr>
        <w:t xml:space="preserve">Figure 1. </w:t>
      </w:r>
      <w:r>
        <w:rPr>
          <w:i/>
          <w:sz w:val="20"/>
        </w:rPr>
        <w:t>Forest plot of the pre-specified primary endpoint (Spearman rho, HSF2 vs. NETosis-core score) across all four fibrosis cohorts and pooled random-effects estimates. Error bars are bootstrap (cohort-level) or random-effects meta-analytic (pooled) 95% confidence intervals; point size is proportional to sample size. See also Supplementary Figures S1–S8 for the underlying per-cohort scatter plots and boxplots, and Supplementary Table S1a for full statistics.</w:t>
      </w:r>
    </w:p>
    <w:p>
      <w:pPr>
        <w:pStyle w:val="Heading2"/>
      </w:pPr>
      <w:r>
        <w:t>3.2 The negative association is not explained by generic immune-cell infiltration</w:t>
      </w:r>
    </w:p>
    <w:p>
      <w:r>
        <w:t>Because bulk-tissue expression reflects the mixture of resident and infiltrating cell types, an increase in overall immune infiltration accompanying advancing fibrosis could, in principle, dilute the relative contribution of non-immune, HSF2-expressing cells to the bulk signal — a trivial explanation unrelated to any specific regulatory relationship. This was tested directly using PTPRC (CD45) as a pan-leukocyte marker in the two liver cohorts. In both cohorts, HSF2 correlated positively, not negatively, with PTPRC (GSE135251: rho = 0.18, p = 0.010; GSE14323: rho = 0.45, p = 4.7 × 10⁻⁶) (Table 3), the opposite direction from its correlation with the NETosis-core score. This pattern — HSF2 rising with overall immune infiltration while falling specifically with NETosis-core gene expression — is inconsistent with a simple dilution artifact and instead suggests a signal specific to the NETosis gene program. Full statistics, including bootstrap confidence intervals and leave-one-out sensitivity ranges for all three pairwise correlations in both cohorts, are provided in Supplementary Table S1c.</w:t>
      </w:r>
    </w:p>
    <w:p>
      <w:pPr>
        <w:pStyle w:val="Heading3"/>
      </w:pPr>
      <w:r>
        <w:t>Table 3. Specificity control: HSF2 vs. PTPRC (pan-leukocyte marker).</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016"/>
            <w:shd w:val="clear" w:fill="D9D9D9"/>
          </w:tcPr>
          <w:p>
            <w:r/>
            <w:r>
              <w:rPr>
                <w:b/>
                <w:sz w:val="18"/>
              </w:rPr>
              <w:t>Cohort</w:t>
            </w:r>
          </w:p>
        </w:tc>
        <w:tc>
          <w:tcPr>
            <w:tcW w:type="dxa" w:w="2448"/>
            <w:shd w:val="clear" w:fill="D9D9D9"/>
          </w:tcPr>
          <w:p>
            <w:r/>
            <w:r>
              <w:rPr>
                <w:b/>
                <w:sz w:val="18"/>
              </w:rPr>
              <w:t>HSF2 vs PTPRC, rho (p)</w:t>
            </w:r>
          </w:p>
        </w:tc>
        <w:tc>
          <w:tcPr>
            <w:tcW w:type="dxa" w:w="2448"/>
            <w:shd w:val="clear" w:fill="D9D9D9"/>
          </w:tcPr>
          <w:p>
            <w:r/>
            <w:r>
              <w:rPr>
                <w:b/>
                <w:sz w:val="18"/>
              </w:rPr>
              <w:t>HSF2 vs NET_core, rho (p)</w:t>
            </w:r>
          </w:p>
        </w:tc>
        <w:tc>
          <w:tcPr>
            <w:tcW w:type="dxa" w:w="2448"/>
            <w:shd w:val="clear" w:fill="D9D9D9"/>
          </w:tcPr>
          <w:p>
            <w:r/>
            <w:r>
              <w:rPr>
                <w:b/>
                <w:sz w:val="18"/>
              </w:rPr>
              <w:t>PTPRC vs NET_core, rho (p)</w:t>
            </w:r>
          </w:p>
        </w:tc>
      </w:tr>
      <w:tr>
        <w:tc>
          <w:tcPr>
            <w:tcW w:type="dxa" w:w="2016"/>
          </w:tcPr>
          <w:p>
            <w:r/>
            <w:r>
              <w:rPr>
                <w:sz w:val="18"/>
              </w:rPr>
              <w:t>GSE135251 (liver)</w:t>
            </w:r>
          </w:p>
        </w:tc>
        <w:tc>
          <w:tcPr>
            <w:tcW w:type="dxa" w:w="2448"/>
          </w:tcPr>
          <w:p>
            <w:r/>
            <w:r>
              <w:rPr>
                <w:sz w:val="18"/>
              </w:rPr>
              <w:t>0.178 (0.010)</w:t>
            </w:r>
          </w:p>
        </w:tc>
        <w:tc>
          <w:tcPr>
            <w:tcW w:type="dxa" w:w="2448"/>
          </w:tcPr>
          <w:p>
            <w:r/>
            <w:r>
              <w:rPr>
                <w:sz w:val="18"/>
              </w:rPr>
              <w:t>−0.145 (0.038)</w:t>
            </w:r>
          </w:p>
        </w:tc>
        <w:tc>
          <w:tcPr>
            <w:tcW w:type="dxa" w:w="2448"/>
          </w:tcPr>
          <w:p>
            <w:r/>
            <w:r>
              <w:rPr>
                <w:sz w:val="18"/>
              </w:rPr>
              <w:t>0.252 (0.0003)</w:t>
            </w:r>
          </w:p>
        </w:tc>
      </w:tr>
      <w:tr>
        <w:tc>
          <w:tcPr>
            <w:tcW w:type="dxa" w:w="2016"/>
          </w:tcPr>
          <w:p>
            <w:r/>
            <w:r>
              <w:rPr>
                <w:sz w:val="18"/>
              </w:rPr>
              <w:t>GSE14323 (liver)</w:t>
            </w:r>
          </w:p>
        </w:tc>
        <w:tc>
          <w:tcPr>
            <w:tcW w:type="dxa" w:w="2448"/>
          </w:tcPr>
          <w:p>
            <w:r/>
            <w:r>
              <w:rPr>
                <w:sz w:val="18"/>
              </w:rPr>
              <w:t>0.448 (4.7 × 10⁻⁶)</w:t>
            </w:r>
          </w:p>
        </w:tc>
        <w:tc>
          <w:tcPr>
            <w:tcW w:type="dxa" w:w="2448"/>
          </w:tcPr>
          <w:p>
            <w:r/>
            <w:r>
              <w:rPr>
                <w:sz w:val="18"/>
              </w:rPr>
              <w:t>−0.550 (6.2 × 10⁻⁹)</w:t>
            </w:r>
          </w:p>
        </w:tc>
        <w:tc>
          <w:tcPr>
            <w:tcW w:type="dxa" w:w="2448"/>
          </w:tcPr>
          <w:p>
            <w:r/>
            <w:r>
              <w:rPr>
                <w:sz w:val="18"/>
              </w:rPr>
              <w:t>−0.224 (0.028)</w:t>
            </w:r>
          </w:p>
        </w:tc>
      </w:tr>
    </w:tbl>
    <w:p>
      <w:pPr>
        <w:spacing w:after="40"/>
      </w:pPr>
    </w:p>
    <w:p>
      <w:pPr>
        <w:pStyle w:val="Heading2"/>
      </w:pPr>
      <w:r>
        <w:t>3.3 Individual-gene cross-cohort consistency identifies a reproducible core and an organ-divergent set</w:t>
      </w:r>
    </w:p>
    <w:p>
      <w:r>
        <w:t>Decomposing the NETosis-extended panel into individual genes and examining their direction of association with HSF2 across all four cohorts (Table 4; full per-cohort individual-gene results: Supplementary Tables S2; full 12-gene cross-cohort consistency table: Supplementary Table S2e) revealed two distinct patterns. Five genes — CAMP, MPO, DEFA4, and, with one small-magnitude exception each, PADI4 and ELANE — showed the same (negative) direction of association with HSF2 in all four cohorts, reaching FDR &lt; 0.05 in two to three of four cohorts each. In contrast, four genes — LTF, NCF2, ITGAM, and LCN2 — showed sign reversal between liver and lung cohorts (e.g., LTF: negative in GSE135251 but positive and FDR-significant in both lung cohorts), a pattern that may reflect organ-specific regulation or a lesser degree of neutrophil-lineage specificity for these genes (LCN2 in particular is also broadly expressed by stressed hepatocytes and epithelial cells).</w:t>
      </w:r>
    </w:p>
    <w:p>
      <w:pPr>
        <w:pStyle w:val="Heading3"/>
      </w:pPr>
      <w:r>
        <w:t>Table 4. Cross-cohort consistency for the five most reproducible NETosis panel genes (full 12-gene table: Supplementary Table S2e).</w:t>
      </w:r>
    </w:p>
    <w:tbl>
      <w:tblPr>
        <w:tblStyle w:val="TableGrid"/>
        <w:tblW w:type="auto" w:w="0"/>
        <w:jc w:val="center"/>
        <w:tblLook w:firstColumn="1" w:firstRow="1" w:lastColumn="0" w:lastRow="0" w:noHBand="0" w:noVBand="1" w:val="04A0"/>
      </w:tblPr>
      <w:tblGrid>
        <w:gridCol w:w="1234"/>
        <w:gridCol w:w="1234"/>
        <w:gridCol w:w="1234"/>
        <w:gridCol w:w="1234"/>
        <w:gridCol w:w="1234"/>
        <w:gridCol w:w="1234"/>
        <w:gridCol w:w="1234"/>
      </w:tblGrid>
      <w:tr>
        <w:tc>
          <w:tcPr>
            <w:tcW w:type="dxa" w:w="792"/>
            <w:shd w:val="clear" w:fill="D9D9D9"/>
          </w:tcPr>
          <w:p>
            <w:r/>
            <w:r>
              <w:rPr>
                <w:b/>
                <w:sz w:val="18"/>
              </w:rPr>
              <w:t>Gene</w:t>
            </w:r>
          </w:p>
        </w:tc>
        <w:tc>
          <w:tcPr>
            <w:tcW w:type="dxa" w:w="1368"/>
            <w:shd w:val="clear" w:fill="D9D9D9"/>
          </w:tcPr>
          <w:p>
            <w:r/>
            <w:r>
              <w:rPr>
                <w:b/>
                <w:sz w:val="18"/>
              </w:rPr>
              <w:t>GSE135251 rho</w:t>
            </w:r>
          </w:p>
        </w:tc>
        <w:tc>
          <w:tcPr>
            <w:tcW w:type="dxa" w:w="1368"/>
            <w:shd w:val="clear" w:fill="D9D9D9"/>
          </w:tcPr>
          <w:p>
            <w:r/>
            <w:r>
              <w:rPr>
                <w:b/>
                <w:sz w:val="18"/>
              </w:rPr>
              <w:t>GSE14323 rho</w:t>
            </w:r>
          </w:p>
        </w:tc>
        <w:tc>
          <w:tcPr>
            <w:tcW w:type="dxa" w:w="1368"/>
            <w:shd w:val="clear" w:fill="D9D9D9"/>
          </w:tcPr>
          <w:p>
            <w:r/>
            <w:r>
              <w:rPr>
                <w:b/>
                <w:sz w:val="18"/>
              </w:rPr>
              <w:t>GSE47460 rho</w:t>
            </w:r>
          </w:p>
        </w:tc>
        <w:tc>
          <w:tcPr>
            <w:tcW w:type="dxa" w:w="1368"/>
            <w:shd w:val="clear" w:fill="D9D9D9"/>
          </w:tcPr>
          <w:p>
            <w:r/>
            <w:r>
              <w:rPr>
                <w:b/>
                <w:sz w:val="18"/>
              </w:rPr>
              <w:t>GSE53845 rho</w:t>
            </w:r>
          </w:p>
        </w:tc>
        <w:tc>
          <w:tcPr>
            <w:tcW w:type="dxa" w:w="1368"/>
            <w:shd w:val="clear" w:fill="D9D9D9"/>
          </w:tcPr>
          <w:p>
            <w:r/>
            <w:r>
              <w:rPr>
                <w:b/>
                <w:sz w:val="18"/>
              </w:rPr>
              <w:t>Cohorts FDR&lt;0.05</w:t>
            </w:r>
          </w:p>
        </w:tc>
        <w:tc>
          <w:tcPr>
            <w:tcW w:type="dxa" w:w="1728"/>
            <w:shd w:val="clear" w:fill="D9D9D9"/>
          </w:tcPr>
          <w:p>
            <w:r/>
            <w:r>
              <w:rPr>
                <w:b/>
                <w:sz w:val="18"/>
              </w:rPr>
              <w:t>Direction</w:t>
            </w:r>
          </w:p>
        </w:tc>
      </w:tr>
      <w:tr>
        <w:tc>
          <w:tcPr>
            <w:tcW w:type="dxa" w:w="792"/>
          </w:tcPr>
          <w:p>
            <w:r/>
            <w:r>
              <w:rPr>
                <w:sz w:val="18"/>
              </w:rPr>
              <w:t>CAMP</w:t>
            </w:r>
          </w:p>
        </w:tc>
        <w:tc>
          <w:tcPr>
            <w:tcW w:type="dxa" w:w="1368"/>
          </w:tcPr>
          <w:p>
            <w:r/>
            <w:r>
              <w:rPr>
                <w:sz w:val="18"/>
              </w:rPr>
              <w:t>−0.056</w:t>
            </w:r>
          </w:p>
        </w:tc>
        <w:tc>
          <w:tcPr>
            <w:tcW w:type="dxa" w:w="1368"/>
          </w:tcPr>
          <w:p>
            <w:r/>
            <w:r>
              <w:rPr>
                <w:sz w:val="18"/>
              </w:rPr>
              <w:t>−0.459</w:t>
            </w:r>
          </w:p>
        </w:tc>
        <w:tc>
          <w:tcPr>
            <w:tcW w:type="dxa" w:w="1368"/>
          </w:tcPr>
          <w:p>
            <w:r/>
            <w:r>
              <w:rPr>
                <w:sz w:val="18"/>
              </w:rPr>
              <w:t>−0.457</w:t>
            </w:r>
          </w:p>
        </w:tc>
        <w:tc>
          <w:tcPr>
            <w:tcW w:type="dxa" w:w="1368"/>
          </w:tcPr>
          <w:p>
            <w:r/>
            <w:r>
              <w:rPr>
                <w:sz w:val="18"/>
              </w:rPr>
              <w:t>−0.529</w:t>
            </w:r>
          </w:p>
        </w:tc>
        <w:tc>
          <w:tcPr>
            <w:tcW w:type="dxa" w:w="1368"/>
          </w:tcPr>
          <w:p>
            <w:r/>
            <w:r>
              <w:rPr>
                <w:sz w:val="18"/>
              </w:rPr>
              <w:t>3/4</w:t>
            </w:r>
          </w:p>
        </w:tc>
        <w:tc>
          <w:tcPr>
            <w:tcW w:type="dxa" w:w="1728"/>
          </w:tcPr>
          <w:p>
            <w:r/>
            <w:r>
              <w:rPr>
                <w:sz w:val="18"/>
              </w:rPr>
              <w:t>Consistent (all −)</w:t>
            </w:r>
          </w:p>
        </w:tc>
      </w:tr>
      <w:tr>
        <w:tc>
          <w:tcPr>
            <w:tcW w:type="dxa" w:w="792"/>
          </w:tcPr>
          <w:p>
            <w:r/>
            <w:r>
              <w:rPr>
                <w:sz w:val="18"/>
              </w:rPr>
              <w:t>MPO</w:t>
            </w:r>
          </w:p>
        </w:tc>
        <w:tc>
          <w:tcPr>
            <w:tcW w:type="dxa" w:w="1368"/>
          </w:tcPr>
          <w:p>
            <w:r/>
            <w:r>
              <w:rPr>
                <w:sz w:val="18"/>
              </w:rPr>
              <w:t>−0.025</w:t>
            </w:r>
          </w:p>
        </w:tc>
        <w:tc>
          <w:tcPr>
            <w:tcW w:type="dxa" w:w="1368"/>
          </w:tcPr>
          <w:p>
            <w:r/>
            <w:r>
              <w:rPr>
                <w:sz w:val="18"/>
              </w:rPr>
              <w:t>−0.277</w:t>
            </w:r>
          </w:p>
        </w:tc>
        <w:tc>
          <w:tcPr>
            <w:tcW w:type="dxa" w:w="1368"/>
          </w:tcPr>
          <w:p>
            <w:r/>
            <w:r>
              <w:rPr>
                <w:sz w:val="18"/>
              </w:rPr>
              <w:t>−0.320</w:t>
            </w:r>
          </w:p>
        </w:tc>
        <w:tc>
          <w:tcPr>
            <w:tcW w:type="dxa" w:w="1368"/>
          </w:tcPr>
          <w:p>
            <w:r/>
            <w:r>
              <w:rPr>
                <w:sz w:val="18"/>
              </w:rPr>
              <w:t>−0.412</w:t>
            </w:r>
          </w:p>
        </w:tc>
        <w:tc>
          <w:tcPr>
            <w:tcW w:type="dxa" w:w="1368"/>
          </w:tcPr>
          <w:p>
            <w:r/>
            <w:r>
              <w:rPr>
                <w:sz w:val="18"/>
              </w:rPr>
              <w:t>3/4</w:t>
            </w:r>
          </w:p>
        </w:tc>
        <w:tc>
          <w:tcPr>
            <w:tcW w:type="dxa" w:w="1728"/>
          </w:tcPr>
          <w:p>
            <w:r/>
            <w:r>
              <w:rPr>
                <w:sz w:val="18"/>
              </w:rPr>
              <w:t>Consistent (all −)</w:t>
            </w:r>
          </w:p>
        </w:tc>
      </w:tr>
      <w:tr>
        <w:tc>
          <w:tcPr>
            <w:tcW w:type="dxa" w:w="792"/>
          </w:tcPr>
          <w:p>
            <w:r/>
            <w:r>
              <w:rPr>
                <w:sz w:val="18"/>
              </w:rPr>
              <w:t>DEFA4</w:t>
            </w:r>
          </w:p>
        </w:tc>
        <w:tc>
          <w:tcPr>
            <w:tcW w:type="dxa" w:w="1368"/>
          </w:tcPr>
          <w:p>
            <w:r/>
            <w:r>
              <w:rPr>
                <w:sz w:val="18"/>
              </w:rPr>
              <w:t>−0.090</w:t>
            </w:r>
          </w:p>
        </w:tc>
        <w:tc>
          <w:tcPr>
            <w:tcW w:type="dxa" w:w="1368"/>
          </w:tcPr>
          <w:p>
            <w:r/>
            <w:r>
              <w:rPr>
                <w:sz w:val="18"/>
              </w:rPr>
              <w:t>−0.337</w:t>
            </w:r>
          </w:p>
        </w:tc>
        <w:tc>
          <w:tcPr>
            <w:tcW w:type="dxa" w:w="1368"/>
          </w:tcPr>
          <w:p>
            <w:r/>
            <w:r>
              <w:rPr>
                <w:sz w:val="18"/>
              </w:rPr>
              <w:t>−0.328</w:t>
            </w:r>
          </w:p>
        </w:tc>
        <w:tc>
          <w:tcPr>
            <w:tcW w:type="dxa" w:w="1368"/>
          </w:tcPr>
          <w:p>
            <w:r/>
            <w:r>
              <w:rPr>
                <w:sz w:val="18"/>
              </w:rPr>
              <w:t>−0.097</w:t>
            </w:r>
          </w:p>
        </w:tc>
        <w:tc>
          <w:tcPr>
            <w:tcW w:type="dxa" w:w="1368"/>
          </w:tcPr>
          <w:p>
            <w:r/>
            <w:r>
              <w:rPr>
                <w:sz w:val="18"/>
              </w:rPr>
              <w:t>2/4</w:t>
            </w:r>
          </w:p>
        </w:tc>
        <w:tc>
          <w:tcPr>
            <w:tcW w:type="dxa" w:w="1728"/>
          </w:tcPr>
          <w:p>
            <w:r/>
            <w:r>
              <w:rPr>
                <w:sz w:val="18"/>
              </w:rPr>
              <w:t>Consistent (all −)</w:t>
            </w:r>
          </w:p>
        </w:tc>
      </w:tr>
      <w:tr>
        <w:tc>
          <w:tcPr>
            <w:tcW w:type="dxa" w:w="792"/>
          </w:tcPr>
          <w:p>
            <w:r/>
            <w:r>
              <w:rPr>
                <w:sz w:val="18"/>
              </w:rPr>
              <w:t>PADI4</w:t>
            </w:r>
          </w:p>
        </w:tc>
        <w:tc>
          <w:tcPr>
            <w:tcW w:type="dxa" w:w="1368"/>
          </w:tcPr>
          <w:p>
            <w:r/>
            <w:r>
              <w:rPr>
                <w:sz w:val="18"/>
              </w:rPr>
              <w:t>−0.120</w:t>
            </w:r>
          </w:p>
        </w:tc>
        <w:tc>
          <w:tcPr>
            <w:tcW w:type="dxa" w:w="1368"/>
          </w:tcPr>
          <w:p>
            <w:r/>
            <w:r>
              <w:rPr>
                <w:sz w:val="18"/>
              </w:rPr>
              <w:t>−0.496</w:t>
            </w:r>
          </w:p>
        </w:tc>
        <w:tc>
          <w:tcPr>
            <w:tcW w:type="dxa" w:w="1368"/>
          </w:tcPr>
          <w:p>
            <w:r/>
            <w:r>
              <w:rPr>
                <w:sz w:val="18"/>
              </w:rPr>
              <w:t>−0.205</w:t>
            </w:r>
          </w:p>
        </w:tc>
        <w:tc>
          <w:tcPr>
            <w:tcW w:type="dxa" w:w="1368"/>
          </w:tcPr>
          <w:p>
            <w:r/>
            <w:r>
              <w:rPr>
                <w:sz w:val="18"/>
              </w:rPr>
              <w:t>+0.181</w:t>
            </w:r>
          </w:p>
        </w:tc>
        <w:tc>
          <w:tcPr>
            <w:tcW w:type="dxa" w:w="1368"/>
          </w:tcPr>
          <w:p>
            <w:r/>
            <w:r>
              <w:rPr>
                <w:sz w:val="18"/>
              </w:rPr>
              <w:t>2/4</w:t>
            </w:r>
          </w:p>
        </w:tc>
        <w:tc>
          <w:tcPr>
            <w:tcW w:type="dxa" w:w="1728"/>
          </w:tcPr>
          <w:p>
            <w:r/>
            <w:r>
              <w:rPr>
                <w:sz w:val="18"/>
              </w:rPr>
              <w:t>3 neg / 1 pos (n.s.)</w:t>
            </w:r>
          </w:p>
        </w:tc>
      </w:tr>
      <w:tr>
        <w:tc>
          <w:tcPr>
            <w:tcW w:type="dxa" w:w="792"/>
          </w:tcPr>
          <w:p>
            <w:r/>
            <w:r>
              <w:rPr>
                <w:sz w:val="18"/>
              </w:rPr>
              <w:t>ELANE</w:t>
            </w:r>
          </w:p>
        </w:tc>
        <w:tc>
          <w:tcPr>
            <w:tcW w:type="dxa" w:w="1368"/>
          </w:tcPr>
          <w:p>
            <w:r/>
            <w:r>
              <w:rPr>
                <w:sz w:val="18"/>
              </w:rPr>
              <w:t>−0.192</w:t>
            </w:r>
          </w:p>
        </w:tc>
        <w:tc>
          <w:tcPr>
            <w:tcW w:type="dxa" w:w="1368"/>
          </w:tcPr>
          <w:p>
            <w:r/>
            <w:r>
              <w:rPr>
                <w:sz w:val="18"/>
              </w:rPr>
              <w:t>−0.422</w:t>
            </w:r>
          </w:p>
        </w:tc>
        <w:tc>
          <w:tcPr>
            <w:tcW w:type="dxa" w:w="1368"/>
          </w:tcPr>
          <w:p>
            <w:r/>
            <w:r>
              <w:rPr>
                <w:sz w:val="18"/>
              </w:rPr>
              <w:t>−0.348</w:t>
            </w:r>
          </w:p>
        </w:tc>
        <w:tc>
          <w:tcPr>
            <w:tcW w:type="dxa" w:w="1368"/>
          </w:tcPr>
          <w:p>
            <w:r/>
            <w:r>
              <w:rPr>
                <w:sz w:val="18"/>
              </w:rPr>
              <w:t>+0.075</w:t>
            </w:r>
          </w:p>
        </w:tc>
        <w:tc>
          <w:tcPr>
            <w:tcW w:type="dxa" w:w="1368"/>
          </w:tcPr>
          <w:p>
            <w:r/>
            <w:r>
              <w:rPr>
                <w:sz w:val="18"/>
              </w:rPr>
              <w:t>3/4</w:t>
            </w:r>
          </w:p>
        </w:tc>
        <w:tc>
          <w:tcPr>
            <w:tcW w:type="dxa" w:w="1728"/>
          </w:tcPr>
          <w:p>
            <w:r/>
            <w:r>
              <w:rPr>
                <w:sz w:val="18"/>
              </w:rPr>
              <w:t>3 neg / 1 pos (n.s.)</w:t>
            </w:r>
          </w:p>
        </w:tc>
      </w:tr>
    </w:tbl>
    <w:p>
      <w:pPr>
        <w:spacing w:after="40"/>
      </w:pPr>
    </w:p>
    <w:p>
      <w:pPr>
        <w:pStyle w:val="Heading2"/>
      </w:pPr>
      <w:r>
        <w:t>3.4 No existing in silico evidence supports HSF2 as a direct positive regulator of these genes</w:t>
      </w:r>
    </w:p>
    <w:p>
      <w:r>
        <w:t>Querying ChEA3 with the consistently associated gene set (PADI4, ELANE, MPO, CAMP, DEFA4), the organ-divergent gene set, and the NETosis-core panel alone, HSF2 did not rank among the top candidate regulators in any of the eight ChEA3 evidence libraries for any query (Table 5). Where HSF2 was returned at all, its rank fell in approximately the bottom 10% of all ranked transcription factors (e.g., Integrated mean rank 1444 of 1632 for the consistent gene set), with zero gene overlap (intersect = 0) and an odds ratio of 0 in every co-expression-based library. HSF2 was not returned at all by the ENCODE ChIP-seq, ReMap ChIP-seq, or Literature ChIP-seq libraries for any of the three queries. This absence of supporting evidence is consistent with two non-exclusive possibilities: (i) ChEA3's co-expression-based libraries are structurally unable to detect a negative/repressive regulatory relationship of the kind observed here, and (ii) this specific regulatory axis has not previously been characterized in the public ChIP-seq and functional genomics literature. Full results for all three queried gene sets across all eight ChEA3 libraries are provided in Supplementary Table S3.</w:t>
      </w:r>
    </w:p>
    <w:p>
      <w:pPr>
        <w:pStyle w:val="Heading3"/>
      </w:pPr>
      <w:r>
        <w:t>Table 5. ChEA3 in silico enrichment: HSF2 rank summary (consistent gene set query; full results for all 3 queries: Supplementary Table S3).</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592"/>
            <w:shd w:val="clear" w:fill="D9D9D9"/>
          </w:tcPr>
          <w:p>
            <w:r/>
            <w:r>
              <w:rPr>
                <w:b/>
                <w:sz w:val="18"/>
              </w:rPr>
              <w:t>Library</w:t>
            </w:r>
          </w:p>
        </w:tc>
        <w:tc>
          <w:tcPr>
            <w:tcW w:type="dxa" w:w="1872"/>
            <w:shd w:val="clear" w:fill="D9D9D9"/>
          </w:tcPr>
          <w:p>
            <w:r/>
            <w:r>
              <w:rPr>
                <w:b/>
                <w:sz w:val="18"/>
              </w:rPr>
              <w:t>HSF2 rank</w:t>
            </w:r>
          </w:p>
        </w:tc>
        <w:tc>
          <w:tcPr>
            <w:tcW w:type="dxa" w:w="1872"/>
            <w:shd w:val="clear" w:fill="D9D9D9"/>
          </w:tcPr>
          <w:p>
            <w:r/>
            <w:r>
              <w:rPr>
                <w:b/>
                <w:sz w:val="18"/>
              </w:rPr>
              <w:t>Total TFs ranked</w:t>
            </w:r>
          </w:p>
        </w:tc>
        <w:tc>
          <w:tcPr>
            <w:tcW w:type="dxa" w:w="2304"/>
            <w:shd w:val="clear" w:fill="D9D9D9"/>
          </w:tcPr>
          <w:p>
            <w:r/>
            <w:r>
              <w:rPr>
                <w:b/>
                <w:sz w:val="18"/>
              </w:rPr>
              <w:t>Gene overlap (intersect)</w:t>
            </w:r>
          </w:p>
        </w:tc>
      </w:tr>
      <w:tr>
        <w:tc>
          <w:tcPr>
            <w:tcW w:type="dxa" w:w="2592"/>
          </w:tcPr>
          <w:p>
            <w:r/>
            <w:r>
              <w:rPr>
                <w:sz w:val="18"/>
              </w:rPr>
              <w:t>Integrated — mean rank</w:t>
            </w:r>
          </w:p>
        </w:tc>
        <w:tc>
          <w:tcPr>
            <w:tcW w:type="dxa" w:w="1872"/>
          </w:tcPr>
          <w:p>
            <w:r/>
            <w:r>
              <w:rPr>
                <w:sz w:val="18"/>
              </w:rPr>
              <w:t>1444</w:t>
            </w:r>
          </w:p>
        </w:tc>
        <w:tc>
          <w:tcPr>
            <w:tcW w:type="dxa" w:w="1872"/>
          </w:tcPr>
          <w:p>
            <w:r/>
            <w:r>
              <w:rPr>
                <w:sz w:val="18"/>
              </w:rPr>
              <w:t>1632</w:t>
            </w:r>
          </w:p>
        </w:tc>
        <w:tc>
          <w:tcPr>
            <w:tcW w:type="dxa" w:w="2304"/>
          </w:tcPr>
          <w:p>
            <w:r/>
            <w:r>
              <w:rPr>
                <w:sz w:val="18"/>
              </w:rPr>
              <w:t>—</w:t>
            </w:r>
          </w:p>
        </w:tc>
      </w:tr>
      <w:tr>
        <w:tc>
          <w:tcPr>
            <w:tcW w:type="dxa" w:w="2592"/>
          </w:tcPr>
          <w:p>
            <w:r/>
            <w:r>
              <w:rPr>
                <w:sz w:val="18"/>
              </w:rPr>
              <w:t>Integrated — top rank</w:t>
            </w:r>
          </w:p>
        </w:tc>
        <w:tc>
          <w:tcPr>
            <w:tcW w:type="dxa" w:w="1872"/>
          </w:tcPr>
          <w:p>
            <w:r/>
            <w:r>
              <w:rPr>
                <w:sz w:val="18"/>
              </w:rPr>
              <w:t>1383</w:t>
            </w:r>
          </w:p>
        </w:tc>
        <w:tc>
          <w:tcPr>
            <w:tcW w:type="dxa" w:w="1872"/>
          </w:tcPr>
          <w:p>
            <w:r/>
            <w:r>
              <w:rPr>
                <w:sz w:val="18"/>
              </w:rPr>
              <w:t>1632</w:t>
            </w:r>
          </w:p>
        </w:tc>
        <w:tc>
          <w:tcPr>
            <w:tcW w:type="dxa" w:w="2304"/>
          </w:tcPr>
          <w:p>
            <w:r/>
            <w:r>
              <w:rPr>
                <w:sz w:val="18"/>
              </w:rPr>
              <w:t>—</w:t>
            </w:r>
          </w:p>
        </w:tc>
      </w:tr>
      <w:tr>
        <w:tc>
          <w:tcPr>
            <w:tcW w:type="dxa" w:w="2592"/>
          </w:tcPr>
          <w:p>
            <w:r/>
            <w:r>
              <w:rPr>
                <w:sz w:val="18"/>
              </w:rPr>
              <w:t>GTEx co-expression</w:t>
            </w:r>
          </w:p>
        </w:tc>
        <w:tc>
          <w:tcPr>
            <w:tcW w:type="dxa" w:w="1872"/>
          </w:tcPr>
          <w:p>
            <w:r/>
            <w:r>
              <w:rPr>
                <w:sz w:val="18"/>
              </w:rPr>
              <w:t>1417</w:t>
            </w:r>
          </w:p>
        </w:tc>
        <w:tc>
          <w:tcPr>
            <w:tcW w:type="dxa" w:w="1872"/>
          </w:tcPr>
          <w:p>
            <w:r/>
            <w:r>
              <w:rPr>
                <w:sz w:val="18"/>
              </w:rPr>
              <w:t>1607</w:t>
            </w:r>
          </w:p>
        </w:tc>
        <w:tc>
          <w:tcPr>
            <w:tcW w:type="dxa" w:w="2304"/>
          </w:tcPr>
          <w:p>
            <w:r/>
            <w:r>
              <w:rPr>
                <w:sz w:val="18"/>
              </w:rPr>
              <w:t>0</w:t>
            </w:r>
          </w:p>
        </w:tc>
      </w:tr>
      <w:tr>
        <w:tc>
          <w:tcPr>
            <w:tcW w:type="dxa" w:w="2592"/>
          </w:tcPr>
          <w:p>
            <w:r/>
            <w:r>
              <w:rPr>
                <w:sz w:val="18"/>
              </w:rPr>
              <w:t>Enrichr Queries</w:t>
            </w:r>
          </w:p>
        </w:tc>
        <w:tc>
          <w:tcPr>
            <w:tcW w:type="dxa" w:w="1872"/>
          </w:tcPr>
          <w:p>
            <w:r/>
            <w:r>
              <w:rPr>
                <w:sz w:val="18"/>
              </w:rPr>
              <w:t>695</w:t>
            </w:r>
          </w:p>
        </w:tc>
        <w:tc>
          <w:tcPr>
            <w:tcW w:type="dxa" w:w="1872"/>
          </w:tcPr>
          <w:p>
            <w:r/>
            <w:r>
              <w:rPr>
                <w:sz w:val="18"/>
              </w:rPr>
              <w:t>1404</w:t>
            </w:r>
          </w:p>
        </w:tc>
        <w:tc>
          <w:tcPr>
            <w:tcW w:type="dxa" w:w="2304"/>
          </w:tcPr>
          <w:p>
            <w:r/>
            <w:r>
              <w:rPr>
                <w:sz w:val="18"/>
              </w:rPr>
              <w:t>0</w:t>
            </w:r>
          </w:p>
        </w:tc>
      </w:tr>
      <w:tr>
        <w:tc>
          <w:tcPr>
            <w:tcW w:type="dxa" w:w="2592"/>
          </w:tcPr>
          <w:p>
            <w:r/>
            <w:r>
              <w:rPr>
                <w:sz w:val="18"/>
              </w:rPr>
              <w:t>ARCHS4 co-expression</w:t>
            </w:r>
          </w:p>
        </w:tc>
        <w:tc>
          <w:tcPr>
            <w:tcW w:type="dxa" w:w="1872"/>
          </w:tcPr>
          <w:p>
            <w:r/>
            <w:r>
              <w:rPr>
                <w:sz w:val="18"/>
              </w:rPr>
              <w:t>1209</w:t>
            </w:r>
          </w:p>
        </w:tc>
        <w:tc>
          <w:tcPr>
            <w:tcW w:type="dxa" w:w="1872"/>
          </w:tcPr>
          <w:p>
            <w:r/>
            <w:r>
              <w:rPr>
                <w:sz w:val="18"/>
              </w:rPr>
              <w:t>1628</w:t>
            </w:r>
          </w:p>
        </w:tc>
        <w:tc>
          <w:tcPr>
            <w:tcW w:type="dxa" w:w="2304"/>
          </w:tcPr>
          <w:p>
            <w:r/>
            <w:r>
              <w:rPr>
                <w:sz w:val="18"/>
              </w:rPr>
              <w:t>0</w:t>
            </w:r>
          </w:p>
        </w:tc>
      </w:tr>
      <w:tr>
        <w:tc>
          <w:tcPr>
            <w:tcW w:type="dxa" w:w="2592"/>
          </w:tcPr>
          <w:p>
            <w:r/>
            <w:r>
              <w:rPr>
                <w:sz w:val="18"/>
              </w:rPr>
              <w:t>ENCODE ChIP-seq</w:t>
            </w:r>
          </w:p>
        </w:tc>
        <w:tc>
          <w:tcPr>
            <w:tcW w:type="dxa" w:w="1872"/>
          </w:tcPr>
          <w:p>
            <w:r/>
            <w:r>
              <w:rPr>
                <w:sz w:val="18"/>
              </w:rPr>
              <w:t>not returned</w:t>
            </w:r>
          </w:p>
        </w:tc>
        <w:tc>
          <w:tcPr>
            <w:tcW w:type="dxa" w:w="1872"/>
          </w:tcPr>
          <w:p>
            <w:r/>
            <w:r>
              <w:rPr>
                <w:sz w:val="18"/>
              </w:rPr>
              <w:t>118</w:t>
            </w:r>
          </w:p>
        </w:tc>
        <w:tc>
          <w:tcPr>
            <w:tcW w:type="dxa" w:w="2304"/>
          </w:tcPr>
          <w:p>
            <w:r/>
            <w:r>
              <w:rPr>
                <w:sz w:val="18"/>
              </w:rPr>
              <w:t>—</w:t>
            </w:r>
          </w:p>
        </w:tc>
      </w:tr>
      <w:tr>
        <w:tc>
          <w:tcPr>
            <w:tcW w:type="dxa" w:w="2592"/>
          </w:tcPr>
          <w:p>
            <w:r/>
            <w:r>
              <w:rPr>
                <w:sz w:val="18"/>
              </w:rPr>
              <w:t>ReMap ChIP-seq</w:t>
            </w:r>
          </w:p>
        </w:tc>
        <w:tc>
          <w:tcPr>
            <w:tcW w:type="dxa" w:w="1872"/>
          </w:tcPr>
          <w:p>
            <w:r/>
            <w:r>
              <w:rPr>
                <w:sz w:val="18"/>
              </w:rPr>
              <w:t>not returned</w:t>
            </w:r>
          </w:p>
        </w:tc>
        <w:tc>
          <w:tcPr>
            <w:tcW w:type="dxa" w:w="1872"/>
          </w:tcPr>
          <w:p>
            <w:r/>
            <w:r>
              <w:rPr>
                <w:sz w:val="18"/>
              </w:rPr>
              <w:t>297</w:t>
            </w:r>
          </w:p>
        </w:tc>
        <w:tc>
          <w:tcPr>
            <w:tcW w:type="dxa" w:w="2304"/>
          </w:tcPr>
          <w:p>
            <w:r/>
            <w:r>
              <w:rPr>
                <w:sz w:val="18"/>
              </w:rPr>
              <w:t>—</w:t>
            </w:r>
          </w:p>
        </w:tc>
      </w:tr>
      <w:tr>
        <w:tc>
          <w:tcPr>
            <w:tcW w:type="dxa" w:w="2592"/>
          </w:tcPr>
          <w:p>
            <w:r/>
            <w:r>
              <w:rPr>
                <w:sz w:val="18"/>
              </w:rPr>
              <w:t>Literature ChIP-seq</w:t>
            </w:r>
          </w:p>
        </w:tc>
        <w:tc>
          <w:tcPr>
            <w:tcW w:type="dxa" w:w="1872"/>
          </w:tcPr>
          <w:p>
            <w:r/>
            <w:r>
              <w:rPr>
                <w:sz w:val="18"/>
              </w:rPr>
              <w:t>not returned</w:t>
            </w:r>
          </w:p>
        </w:tc>
        <w:tc>
          <w:tcPr>
            <w:tcW w:type="dxa" w:w="1872"/>
          </w:tcPr>
          <w:p>
            <w:r/>
            <w:r>
              <w:rPr>
                <w:sz w:val="18"/>
              </w:rPr>
              <w:t>164</w:t>
            </w:r>
          </w:p>
        </w:tc>
        <w:tc>
          <w:tcPr>
            <w:tcW w:type="dxa" w:w="2304"/>
          </w:tcPr>
          <w:p>
            <w:r/>
            <w:r>
              <w:rPr>
                <w:sz w:val="18"/>
              </w:rPr>
              <w:t>—</w:t>
            </w:r>
          </w:p>
        </w:tc>
      </w:tr>
    </w:tbl>
    <w:p>
      <w:pPr>
        <w:spacing w:after="40"/>
      </w:pPr>
    </w:p>
    <w:p>
      <w:pPr>
        <w:pStyle w:val="Heading2"/>
      </w:pPr>
      <w:r>
        <w:t>3.5 Exploratory analysis of HSF2 and response to HCC immune-checkpoint-inhibitor therapy</w:t>
      </w:r>
    </w:p>
    <w:p>
      <w:r>
        <w:t>Because HSF2 has previously been reported to correlate positively with immune-checkpoint gene expression in HCC (11), we performed an exploratory analysis of whether tumor HSF2 expression associates with clinical response to ICI therapy, using three independent cohorts with different regimens (Table 6, Figure 2). In GSE215011 (nivolumab monotherapy, n = 5 responders/5 non-responders), HSF2 did not differ significantly between groups (rank-biserial r = 0.44, p = 0.30). In GSE279750 (anti-PD-L1-based combination, post-treatment, n = 6/4), HSF2 was significantly lower in responders (r = −0.92, p = 0.025). In GSE235863 (anti-PD-1 plus lenvatinib, post-treatment, n = 11/4), HSF2 was also significantly lower in responders (r = −0.73, p = 0.043). A random-effects meta-analysis of all three cohorts was not significant (pooled r = −0.59, 95% CI −0.94 to 0.39, p = 0.22), with high heterogeneity (I² = 87.1%) driven by the opposite-direction, non-significant estimate from the monotherapy cohort. Given the small sample sizes (total n = 35 across three cohorts), differing regimens, and differing sampling timepoints (baseline versus post-treatment), this analysis is reported as an unresolved, hypothesis-generating lead rather than a confirmed finding. Full per-cohort sample-level data, group comparisons, and HSF2-vs-NET_core correlations are provided in Supplementary Tables S4; the underlying per-cohort scatter plots and boxplots are provided in Supplementary Figures S9–S15.</w:t>
      </w:r>
    </w:p>
    <w:p>
      <w:pPr>
        <w:pStyle w:val="Heading3"/>
      </w:pPr>
      <w:r>
        <w:t>Table 6. HCC immune-checkpoint-inhibitor cohorts: HSF2, responder vs. non-responder.</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584"/>
            <w:shd w:val="clear" w:fill="D9D9D9"/>
          </w:tcPr>
          <w:p>
            <w:r/>
            <w:r>
              <w:rPr>
                <w:b/>
                <w:sz w:val="18"/>
              </w:rPr>
              <w:t>Cohort</w:t>
            </w:r>
          </w:p>
        </w:tc>
        <w:tc>
          <w:tcPr>
            <w:tcW w:type="dxa" w:w="3168"/>
            <w:shd w:val="clear" w:fill="D9D9D9"/>
          </w:tcPr>
          <w:p>
            <w:r/>
            <w:r>
              <w:rPr>
                <w:b/>
                <w:sz w:val="18"/>
              </w:rPr>
              <w:t>Regimen</w:t>
            </w:r>
          </w:p>
        </w:tc>
        <w:tc>
          <w:tcPr>
            <w:tcW w:type="dxa" w:w="1152"/>
            <w:shd w:val="clear" w:fill="D9D9D9"/>
          </w:tcPr>
          <w:p>
            <w:r/>
            <w:r>
              <w:rPr>
                <w:b/>
                <w:sz w:val="18"/>
              </w:rPr>
              <w:t>n (R/NR)</w:t>
            </w:r>
          </w:p>
        </w:tc>
        <w:tc>
          <w:tcPr>
            <w:tcW w:type="dxa" w:w="1584"/>
            <w:shd w:val="clear" w:fill="D9D9D9"/>
          </w:tcPr>
          <w:p>
            <w:r/>
            <w:r>
              <w:rPr>
                <w:b/>
                <w:sz w:val="18"/>
              </w:rPr>
              <w:t>Rank-biserial r</w:t>
            </w:r>
          </w:p>
        </w:tc>
        <w:tc>
          <w:tcPr>
            <w:tcW w:type="dxa" w:w="1728"/>
            <w:shd w:val="clear" w:fill="D9D9D9"/>
          </w:tcPr>
          <w:p>
            <w:r/>
            <w:r>
              <w:rPr>
                <w:b/>
                <w:sz w:val="18"/>
              </w:rPr>
              <w:t>p</w:t>
            </w:r>
          </w:p>
        </w:tc>
      </w:tr>
      <w:tr>
        <w:tc>
          <w:tcPr>
            <w:tcW w:type="dxa" w:w="1584"/>
          </w:tcPr>
          <w:p>
            <w:r/>
            <w:r>
              <w:rPr>
                <w:sz w:val="18"/>
              </w:rPr>
              <w:t>GSE215011</w:t>
            </w:r>
          </w:p>
        </w:tc>
        <w:tc>
          <w:tcPr>
            <w:tcW w:type="dxa" w:w="3168"/>
          </w:tcPr>
          <w:p>
            <w:r/>
            <w:r>
              <w:rPr>
                <w:sz w:val="18"/>
              </w:rPr>
              <w:t>anti-PD-1 monotherapy (nivolumab)</w:t>
            </w:r>
          </w:p>
        </w:tc>
        <w:tc>
          <w:tcPr>
            <w:tcW w:type="dxa" w:w="1152"/>
          </w:tcPr>
          <w:p>
            <w:r/>
            <w:r>
              <w:rPr>
                <w:sz w:val="18"/>
              </w:rPr>
              <w:t>5/5</w:t>
            </w:r>
          </w:p>
        </w:tc>
        <w:tc>
          <w:tcPr>
            <w:tcW w:type="dxa" w:w="1584"/>
          </w:tcPr>
          <w:p>
            <w:r/>
            <w:r>
              <w:rPr>
                <w:sz w:val="18"/>
              </w:rPr>
              <w:t>0.44</w:t>
            </w:r>
          </w:p>
        </w:tc>
        <w:tc>
          <w:tcPr>
            <w:tcW w:type="dxa" w:w="1728"/>
          </w:tcPr>
          <w:p>
            <w:r/>
            <w:r>
              <w:rPr>
                <w:sz w:val="18"/>
              </w:rPr>
              <w:t>0.30</w:t>
            </w:r>
          </w:p>
        </w:tc>
      </w:tr>
      <w:tr>
        <w:tc>
          <w:tcPr>
            <w:tcW w:type="dxa" w:w="1584"/>
          </w:tcPr>
          <w:p>
            <w:r/>
            <w:r>
              <w:rPr>
                <w:sz w:val="18"/>
              </w:rPr>
              <w:t>GSE279750</w:t>
            </w:r>
          </w:p>
        </w:tc>
        <w:tc>
          <w:tcPr>
            <w:tcW w:type="dxa" w:w="3168"/>
          </w:tcPr>
          <w:p>
            <w:r/>
            <w:r>
              <w:rPr>
                <w:sz w:val="18"/>
              </w:rPr>
              <w:t>anti-PD-L1 combination, post-tx</w:t>
            </w:r>
          </w:p>
        </w:tc>
        <w:tc>
          <w:tcPr>
            <w:tcW w:type="dxa" w:w="1152"/>
          </w:tcPr>
          <w:p>
            <w:r/>
            <w:r>
              <w:rPr>
                <w:sz w:val="18"/>
              </w:rPr>
              <w:t>6/4</w:t>
            </w:r>
          </w:p>
        </w:tc>
        <w:tc>
          <w:tcPr>
            <w:tcW w:type="dxa" w:w="1584"/>
          </w:tcPr>
          <w:p>
            <w:r/>
            <w:r>
              <w:rPr>
                <w:sz w:val="18"/>
              </w:rPr>
              <w:t>−0.92</w:t>
            </w:r>
          </w:p>
        </w:tc>
        <w:tc>
          <w:tcPr>
            <w:tcW w:type="dxa" w:w="1728"/>
          </w:tcPr>
          <w:p>
            <w:r/>
            <w:r>
              <w:rPr>
                <w:sz w:val="18"/>
              </w:rPr>
              <w:t>0.025</w:t>
            </w:r>
          </w:p>
        </w:tc>
      </w:tr>
      <w:tr>
        <w:tc>
          <w:tcPr>
            <w:tcW w:type="dxa" w:w="1584"/>
          </w:tcPr>
          <w:p>
            <w:r/>
            <w:r>
              <w:rPr>
                <w:sz w:val="18"/>
              </w:rPr>
              <w:t>GSE235863</w:t>
            </w:r>
          </w:p>
        </w:tc>
        <w:tc>
          <w:tcPr>
            <w:tcW w:type="dxa" w:w="3168"/>
          </w:tcPr>
          <w:p>
            <w:r/>
            <w:r>
              <w:rPr>
                <w:sz w:val="18"/>
              </w:rPr>
              <w:t>anti-PD-1 + lenvatinib combo, post-tx</w:t>
            </w:r>
          </w:p>
        </w:tc>
        <w:tc>
          <w:tcPr>
            <w:tcW w:type="dxa" w:w="1152"/>
          </w:tcPr>
          <w:p>
            <w:r/>
            <w:r>
              <w:rPr>
                <w:sz w:val="18"/>
              </w:rPr>
              <w:t>11/4</w:t>
            </w:r>
          </w:p>
        </w:tc>
        <w:tc>
          <w:tcPr>
            <w:tcW w:type="dxa" w:w="1584"/>
          </w:tcPr>
          <w:p>
            <w:r/>
            <w:r>
              <w:rPr>
                <w:sz w:val="18"/>
              </w:rPr>
              <w:t>−0.73</w:t>
            </w:r>
          </w:p>
        </w:tc>
        <w:tc>
          <w:tcPr>
            <w:tcW w:type="dxa" w:w="1728"/>
          </w:tcPr>
          <w:p>
            <w:r/>
            <w:r>
              <w:rPr>
                <w:sz w:val="18"/>
              </w:rPr>
              <w:t>0.043</w:t>
            </w:r>
          </w:p>
        </w:tc>
      </w:tr>
      <w:tr>
        <w:tc>
          <w:tcPr>
            <w:tcW w:type="dxa" w:w="1584"/>
          </w:tcPr>
          <w:p>
            <w:r/>
            <w:r>
              <w:rPr>
                <w:sz w:val="18"/>
              </w:rPr>
              <w:t>Pooled, random-effects</w:t>
            </w:r>
          </w:p>
        </w:tc>
        <w:tc>
          <w:tcPr>
            <w:tcW w:type="dxa" w:w="3168"/>
          </w:tcPr>
          <w:p>
            <w:r/>
            <w:r>
              <w:rPr>
                <w:sz w:val="18"/>
              </w:rPr>
              <w:t>3 cohorts combined</w:t>
            </w:r>
          </w:p>
        </w:tc>
        <w:tc>
          <w:tcPr>
            <w:tcW w:type="dxa" w:w="1152"/>
          </w:tcPr>
          <w:p>
            <w:r/>
            <w:r>
              <w:rPr>
                <w:sz w:val="18"/>
              </w:rPr>
              <w:t>35</w:t>
            </w:r>
          </w:p>
        </w:tc>
        <w:tc>
          <w:tcPr>
            <w:tcW w:type="dxa" w:w="1584"/>
          </w:tcPr>
          <w:p>
            <w:r/>
            <w:r>
              <w:rPr>
                <w:sz w:val="18"/>
              </w:rPr>
              <w:t>−0.59</w:t>
            </w:r>
          </w:p>
        </w:tc>
        <w:tc>
          <w:tcPr>
            <w:tcW w:type="dxa" w:w="1728"/>
          </w:tcPr>
          <w:p>
            <w:r/>
            <w:r>
              <w:rPr>
                <w:sz w:val="18"/>
              </w:rPr>
              <w:t>0.22 (I²=87.1%)</w:t>
            </w:r>
          </w:p>
        </w:tc>
      </w:tr>
    </w:tbl>
    <w:p>
      <w:pPr>
        <w:spacing w:after="40"/>
      </w:pPr>
    </w:p>
    <w:p>
      <w:pPr>
        <w:jc w:val="center"/>
      </w:pPr>
      <w:r>
        <w:drawing>
          <wp:inline xmlns:a="http://schemas.openxmlformats.org/drawingml/2006/main" xmlns:pic="http://schemas.openxmlformats.org/drawingml/2006/picture">
            <wp:extent cx="5486400" cy="3086100"/>
            <wp:docPr id="2" name="Picture 2"/>
            <wp:cNvGraphicFramePr>
              <a:graphicFrameLocks noChangeAspect="1"/>
            </wp:cNvGraphicFramePr>
            <a:graphic>
              <a:graphicData uri="http://schemas.openxmlformats.org/drawingml/2006/picture">
                <pic:pic>
                  <pic:nvPicPr>
                    <pic:cNvPr id="0" name="FOREST_hcc_ICI_HSF2_pooled.png"/>
                    <pic:cNvPicPr/>
                  </pic:nvPicPr>
                  <pic:blipFill>
                    <a:blip r:embed="rId10"/>
                    <a:stretch>
                      <a:fillRect/>
                    </a:stretch>
                  </pic:blipFill>
                  <pic:spPr>
                    <a:xfrm>
                      <a:off x="0" y="0"/>
                      <a:ext cx="5486400" cy="3086100"/>
                    </a:xfrm>
                    <a:prstGeom prst="rect"/>
                  </pic:spPr>
                </pic:pic>
              </a:graphicData>
            </a:graphic>
          </wp:inline>
        </w:drawing>
      </w:r>
    </w:p>
    <w:p>
      <w:pPr>
        <w:spacing w:before="80" w:after="240"/>
      </w:pPr>
      <w:r>
        <w:rPr>
          <w:b/>
          <w:sz w:val="20"/>
        </w:rPr>
        <w:t xml:space="preserve">Figure 2. </w:t>
      </w:r>
      <w:r>
        <w:rPr>
          <w:i/>
          <w:sz w:val="20"/>
        </w:rPr>
        <w:t>Forest plot of tumor HSF2 (responder vs. non-responder, rank-biserial correlation) across three independent HCC immune-checkpoint-inhibitor cohorts and the pooled random-effects estimate. Positive values indicate higher HSF2 in responders. See also Supplementary Figures S9–S15 for the underlying per-cohort scatter plots and boxplots, and Supplementary Tables S4 for full statistics.</w:t>
      </w:r>
    </w:p>
    <w:p>
      <w:pPr>
        <w:pStyle w:val="Heading1"/>
      </w:pPr>
      <w:r>
        <w:t>4. Discussion</w:t>
      </w:r>
    </w:p>
    <w:p>
      <w:r>
        <w:t>This study set out to test, using independent public transcriptomic data, a specific mechanistic prediction that followed from a wet-laboratory pilot observation: that toxicant-induced HSF2 upregulation in neutrophils drives NETosis-associated gene expression, thereby contributing to fibrosis and HCC immune evasion. Contrary to this prediction, HSF2 expression was consistently negatively, not positively, associated with a core NETosis gene signature across four independent cohorts spanning two organs and three expression-profiling platforms, with a statistically significant pooled effect and a pattern that survived a direct specificity control against generic immune infiltration. An in silico search of existing regulatory evidence found no support for HSF2 as a direct positive regulator of these genes in any of eight independent evidence libraries, consistent with this being either a repressive relationship (which co-expression-based enrichment tools are not designed to detect) or a genuinely uncharacterized regulatory axis, or both.</w:t>
      </w:r>
    </w:p>
    <w:p>
      <w:r>
        <w:t>Taken together, these results argue against the specific model in which HSF2 upregulation is a proximal driver of NETosis gene expression, and instead raise the alternative hypothesis that HSF2 may act as a negative regulator of, or be reciprocally regulated with, the NETosis transcriptional program in fibrotic tissue. This alternative is not inherently implausible: HSF2 is known to physically and functionally interact with HSF1 in a manner that can either enhance or repress HSF1-dependent transcription depending on cellular context (8), and context-dependent, even opposing, roles for HSF2 have been documented across other tissues and disease states (tumor-suppressive in prostate cancer, pro-malignant in cooperation with HSF1 in other cancers) (9, 10). The present findings do not contradict prior reports that HSF2 correlates positively with immune-checkpoint gene expression and confers poor prognosis in HCC via an EHMT2-FBP1-glycolysis axis intrinsic to tumor cells (11); rather, they suggest that any relationship between HSF2 and the neutrophil/NETosis compartment of the tumor or fibrotic microenvironment may run in a different, and possibly opposite, direction from HSF2's tumor-intrinsic oncogenic role — two mechanistically distinct axes that could plausibly coexist within the same disease.</w:t>
      </w:r>
    </w:p>
    <w:p>
      <w:r>
        <w:t>This study has several important limitations. First, and most fundamentally, all primary analyses used bulk tissue transcriptomes, which cannot establish which cell type(s) contribute the observed HSF2 or NETosis-gene signal, nor can they establish causal direction; the specificity control against PTPRC argues against a trivial infiltration-dilution explanation but cannot substitute for cell-type-resolved or single-cell data. Second, the analysis is cross-sectional and correlational; longitudinal or interventional data would be required to establish causality. Third, the smallest fibrosis cohort (GSE53845, n = 40) was underpowered and its non-significant result should not be over-interpreted as a true null. Fourth, the exploratory HCC-ICI analysis pooled cohorts that differed in treatment regimen (monotherapy versus combination therapies) and sampling timepoint (unclear versus post-treatment), introducing heterogeneity that likely explains why the pooled estimate did not reach significance despite two of three individual cohorts showing a significant effect; this analysis should be considered hypothesis-generating only. Fifth, the ChEA3 in silico analysis reflects the current state of public ChIP-seq and co-expression data, which is sparse for HSF2 (no ENCODE, ReMap, or literature-curated ChIP-seq data for HSF2 were available in myeloid or hepatic/pulmonary tissue contexts) and is not designed to detect repressive relationships; a null ChEA3 result is therefore evidence of absence of characterization, not evidence of absence of a real regulatory relationship.</w:t>
      </w:r>
    </w:p>
    <w:p>
      <w:r>
        <w:t>These findings directly inform the next stage of this research program. Rather than proceeding on the assumption that HSF2 upregulation will drive N2/NETosis marker expression in PHMG-treated neutrophils, the revised, pre-registered prediction motivated by the present analysis is that HSF2 induction by PHMG will not be accompanied by parallel increases in PADI4, ELANE, MPO, CAMP, and DEFA4 expression or in functional NET release, and may instead be associated with unchanged or reduced expression of these genes. This prediction, together with the standard N1 (iNOS, TNF-α, ICAM-1) and N2 (Arg-1, CD206, IL-10) polarization markers and a direct functional NETosis assay (e.g., extracellular DNA quantification), will be tested directly in isolated murine or human neutrophils across a PHMG dose-and-time matrix, providing a cell-type-resolved test of the hypothesis refined here.</w:t>
      </w:r>
    </w:p>
    <w:p>
      <w:pPr>
        <w:pStyle w:val="Heading1"/>
      </w:pPr>
      <w:r>
        <w:t>5. Conclusion</w:t>
      </w:r>
    </w:p>
    <w:p>
      <w:r>
        <w:t>Across four independent public transcriptomic cohorts spanning liver and lung fibrosis, HSF2 expression was reproducibly and specifically negatively associated with a core NETosis gene signature, contradicting the original hypothesis that toxicant-induced HSF2 upregulation drives NETosis-associated gene expression. No existing in silico regulatory evidence supports a direct positive HSF2-NETosis gene relationship, and an exploratory analysis of HCC immune-checkpoint-inhibitor response cohorts provided an inconclusive, heterogeneity-limited signal warranting further investigation. These results motivate a revised, cell-type-resolved experimental design for the next phase of this research program.</w:t>
      </w:r>
    </w:p>
    <w:p>
      <w:pPr>
        <w:pStyle w:val="Heading1"/>
      </w:pPr>
      <w:r>
        <w:t>Data and Code Availability</w:t>
      </w:r>
    </w:p>
    <w:p>
      <w:r>
        <w:t>All analysis code, the pre-specified statistical plan, intermediate and final result tables, and figures are available in a version-controlled repository (GitHub: bioinform25/project2). Raw data were obtained from the NCBI Gene Expression Omnibus under accession numbers GSE135251, GSE14323, GSE47460, GSE53845, GSE215011, GSE279750, GSE235863, and GSE140901, and are not redistributed in the repository owing to file size; download and reprocessing instructions are provided in the repository README.</w:t>
      </w:r>
    </w:p>
    <w:p>
      <w:pPr>
        <w:pStyle w:val="Heading1"/>
      </w:pPr>
      <w:r>
        <w:t>Supplementary Materials</w:t>
      </w:r>
    </w:p>
    <w:p>
      <w:r>
        <w:t>A companion Supplementary Materials document accompanies this manuscript, organized into five sections: S1, full fibrosis-cohort statistics (primary endpoint with bootstrap CI and leave-one-out sensitivity, meta-analysis, specificity control, and gene detection rates); S2, individual NETosis-panel gene results for each of the four fibrosis cohorts and the full 12-gene cross-cohort consistency table; S3, the complete ChEA3 in silico enrichment output for all three queried gene sets; S4, full statistics for all three HCC immune-checkpoint-inhibitor cohorts; and S5, all cohort-level scatter and boxplot figures not reproduced in the main text (Supplementary Figures S1–S15).</w:t>
      </w:r>
    </w:p>
    <w:p>
      <w:r>
        <w:br w:type="page"/>
      </w:r>
    </w:p>
    <w:p>
      <w:pPr>
        <w:pStyle w:val="Heading1"/>
      </w:pPr>
      <w:r>
        <w:t>References</w:t>
      </w:r>
    </w:p>
    <w:p>
      <w:pPr>
        <w:ind w:left="432" w:hanging="432"/>
      </w:pPr>
      <w:r>
        <w:rPr>
          <w:sz w:val="20"/>
        </w:rPr>
        <w:t>1. Pelizzaro F, Farinati F, Trevisani F. Immune Checkpoint Inhibitors in Hepatocellular Carcinoma: Current Strategies and Biomarkers Predicting Response and/or Resistance. Biomedicines. 2023;11(4):1020.</w:t>
      </w:r>
    </w:p>
    <w:p>
      <w:pPr>
        <w:ind w:left="432" w:hanging="432"/>
      </w:pPr>
      <w:r>
        <w:rPr>
          <w:sz w:val="20"/>
        </w:rPr>
        <w:t>2. Fridlender ZG, Sun J, Kim S, Kapoor V, Cheng G, Ling L, Worthen GS, Albelda SM. Polarization of tumor-associated neutrophil phenotype by TGF-β: “N1” versus “N2” TAN. Cancer Cell. 2009;16(3):183-194.</w:t>
      </w:r>
    </w:p>
    <w:p>
      <w:pPr>
        <w:ind w:left="432" w:hanging="432"/>
      </w:pPr>
      <w:r>
        <w:rPr>
          <w:sz w:val="20"/>
        </w:rPr>
        <w:t>3. Ohms M, Möller S, Laskay T. An Attempt to Polarize Human Neutrophils Toward N1 and N2 Phenotypes in vitro. Front Immunol. 2020;11:532.</w:t>
      </w:r>
    </w:p>
    <w:p>
      <w:pPr>
        <w:ind w:left="432" w:hanging="432"/>
      </w:pPr>
      <w:r>
        <w:rPr>
          <w:sz w:val="20"/>
        </w:rPr>
        <w:t>4. Leshner M, Wang S, Lewis C, Zheng H, Chen XA, Santy L, Wang Y. PAD4 mediated histone hypercitrullination induces heterochromatin decondensation and chromatin unfolding to form neutrophil extracellular trap-like structures. Front Immunol. 2012;3:307.</w:t>
      </w:r>
    </w:p>
    <w:p>
      <w:pPr>
        <w:ind w:left="432" w:hanging="432"/>
      </w:pPr>
      <w:r>
        <w:rPr>
          <w:sz w:val="20"/>
        </w:rPr>
        <w:t>5. Jeong MH, Jeon MS, Kim GE, Kim HR. Polyhexamethylene Guanidine Phosphate Induces Apoptosis through Endoplasmic Reticulum Stress in Lung Epithelial Cells. Int J Mol Sci. 2021;22(3):1215.</w:t>
      </w:r>
    </w:p>
    <w:p>
      <w:pPr>
        <w:ind w:left="432" w:hanging="432"/>
      </w:pPr>
      <w:r>
        <w:rPr>
          <w:sz w:val="20"/>
        </w:rPr>
        <w:t>6. Kang MS, Kim SH, Yang MJ, Kim HY, Kim IH, Kang JW, Choi HS, Jin SW, Park EJ. Polyhexamethylene guanidine phosphate-induced necrosis may be linked to pulmonary fibrosis. Toxicol Lett. 2022;362:1-16.</w:t>
      </w:r>
    </w:p>
    <w:p>
      <w:pPr>
        <w:ind w:left="432" w:hanging="432"/>
      </w:pPr>
      <w:r>
        <w:rPr>
          <w:sz w:val="20"/>
        </w:rPr>
        <w:t>7. Mathew A, Mathur SK, Jolly C, Fox SG, Kim S, Morimoto RI. Stress-Specific Activation and Repression of Heat Shock Factors 1 and 2. Mol Cell Biol. 2001;21(21):7163-7171.</w:t>
      </w:r>
    </w:p>
    <w:p>
      <w:pPr>
        <w:ind w:left="432" w:hanging="432"/>
      </w:pPr>
      <w:r>
        <w:rPr>
          <w:sz w:val="20"/>
        </w:rPr>
        <w:t>8. Sandqvist A, Björk JK, Åkerfelt M, Chitikova Z, Grichine A, Vourc'h C, Jolly C, Salminen TA, Nymalm Y, Sistonen L. Heterotrimerization of Heat-Shock Factors 1 and 2 Provides a Transcriptional Switch in Response to Distinct Stimuli. Mol Biol Cell. 2009;20(5):1340-1347.</w:t>
      </w:r>
    </w:p>
    <w:p>
      <w:pPr>
        <w:ind w:left="432" w:hanging="432"/>
      </w:pPr>
      <w:r>
        <w:rPr>
          <w:sz w:val="20"/>
        </w:rPr>
        <w:t>9. Björk JK, Åkerfelt M, Joutsen J, Puustinen MC, Cheng F, Sistonen L, Nees M. Heat-shock factor 2 is a suppressor of prostate cancer invasion. Oncogene. 2016;35(14):1770-1784.</w:t>
      </w:r>
    </w:p>
    <w:p>
      <w:pPr>
        <w:ind w:left="432" w:hanging="432"/>
      </w:pPr>
      <w:r>
        <w:rPr>
          <w:sz w:val="20"/>
        </w:rPr>
        <w:t>10. Smith RS, Takagishi SR, Amici DR, Metz K, Gayatri S, Alasady MJ, Wu Y, Brockway S, Taiberg SL, Khalatyan N, Taipale M, Santagata S, Whitesell L, Lindquist S, Savas JN, Mendillo ML. HSF2 cooperates with HSF1 to drive a transcriptional program critical for the malignant state. Sci Adv. 2022;8(11):eabj6526.</w:t>
      </w:r>
    </w:p>
    <w:p>
      <w:pPr>
        <w:ind w:left="432" w:hanging="432"/>
      </w:pPr>
      <w:r>
        <w:rPr>
          <w:sz w:val="20"/>
        </w:rPr>
        <w:t>11. Chen F, Fan Y, Liu X, Zhang J, Shang Y, Zhang B, Liu B, Hou J, Cao P, Tan K. Pan-Cancer Integrated Analysis of HSF2 Expression, Prognostic Value and Potential Implications for Cancer Immunity. Front Mol Biosci. 2022;8:789703.</w:t>
      </w:r>
    </w:p>
    <w:p>
      <w:pPr>
        <w:ind w:left="432" w:hanging="432"/>
      </w:pPr>
      <w:r>
        <w:rPr>
          <w:sz w:val="20"/>
        </w:rPr>
        <w:t>12. Barrett T, Wilhite SE, Ledoux P, Evangelista C, Kim IF, Tomashevsky M, Marshall KA, Phillippy KH, Sherman PM, Holko M, Yefanov A, Lee H, Zhang N, Robertson CL, Serova N, Davis S, Soboleva A. NCBI GEO: archive for functional genomics data sets--update. Nucleic Acids Res. 2013;41(Database issue):D991-D995.</w:t>
      </w:r>
    </w:p>
    <w:p>
      <w:pPr>
        <w:ind w:left="432" w:hanging="432"/>
      </w:pPr>
      <w:r>
        <w:rPr>
          <w:sz w:val="20"/>
        </w:rPr>
        <w:t>13. Davis S, Meltzer PS. GEOquery: a bridge between the Gene Expression Omnibus (GEO) and BioConductor. Bioinformatics. 2007;23(14):1846-1847.</w:t>
      </w:r>
    </w:p>
    <w:p>
      <w:pPr>
        <w:ind w:left="432" w:hanging="432"/>
      </w:pPr>
      <w:r>
        <w:rPr>
          <w:sz w:val="20"/>
        </w:rPr>
        <w:t>14. Govaere O, Cockell S, Tiniakos D, Queen R, Younes R, Vacca M, Alexander L, Ravaioli F, Palmer J, Petta S, Boursier J, Rosso C, Johnson K, Wonders K, Day CP, Ekstedt M, Orešič M, Darlay R, Cordell HJ, Marra F, Vidal-Puig A, Bedossa P, Schattenberg JM, Clément K, Allison M, Bugianesi E, Ratziu V, Daly AK, Anstee QM. Transcriptomic profiling across the nonalcoholic fatty liver disease spectrum reveals gene signatures for steatohepatitis and fibrosis. Sci Transl Med. 2020;12(572):eaba4448.</w:t>
      </w:r>
    </w:p>
    <w:p>
      <w:pPr>
        <w:ind w:left="432" w:hanging="432"/>
      </w:pPr>
      <w:r>
        <w:rPr>
          <w:sz w:val="20"/>
        </w:rPr>
        <w:t>15. Mas VR, Maluf DG, Archer KJ, Yanek K, Kong X, Kulik L, Freise CE, Olthoff KM, Ghobrial RM, McIver P, Fisher R. Genes involved in viral carcinogenesis and tumor initiation in hepatitis C virus-induced hepatocellular carcinoma. Mol Med. 2009;15(3-4):85-94.</w:t>
      </w:r>
    </w:p>
    <w:p>
      <w:pPr>
        <w:ind w:left="432" w:hanging="432"/>
      </w:pPr>
      <w:r>
        <w:rPr>
          <w:sz w:val="20"/>
        </w:rPr>
        <w:t>16. DePianto DJ, Chandriani S, Abbas AR, Jia G, N'Diaye EN, Caplazi P, Kauder SE, Biswas S, Karnik SK, Ha C, Modrusan Z, Matthay MA, Kukreja J, Collard HR, Egen JG, Wolters PJ, Arron JR. Heterogeneous gene expression signatures correspond to distinct lung pathologies and biomarkers of disease severity in idiopathic pulmonary fibrosis. Thorax. 2015;70(1):48-56.</w:t>
      </w:r>
    </w:p>
    <w:p>
      <w:pPr>
        <w:ind w:left="432" w:hanging="432"/>
      </w:pPr>
      <w:r>
        <w:rPr>
          <w:sz w:val="20"/>
        </w:rPr>
        <w:t>17. Liu C, Zhou C, Xia W, Zhou Y, Qiu Y, Weng J, Zhou Q, Chen W, Wang YN, Lee HH, Wang SC, Kuang M, Yu D, Ren N, Hung MC. Targeting ALK averts ribonuclease 1-induced immunosuppression and enhances antitumor immunity in hepatocellular carcinoma. Nat Commun. 2024;15:1009.</w:t>
      </w:r>
    </w:p>
    <w:p>
      <w:pPr>
        <w:ind w:left="432" w:hanging="432"/>
      </w:pPr>
      <w:r>
        <w:rPr>
          <w:sz w:val="20"/>
        </w:rPr>
        <w:t>18. Guo X, Nie H, Zhang W, Li J, Ge J, Xie B, Hu W, Zhu Y, Zhong N, Zhang X, Zhao X, Wang X, Sun Q, Wei K, Chen X, Ni L, Zhang T, Lu S, Zhang L, Dong C. Contrasting cytotoxic and regulatory T cell responses underlying distinct clinical outcomes to anti-PD-1 plus lenvatinib therapy in cancer. Cancer Cell. 2025;43(2):248-268.e9.</w:t>
      </w:r>
    </w:p>
    <w:p>
      <w:pPr>
        <w:ind w:left="432" w:hanging="432"/>
      </w:pPr>
      <w:r>
        <w:rPr>
          <w:sz w:val="20"/>
        </w:rPr>
        <w:t>19. Hsu CL, Ou DL, Bai LY, Chen CW, Lin L, Huang SF, Cheng AL, Jeng YM, Hsu C. Exploring Markers of Exhausted CD8 T Cells to Predict Response to Immune Checkpoint Inhibitor Therapy for Hepatocellular Carcinoma. Liver Cancer. 2021;10(4):346-359.</w:t>
      </w:r>
    </w:p>
    <w:p>
      <w:pPr>
        <w:ind w:left="432" w:hanging="432"/>
      </w:pPr>
      <w:r>
        <w:rPr>
          <w:sz w:val="20"/>
        </w:rPr>
        <w:t>20. Love MI, Huber W, Anders S. Moderated estimation of fold change and dispersion for RNA-seq data with DESeq2. Genome Biol. 2014;15:550.</w:t>
      </w:r>
    </w:p>
    <w:p>
      <w:pPr>
        <w:ind w:left="432" w:hanging="432"/>
      </w:pPr>
      <w:r>
        <w:rPr>
          <w:sz w:val="20"/>
        </w:rPr>
        <w:t>21. DerSimonian R, Laird N. Meta-analysis in clinical trials. Control Clin Trials. 1986;7(3):177-188.</w:t>
      </w:r>
    </w:p>
    <w:p>
      <w:pPr>
        <w:ind w:left="432" w:hanging="432"/>
      </w:pPr>
      <w:r>
        <w:rPr>
          <w:sz w:val="20"/>
        </w:rPr>
        <w:t>22. Keenan AB, Torre D, Lachmann A, Leong AK, Wojciechowicz ML, Utti V, Jagodnik KM, Kropiwnicki E, Wang Z, Ma'ayan A. ChEA3: transcription factor enrichment analysis by orthogonal omics integration. Nucleic Acids Res. 2019;47(W1):W212-W224.</w:t>
      </w:r>
    </w:p>
    <w:p>
      <w:pPr>
        <w:ind w:left="432" w:hanging="432"/>
      </w:pPr>
      <w:r>
        <w:rPr>
          <w:sz w:val="20"/>
        </w:rPr>
        <w:t>23. NCBI Gene Expression Omnibus, accession GSE279750. Anti-PD-L1-based combination immunotherapy response in hepatocellular carcinoma [dataset]. Accessed 2026. (No peer-reviewed publication was listed in the GEO record at the time of access.)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line="276" w:lineRule="auto"/>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20"/>
      <w:outlineLvl w:val="0"/>
    </w:pPr>
    <w:rPr>
      <w:rFonts w:asciiTheme="majorHAnsi" w:eastAsiaTheme="majorEastAsia" w:hAnsiTheme="majorHAnsi" w:cstheme="majorBidi" w:ascii="Times New Roman" w:hAnsi="Times New Roman"/>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280" w:after="120"/>
      <w:outlineLvl w:val="1"/>
    </w:pPr>
    <w:rPr>
      <w:rFonts w:asciiTheme="majorHAnsi" w:eastAsiaTheme="majorEastAsia" w:hAnsiTheme="majorHAnsi" w:cstheme="majorBidi" w:ascii="Times New Roman" w:hAnsi="Times New Roman"/>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80" w:after="120"/>
      <w:outlineLvl w:val="2"/>
    </w:pPr>
    <w:rPr>
      <w:rFonts w:asciiTheme="majorHAnsi" w:eastAsiaTheme="majorEastAsia" w:hAnsiTheme="majorHAnsi" w:cstheme="majorBidi" w:ascii="Times New Roman" w:hAnsi="Times New Roman"/>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