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1E2761"/>
          <w:sz w:val="48"/>
          <w:szCs w:val="48"/>
        </w:rPr>
        <w:t xml:space="preserve">An Open and Reproducible Edge-AI Software Architecture for Litter Detection, Multiclass Classification, Tracking, and Counting</w:t>
      </w:r>
    </w:p>
    <w:p>
      <w:pPr>
        <w:spacing w:after="60"/>
      </w:pPr>
      <w:r>
        <w:rPr>
          <w:rFonts w:ascii="Arial" w:cs="Arial" w:eastAsia="Arial" w:hAnsi="Arial"/>
          <w:color w:val="666666"/>
          <w:sz w:val="28"/>
          <w:szCs w:val="28"/>
        </w:rPr>
        <w:t xml:space="preserve">Software architecture and reproducibility preprint — preliminary engineering and Jetson validation</w:t>
      </w:r>
    </w:p>
    <w:p>
      <w:pPr>
        <w:spacing w:after="60"/>
      </w:pPr>
      <w:r>
        <w:rPr>
          <w:color w:val="999999"/>
          <w:sz w:val="20"/>
          <w:szCs w:val="20"/>
        </w:rPr>
        <w:t xml:space="preserve">21 October 2026  |  Abiola A. Babsalaam — Independent Researcher</w:t>
      </w:r>
    </w:p>
    <w:p>
      <w:pPr>
        <w:spacing w:after="200"/>
      </w:pPr>
    </w:p>
    <w:p>
      <w:pPr>
        <w:spacing w:after="200"/>
      </w:pPr>
      <w:r>
        <w:rPr>
          <w:rFonts w:ascii="Arial" w:cs="Arial" w:eastAsia="Arial" w:hAnsi="Arial"/>
          <w:b/>
          <w:bCs/>
          <w:color w:val="CC6600"/>
          <w:sz w:val="30"/>
          <w:szCs w:val="30"/>
        </w:rPr>
        <w:t xml:space="preserve">⚠️ AI &amp; Data Notice: </w:t>
      </w:r>
      <w:r>
        <w:rPr>
          <w:rFonts w:ascii="Arial" w:cs="Arial" w:eastAsia="Arial" w:hAnsi="Arial"/>
          <w:b/>
          <w:bCs/>
          <w:color w:val="666666"/>
          <w:sz w:val="30"/>
          <w:szCs w:val="30"/>
        </w:rPr>
        <w:t xml:space="preserve">All output is AI-generated and must be independently verified before sharing with customers or taking action.</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Abstract</w:t>
      </w:r>
    </w:p>
    <w:p>
      <w:pPr>
        <w:spacing w:after="120"/>
      </w:pPr>
      <w:r>
        <w:t xml:space="preserve">Litter monitoring is often treated as an object-detection exercise, although a deployable solution must also ingest operational video, maintain stable class contracts, avoid repeated counting, persist evidence, support human review, and integrate safely with collection or sorting workflows. This paper presents an open and reproducible edge-AI system that addresses those requirements as one portable application. The software accepts attached cameras, images, recorded video, HTTP media, and RTSP streams. It normalizes public or custom detector output into a common schema, applies duplicate suppression and class-stabilized tracking, reports visible and unique-session counts, and stores run evidence in SQLite and JSON. A browser interface exposes annotated video, counts, review tasks, and source controls. The default operational taxonomy contains 16 litter categories and can map uncertain or hazardous items to human review and site-specific separation guidance. The detector is an interchangeable component rather than the product boundary: the current clean-clone workflow uses the public OmDet-Turbo Tiny open-vocabulary model, while a litter-specific RF-DETR checkpoint may be trained and published later if representative evaluation shows that adaptation is required. Preliminary engineering validation confirms installation, real inference, persistence, application tests, and execution on NVIDIA CUDA, Apple silicon, and the intended Jetson Orin Nano 8 GB. On an AWS g4dn.xlarge with a Tesla T4, a repeated-image OmDet-Turbo benchmark measured 16.53 frames per second, 58.98 ms mean detector latency, 61.03 ms p95 latency, and 0.55 GiB peak allocated GPU memory. In a coexistence test on the 8 GB Jetson, the same public-model path measured 5.54 detector frames per second and 4.94 frames per second through all 3,622 frames of a video, tracking, annotation, JSONL, and SQLite workflow; the 733.54-second processing run reached 66.31 °C and 15.81 W peak whole-board input power. The Jetson workflow, dashboard, and counts API completed, but the provisional 15 FPS target was not met. These measurements do not establish target-domain accuracy, count error, endurance, AMD deployment performance, or production readiness. The paper therefore contributes a reusable system, explicit count semantics, a safety and security boundary, and a predeclared evaluation protocol while clearly separating verified software evidence from pending empirical claims.</w:t>
      </w:r>
    </w:p>
    <w:p>
      <w:pPr>
        <w:spacing w:after="120"/>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120"/>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120"/>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120"/>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120"/>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120"/>
      </w:pPr>
      <w:r>
        <w:t xml:space="preserve">The contribution is therefore a software-systems and reproducibility architecture, not a claim that a new detector or a validated accuracy result is presented. Until labeled target-domain results are available, the system should be judged by the completeness and reproducibility of its implemented workflow, not by unreported model quality.</w:t>
      </w:r>
    </w:p>
    <w:p>
      <w:pPr>
        <w:spacing w:after="120"/>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120"/>
      </w:pPr>
      <w:r>
        <w:t xml:space="preserve">This paper is released as a systems and reproducibility preprint. It documents the implemented design, preliminary technical evidence, and one authorized Jetson coexistence run while the target-domain dataset, repeated device tests, and multi-hour endurance acceptance remain pending. This distinction is deliberate: model detections on demonstration media are functional evidence, not accuracy evidence, and a short technical run is not proof of sustained camera or field performance.</w:t>
      </w:r>
    </w:p>
    <w:p>
      <w:pPr>
        <w:pStyle w:val="Heading2"/>
      </w:pPr>
      <w:r>
        <w:t xml:space="preserve">1.1 Research questions</w:t>
      </w:r>
    </w:p>
    <w:p>
      <w:pPr>
        <w:spacing w:after="120"/>
      </w:pPr>
      <w:r>
        <w:t xml:space="preserve">The work is organized around the following questions:</w:t>
      </w:r>
    </w:p>
    <w:p>
      <w:pPr>
        <w:spacing w:after="120"/>
      </w:pPr>
      <w:r>
        <w:t xml:space="preserve">1. How can litter detection, multiclass classification, tracking, counting,</w:t>
      </w:r>
    </w:p>
    <w:p>
      <w:pPr>
        <w:spacing w:after="120"/>
      </w:pPr>
      <w:r>
        <w:t xml:space="preserve">storage, review, and integration be packaged as a reusable edge application?</w:t>
      </w:r>
    </w:p>
    <w:p>
      <w:pPr>
        <w:spacing w:after="120"/>
      </w:pPr>
      <w:r>
        <w:t xml:space="preserve">2. Can the application operate immediately with a public model, without</w:t>
      </w:r>
    </w:p>
    <w:p>
      <w:pPr>
        <w:spacing w:after="120"/>
      </w:pPr>
      <w:r>
        <w:t xml:space="preserve">requiring every deployment user to collect data or train a network?</w:t>
      </w:r>
    </w:p>
    <w:p>
      <w:pPr>
        <w:spacing w:after="120"/>
      </w:pPr>
      <w:r>
        <w:t xml:space="preserve">3. How should visible observations, unique tracked objects, and confirmed</w:t>
      </w:r>
    </w:p>
    <w:p>
      <w:pPr>
        <w:spacing w:after="120"/>
      </w:pPr>
      <w:r>
        <w:t xml:space="preserve">collections be represented so that operational reports do not overstate the outcome?</w:t>
      </w:r>
    </w:p>
    <w:p>
      <w:pPr>
        <w:spacing w:after="120"/>
      </w:pPr>
      <w:r>
        <w:t xml:space="preserve">4. What reproducible protocol is required to evaluate detection accuracy,</w:t>
      </w:r>
    </w:p>
    <w:p>
      <w:pPr>
        <w:spacing w:after="120"/>
      </w:pPr>
      <w:r>
        <w:t xml:space="preserve">counting accuracy, throughput, memory, power, thermal behavior, and stability on the intended device?</w:t>
      </w:r>
    </w:p>
    <w:p>
      <w:pPr>
        <w:spacing w:after="120"/>
      </w:pPr>
      <w:r>
        <w:t xml:space="preserve">5. What privacy, security, and machinery-safety boundaries are necessary when</w:t>
      </w:r>
    </w:p>
    <w:p>
      <w:pPr>
        <w:spacing w:after="120"/>
      </w:pPr>
      <w:r>
        <w:t xml:space="preserve">the system is used on a cleanup vehicle or sorting line?</w:t>
      </w:r>
    </w:p>
    <w:p>
      <w:pPr>
        <w:pStyle w:val="Heading2"/>
      </w:pPr>
      <w:r>
        <w:t xml:space="preserve">1.2 Contributions</w:t>
      </w:r>
    </w:p>
    <w:p>
      <w:pPr>
        <w:spacing w:after="120"/>
      </w:pPr>
      <w:r>
        <w:t xml:space="preserve">The principal contributions are:</w:t>
      </w:r>
    </w:p>
    <w:p>
      <w:pPr>
        <w:pStyle w:val="ListParagraph"/>
        <w:numPr>
          <w:ilvl w:val="0"/>
          <w:numId w:val="2"/>
        </w:numPr>
        <w:spacing w:after="60"/>
      </w:pPr>
      <w:r>
        <w:t xml:space="preserve">a portable, model-adapter-based application for image, camera, video, HTTP,</w:t>
      </w:r>
    </w:p>
    <w:p>
      <w:pPr>
        <w:spacing w:after="120"/>
      </w:pPr>
      <w:r>
        <w:t xml:space="preserve">and RTSP litter detection;</w:t>
      </w:r>
    </w:p>
    <w:p>
      <w:pPr>
        <w:pStyle w:val="ListParagraph"/>
        <w:numPr>
          <w:ilvl w:val="0"/>
          <w:numId w:val="2"/>
        </w:numPr>
        <w:spacing w:after="60"/>
      </w:pPr>
      <w:r>
        <w:t xml:space="preserve">a 16-class operational taxonomy with configurable prompts and separation</w:t>
      </w:r>
    </w:p>
    <w:p>
      <w:pPr>
        <w:spacing w:after="120"/>
      </w:pPr>
      <w:r>
        <w:t xml:space="preserve">destinations;</w:t>
      </w:r>
    </w:p>
    <w:p>
      <w:pPr>
        <w:pStyle w:val="ListParagraph"/>
        <w:numPr>
          <w:ilvl w:val="0"/>
          <w:numId w:val="2"/>
        </w:numPr>
        <w:spacing w:after="60"/>
      </w:pPr>
      <w:r>
        <w:t xml:space="preserve">tracking-based visible and unique-session counts, with independently</w:t>
      </w:r>
    </w:p>
    <w:p>
      <w:pPr>
        <w:spacing w:after="120"/>
      </w:pPr>
      <w:r>
        <w:t xml:space="preserve">confirmed collections stored as a separate quantity;</w:t>
      </w:r>
    </w:p>
    <w:p>
      <w:pPr>
        <w:pStyle w:val="ListParagraph"/>
        <w:numPr>
          <w:ilvl w:val="0"/>
          <w:numId w:val="2"/>
        </w:numPr>
        <w:spacing w:after="60"/>
      </w:pPr>
      <w:r>
        <w:t xml:space="preserve">an offline-first SQLite evidence model, review queue, browser dashboard, API,</w:t>
      </w:r>
    </w:p>
    <w:p>
      <w:pPr>
        <w:spacing w:after="120"/>
      </w:pPr>
      <w:r>
        <w:t xml:space="preserve">and durable integration outbox;</w:t>
      </w:r>
    </w:p>
    <w:p>
      <w:pPr>
        <w:pStyle w:val="ListParagraph"/>
        <w:numPr>
          <w:ilvl w:val="0"/>
          <w:numId w:val="2"/>
        </w:numPr>
        <w:spacing w:after="60"/>
      </w:pPr>
      <w:r>
        <w:t xml:space="preserve">one-command installation and execution using public, pinned model artifacts;</w:t>
      </w:r>
    </w:p>
    <w:p>
      <w:pPr>
        <w:pStyle w:val="ListParagraph"/>
        <w:numPr>
          <w:ilvl w:val="0"/>
          <w:numId w:val="2"/>
        </w:numPr>
        <w:spacing w:after="60"/>
      </w:pPr>
      <w:r>
        <w:t xml:space="preserve">deployment paths for CPU, NVIDIA CUDA, NVIDIA Jetson, AMD ROCm, and Apple</w:t>
      </w:r>
    </w:p>
    <w:p>
      <w:pPr>
        <w:spacing w:after="120"/>
      </w:pPr>
      <w:r>
        <w:t xml:space="preserve">silicon;</w:t>
      </w:r>
    </w:p>
    <w:p>
      <w:pPr>
        <w:pStyle w:val="ListParagraph"/>
        <w:numPr>
          <w:ilvl w:val="0"/>
          <w:numId w:val="2"/>
        </w:numPr>
        <w:spacing w:after="60"/>
      </w:pPr>
      <w:r>
        <w:t xml:space="preserve">model, data, privacy, security, and safety boundaries intended for reuse in</w:t>
      </w:r>
    </w:p>
    <w:p>
      <w:pPr>
        <w:spacing w:after="120"/>
      </w:pPr>
      <w:r>
        <w:t xml:space="preserve">real collection and sorting workflows; and</w:t>
      </w:r>
    </w:p>
    <w:p>
      <w:pPr>
        <w:pStyle w:val="ListParagraph"/>
        <w:numPr>
          <w:ilvl w:val="0"/>
          <w:numId w:val="2"/>
        </w:numPr>
        <w:spacing w:after="60"/>
      </w:pPr>
      <w:r>
        <w:t xml:space="preserve">a predeclared empirical protocol that prevents preliminary engineering</w:t>
      </w:r>
    </w:p>
    <w:p>
      <w:pPr>
        <w:spacing w:after="120"/>
      </w:pPr>
      <w:r>
        <w:t xml:space="preserve">observations from being reported as final accuracy or target-device results.</w:t>
      </w:r>
    </w:p>
    <w:p>
      <w:pPr>
        <w:pStyle w:val="Heading1"/>
      </w:pPr>
      <w:r>
        <w:t xml:space="preserve">2. Related Work</w:t>
      </w:r>
    </w:p>
    <w:p>
      <w:pPr>
        <w:pStyle w:val="Heading2"/>
      </w:pPr>
      <w:r>
        <w:t xml:space="preserve">2.1 Litter and waste datasets</w:t>
      </w:r>
    </w:p>
    <w:p>
      <w:pPr>
        <w:spacing w:after="120"/>
      </w:pPr>
      <w:r>
        <w:t xml:space="preserve">TACO introduced a publicly available dataset of waste “in the wild,” with object annotations and a detailed material-oriented taxonomy [3]. It is useful for bootstrapping because it contains varied contexts rather than only controlled conveyor imagery. Studies based on TACO have also highlighted the difficulty of small objects, class imbalance, and the risk of reporting one aggregate metric without examining precision, recall, F1, object size, and scene conditions [4,5].</w:t>
      </w:r>
    </w:p>
    <w:p>
      <w:pPr>
        <w:spacing w:after="120"/>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120"/>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120"/>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120"/>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120"/>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120"/>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120"/>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120"/>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120"/>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2"/>
      </w:pPr>
      <w:r>
        <w:t xml:space="preserve">2.5 Integrated litter and sorting systems</w:t>
      </w:r>
    </w:p>
    <w:p>
      <w:pPr>
        <w:spacing w:after="120"/>
      </w:pPr>
      <w:r>
        <w:t xml:space="preserve">Existing integrated platforms illustrate that operational value extends beyond one detector metric. Litterati combines mobile image collection, mapping, and analytics for identifying litter patterns and evaluating interventions [22]. The US Environmental Protection Agency describes TrashBot as a machine-learning system that sorts material at the point of disposal and provides disposal guidance [23]. AMP Vision applies continuous material identification and analytics inside material-recovery facilities [24].</w:t>
      </w:r>
    </w:p>
    <w:p>
      <w:pPr>
        <w:spacing w:after="120"/>
      </w:pPr>
      <w:r>
        <w:t xml:space="preserve">These examples occupy different product boundaries: community and municipal measurement, smart disposal, and industrial recovery. The present work does not claim equivalent deployment maturity. Its narrower contribution is an open, locally deployable perception-and-evidence component with explicit count semantics, model interchangeability, offline persistence, and a machinery safety boundary that can be integrated into a larger cleanup or sorting solution.</w:t>
      </w:r>
    </w:p>
    <w:p>
      <w:pPr>
        <w:pStyle w:val="Heading1"/>
      </w:pPr>
      <w:r>
        <w:t xml:space="preserve">3. Requirements and Use Cases</w:t>
      </w:r>
    </w:p>
    <w:p>
      <w:pPr>
        <w:spacing w:after="120"/>
      </w:pPr>
      <w:r>
        <w:t xml:space="preserve">The software is intended for four related uses:</w:t>
      </w:r>
    </w:p>
    <w:p>
      <w:pPr>
        <w:spacing w:after="120"/>
      </w:pPr>
      <w:r>
        <w:t xml:space="preserve">1. A vehicle-mounted camera observes roadside litter and associates candidate</w:t>
      </w:r>
    </w:p>
    <w:p>
      <w:pPr>
        <w:spacing w:after="120"/>
      </w:pPr>
      <w:r>
        <w:t xml:space="preserve">objects with a device, vehicle, and route.</w:t>
      </w:r>
    </w:p>
    <w:p>
      <w:pPr>
        <w:spacing w:after="120"/>
      </w:pPr>
      <w:r>
        <w:t xml:space="preserve">2. A fixed camera monitors a location or accumulation point.</w:t>
      </w:r>
    </w:p>
    <w:p>
      <w:pPr>
        <w:spacing w:after="120"/>
      </w:pPr>
      <w:r>
        <w:t xml:space="preserve">3. A recycling or waste-sorting line detects visible items and presents a</w:t>
      </w:r>
    </w:p>
    <w:p>
      <w:pPr>
        <w:spacing w:after="120"/>
      </w:pPr>
      <w:r>
        <w:t xml:space="preserve">suggested class and operator-configured destination.</w:t>
      </w:r>
    </w:p>
    <w:p>
      <w:pPr>
        <w:spacing w:after="120"/>
      </w:pPr>
      <w:r>
        <w:t xml:space="preserve">4. A human worker uses the annotated feed and review queue to find, classify,</w:t>
      </w:r>
    </w:p>
    <w:p>
      <w:pPr>
        <w:spacing w:after="120"/>
      </w:pPr>
      <w:r>
        <w:t xml:space="preserve">or separate uncertain items.</w:t>
      </w:r>
    </w:p>
    <w:p>
      <w:pPr>
        <w:spacing w:after="120"/>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120"/>
      </w:pPr>
      <w:r>
        <w:t xml:space="preserve">The system must:</w:t>
      </w:r>
    </w:p>
    <w:p>
      <w:pPr>
        <w:pStyle w:val="ListParagraph"/>
        <w:numPr>
          <w:ilvl w:val="0"/>
          <w:numId w:val="2"/>
        </w:numPr>
        <w:spacing w:after="60"/>
      </w:pPr>
      <w:r>
        <w:t xml:space="preserve">accept a local camera index, image, video, HTTP resource, or RTSP stream;</w:t>
      </w:r>
    </w:p>
    <w:p>
      <w:pPr>
        <w:pStyle w:val="ListParagraph"/>
        <w:numPr>
          <w:ilvl w:val="0"/>
          <w:numId w:val="2"/>
        </w:numPr>
        <w:spacing w:after="60"/>
      </w:pPr>
      <w:r>
        <w:t xml:space="preserve">produce zero or more boxes, class names, confidence scores, and timestamps;</w:t>
      </w:r>
    </w:p>
    <w:p>
      <w:pPr>
        <w:pStyle w:val="ListParagraph"/>
        <w:numPr>
          <w:ilvl w:val="0"/>
          <w:numId w:val="2"/>
        </w:numPr>
        <w:spacing w:after="60"/>
      </w:pPr>
      <w:r>
        <w:t xml:space="preserve">preserve a stable class ID and name contract downstream of the detector;</w:t>
      </w:r>
    </w:p>
    <w:p>
      <w:pPr>
        <w:pStyle w:val="ListParagraph"/>
        <w:numPr>
          <w:ilvl w:val="0"/>
          <w:numId w:val="2"/>
        </w:numPr>
        <w:spacing w:after="60"/>
      </w:pPr>
      <w:r>
        <w:t xml:space="preserve">reduce duplicate boxes and associate video observations into tracks;</w:t>
      </w:r>
    </w:p>
    <w:p>
      <w:pPr>
        <w:pStyle w:val="ListParagraph"/>
        <w:numPr>
          <w:ilvl w:val="0"/>
          <w:numId w:val="2"/>
        </w:numPr>
        <w:spacing w:after="60"/>
      </w:pPr>
      <w:r>
        <w:t xml:space="preserve">report current visible counts and run-scoped unique counts by class;</w:t>
      </w:r>
    </w:p>
    <w:p>
      <w:pPr>
        <w:pStyle w:val="ListParagraph"/>
        <w:numPr>
          <w:ilvl w:val="0"/>
          <w:numId w:val="2"/>
        </w:numPr>
        <w:spacing w:after="60"/>
      </w:pPr>
      <w:r>
        <w:t xml:space="preserve">persist run, frame, count, review, and integration evidence locally;</w:t>
      </w:r>
    </w:p>
    <w:p>
      <w:pPr>
        <w:pStyle w:val="ListParagraph"/>
        <w:numPr>
          <w:ilvl w:val="0"/>
          <w:numId w:val="2"/>
        </w:numPr>
        <w:spacing w:after="60"/>
      </w:pPr>
      <w:r>
        <w:t xml:space="preserve">remain useful without continuous cloud connectivity;</w:t>
      </w:r>
    </w:p>
    <w:p>
      <w:pPr>
        <w:pStyle w:val="ListParagraph"/>
        <w:numPr>
          <w:ilvl w:val="0"/>
          <w:numId w:val="2"/>
        </w:numPr>
        <w:spacing w:after="60"/>
      </w:pPr>
      <w:r>
        <w:t xml:space="preserve">allow a human to confirm, correct, or reject uncertain classifications;</w:t>
      </w:r>
    </w:p>
    <w:p>
      <w:pPr>
        <w:pStyle w:val="ListParagraph"/>
        <w:numPr>
          <w:ilvl w:val="0"/>
          <w:numId w:val="2"/>
        </w:numPr>
        <w:spacing w:after="60"/>
      </w:pPr>
      <w:r>
        <w:t xml:space="preserve">store actual collection confirmations separately from observations;</w:t>
      </w:r>
    </w:p>
    <w:p>
      <w:pPr>
        <w:pStyle w:val="ListParagraph"/>
        <w:numPr>
          <w:ilvl w:val="0"/>
          <w:numId w:val="2"/>
        </w:numPr>
        <w:spacing w:after="60"/>
      </w:pPr>
      <w:r>
        <w:t xml:space="preserve">expose bounded local controls through a dashboard and API; and</w:t>
      </w:r>
    </w:p>
    <w:p>
      <w:pPr>
        <w:pStyle w:val="ListParagraph"/>
        <w:numPr>
          <w:ilvl w:val="0"/>
          <w:numId w:val="2"/>
        </w:numPr>
        <w:spacing w:after="60"/>
      </w:pPr>
      <w:r>
        <w:t xml:space="preserve">retain enough environment and revision data to reproduce a reported run.</w:t>
      </w:r>
    </w:p>
    <w:p>
      <w:pPr>
        <w:pStyle w:val="Heading2"/>
      </w:pPr>
      <w:r>
        <w:t xml:space="preserve">3.2 Non-functional requirements</w:t>
      </w:r>
    </w:p>
    <w:p>
      <w:pPr>
        <w:spacing w:after="120"/>
      </w:pPr>
      <w:r>
        <w:t xml:space="preserve">The system must:</w:t>
      </w:r>
    </w:p>
    <w:p>
      <w:pPr>
        <w:pStyle w:val="ListParagraph"/>
        <w:numPr>
          <w:ilvl w:val="0"/>
          <w:numId w:val="2"/>
        </w:numPr>
        <w:spacing w:after="60"/>
      </w:pPr>
      <w:r>
        <w:t xml:space="preserve">install from a clean clone without private credentials or a private model;</w:t>
      </w:r>
    </w:p>
    <w:p>
      <w:pPr>
        <w:pStyle w:val="ListParagraph"/>
        <w:numPr>
          <w:ilvl w:val="0"/>
          <w:numId w:val="2"/>
        </w:numPr>
        <w:spacing w:after="60"/>
      </w:pPr>
      <w:r>
        <w:t xml:space="preserve">use an isolated Python environment and avoid machine-specific paths;</w:t>
      </w:r>
    </w:p>
    <w:p>
      <w:pPr>
        <w:pStyle w:val="ListParagraph"/>
        <w:numPr>
          <w:ilvl w:val="0"/>
          <w:numId w:val="2"/>
        </w:numPr>
        <w:spacing w:after="60"/>
      </w:pPr>
      <w:r>
        <w:t xml:space="preserve">function on 64-bit x86_64 and ARM64 systems;</w:t>
      </w:r>
    </w:p>
    <w:p>
      <w:pPr>
        <w:pStyle w:val="ListParagraph"/>
        <w:numPr>
          <w:ilvl w:val="0"/>
          <w:numId w:val="2"/>
        </w:numPr>
        <w:spacing w:after="60"/>
      </w:pPr>
      <w:r>
        <w:t xml:space="preserve">avoid dependence on one accelerator vendor;</w:t>
      </w:r>
    </w:p>
    <w:p>
      <w:pPr>
        <w:pStyle w:val="ListParagraph"/>
        <w:numPr>
          <w:ilvl w:val="0"/>
          <w:numId w:val="2"/>
        </w:numPr>
        <w:spacing w:after="60"/>
      </w:pPr>
      <w:r>
        <w:t xml:space="preserve">default to local-only network exposure;</w:t>
      </w:r>
    </w:p>
    <w:p>
      <w:pPr>
        <w:pStyle w:val="ListParagraph"/>
        <w:numPr>
          <w:ilvl w:val="0"/>
          <w:numId w:val="2"/>
        </w:numPr>
        <w:spacing w:after="60"/>
      </w:pPr>
      <w:r>
        <w:t xml:space="preserve">validate and bound uploaded media and remote-source behavior;</w:t>
      </w:r>
    </w:p>
    <w:p>
      <w:pPr>
        <w:pStyle w:val="ListParagraph"/>
        <w:numPr>
          <w:ilvl w:val="0"/>
          <w:numId w:val="2"/>
        </w:numPr>
        <w:spacing w:after="60"/>
      </w:pPr>
      <w:r>
        <w:t xml:space="preserve">support model artifact pinning and integrity checks;</w:t>
      </w:r>
    </w:p>
    <w:p>
      <w:pPr>
        <w:pStyle w:val="ListParagraph"/>
        <w:numPr>
          <w:ilvl w:val="0"/>
          <w:numId w:val="2"/>
        </w:numPr>
        <w:spacing w:after="60"/>
      </w:pPr>
      <w:r>
        <w:t xml:space="preserve">avoid direct machinery actuation;</w:t>
      </w:r>
    </w:p>
    <w:p>
      <w:pPr>
        <w:pStyle w:val="ListParagraph"/>
        <w:numPr>
          <w:ilvl w:val="0"/>
          <w:numId w:val="2"/>
        </w:numPr>
        <w:spacing w:after="60"/>
      </w:pPr>
      <w:r>
        <w:t xml:space="preserve">limit unnecessary retention of raw media and identifiers; and</w:t>
      </w:r>
    </w:p>
    <w:p>
      <w:pPr>
        <w:pStyle w:val="ListParagraph"/>
        <w:numPr>
          <w:ilvl w:val="0"/>
          <w:numId w:val="2"/>
        </w:numPr>
        <w:spacing w:after="60"/>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spacing w:after="120"/>
      </w:pPr>
      <w:r>
        <w:t xml:space="preserve">The runtime flow is:</w:t>
      </w:r>
    </w:p>
    <w:p>
      <w:pPr>
        <w:spacing w:after="120"/>
      </w:pPr>
      <w:r>
        <w:t xml:space="preserve">camera / image / video / HTTP / RTSP</w:t>
      </w:r>
      <w:r>
        <w:br/>
        <w:t xml:space="preserve">                    |</w:t>
      </w:r>
      <w:r>
        <w:br/>
        <w:t xml:space="preserve">                    v</w:t>
      </w:r>
      <w:r>
        <w:br/>
        <w:t xml:space="preserve">             detector adapter</w:t>
      </w:r>
      <w:r>
        <w:br/>
        <w:t xml:space="preserve">                    |</w:t>
      </w:r>
      <w:r>
        <w:br/>
        <w:t xml:space="preserve">                    v</w:t>
      </w:r>
      <w:r>
        <w:br/>
        <w:t xml:space="preserve">       normalized Detection records</w:t>
      </w:r>
      <w:r>
        <w:br/>
        <w:t xml:space="preserve">                    |</w:t>
      </w:r>
      <w:r>
        <w:br/>
        <w:t xml:space="preserve">                    v</w:t>
      </w:r>
      <w:r>
        <w:br/>
        <w:t xml:space="preserve">     duplicate suppression and tracking</w:t>
      </w:r>
      <w:r>
        <w:br/>
        <w:t xml:space="preserve">          /             |              \</w:t>
      </w:r>
      <w:r>
        <w:br/>
        <w:t xml:space="preserve">         v              v               v</w:t>
      </w:r>
      <w:r>
        <w:br/>
        <w:t xml:space="preserve"> visible counts   unique run counts   review policy</w:t>
      </w:r>
      <w:r>
        <w:br/>
        <w:t xml:space="preserve">         \              |               /</w:t>
      </w:r>
      <w:r>
        <w:br/>
        <w:t xml:space="preserve">          \             v              /</w:t>
      </w:r>
      <w:r>
        <w:br/>
        <w:t xml:space="preserve">           +---- SQLite and JSON -----+</w:t>
      </w:r>
      <w:r>
        <w:br/>
        <w:t xml:space="preserve">                         |</w:t>
      </w:r>
      <w:r>
        <w:br/>
        <w:t xml:space="preserve">                         v</w:t>
      </w:r>
      <w:r>
        <w:br/>
        <w:t xml:space="preserve">        dashboard / API / integration outbox</w:t>
      </w:r>
      <w:r>
        <w:br/>
        <w:t xml:space="preserve">                         |</w:t>
      </w:r>
      <w:r>
        <w:br/>
        <w:t xml:space="preserve">                         v</w:t>
      </w:r>
      <w:r>
        <w:br/>
        <w:t xml:space="preserve">       human or independent controller confirmation</w:t>
      </w:r>
    </w:p>
    <w:p>
      <w:pPr>
        <w:spacing w:after="120"/>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120"/>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120"/>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cigarette_butt</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glass_bottle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metal_can</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textile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paper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tire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cardboard</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plastic_bag</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electronic_waste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food_wrapper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broken_glass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disposable_cup</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other_litter</w:t>
            </w:r>
          </w:p>
        </w:tc>
      </w:tr>
    </w:tbl>
    <w:p>
      <w:pPr>
        <w:spacing w:after="120"/>
      </w:pPr>
    </w:p>
    <w:p>
      <w:pPr>
        <w:spacing w:after="120"/>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120"/>
      </w:pPr>
      <w:r>
        <w:t xml:space="preserve">The categories were selected by three practical criteria rather than by an attempt to reproduce one dataset ontology: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Criterion</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Classes or design response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Common, visually promptable containers and fibers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 bottle, glass bottle, metal can, paper, cardboard</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Flexible packaging and disposable service items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 bag, food wrapper, disposable cup</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Common small, organic, soft, or bulky litter</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 butt, food waste, textile, tire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Items requiring special handling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 electronic waste, broken glass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Visual or taxonomic uncertainty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 litter and mandatory/threshold-based human review</w:t>
            </w:r>
          </w:p>
        </w:tc>
      </w:tr>
    </w:tbl>
    <w:p>
      <w:pPr>
        <w:spacing w:after="120"/>
      </w:pPr>
    </w:p>
    <w:p>
      <w:pPr>
        <w:spacing w:after="120"/>
      </w:pPr>
      <w:r>
        <w:t xml:space="preserve">For public TACO preparation, only source labels that support a defensible operational interpretation are mapped directly—for example, Drink can to metal_can and Clear plastic bottle to plastic_bottle. Remaining source categories are retained as other_litter rather than discarded or assigned a more specific material without evidence. This is an operational starting ontology; class frequency, visual confusability, and site value must still be measured before a fixed-taxonomy model is released.</w:t>
      </w:r>
    </w:p>
    <w:p>
      <w:pPr>
        <w:spacing w:after="120"/>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120"/>
      </w:pPr>
      <w:r>
        <w:t xml:space="preserve">The system deliberately reports different quantities:</w:t>
      </w:r>
    </w:p>
    <w:p>
      <w:pPr>
        <w:pStyle w:val="ListParagraph"/>
        <w:numPr>
          <w:ilvl w:val="0"/>
          <w:numId w:val="2"/>
        </w:numPr>
        <w:spacing w:after="60"/>
      </w:pPr>
      <w:r>
        <w:t xml:space="preserve">visible_counts are detections present in the current frame;</w:t>
      </w:r>
    </w:p>
    <w:p>
      <w:pPr>
        <w:pStyle w:val="ListParagraph"/>
        <w:numPr>
          <w:ilvl w:val="0"/>
          <w:numId w:val="2"/>
        </w:numPr>
        <w:spacing w:after="60"/>
      </w:pPr>
      <w:r>
        <w:t xml:space="preserve">confirmed_visible_counts are currently visible detections whose tracks</w:t>
      </w:r>
    </w:p>
    <w:p>
      <w:pPr>
        <w:spacing w:after="120"/>
      </w:pPr>
      <w:r>
        <w:t xml:space="preserve">have met a confirmation threshold;</w:t>
      </w:r>
    </w:p>
    <w:p>
      <w:pPr>
        <w:pStyle w:val="ListParagraph"/>
        <w:numPr>
          <w:ilvl w:val="0"/>
          <w:numId w:val="2"/>
        </w:numPr>
        <w:spacing w:after="60"/>
      </w:pPr>
      <w:r>
        <w:t xml:space="preserve">unique_session_counts are confirmed track identities counted once in one</w:t>
      </w:r>
    </w:p>
    <w:p>
      <w:pPr>
        <w:spacing w:after="120"/>
      </w:pPr>
      <w:r>
        <w:t xml:space="preserve">run; and</w:t>
      </w:r>
    </w:p>
    <w:p>
      <w:pPr>
        <w:pStyle w:val="ListParagraph"/>
        <w:numPr>
          <w:ilvl w:val="0"/>
          <w:numId w:val="2"/>
        </w:numPr>
        <w:spacing w:after="60"/>
      </w:pPr>
      <w:r>
        <w:t xml:space="preserve">confirmed_collected_counts are physical pickups separately confirmed by a</w:t>
      </w:r>
    </w:p>
    <w:p>
      <w:pPr>
        <w:spacing w:after="120"/>
      </w:pPr>
      <w:r>
        <w:t xml:space="preserve">human, collection controller, sensor-fusion service, or reviewed import.</w:t>
      </w:r>
    </w:p>
    <w:p>
      <w:pPr>
        <w:spacing w:after="120"/>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120"/>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spacing w:after="120"/>
      </w:pPr>
      <w:r>
        <w:t xml:space="preserve">The exact default association procedure is:</w:t>
      </w:r>
    </w:p>
    <w:p>
      <w:pPr>
        <w:spacing w:after="120"/>
      </w:pPr>
      <w:r>
        <w:t xml:space="preserve">for every active track:</w:t>
      </w:r>
      <w:r>
        <w:br/>
        <w:t xml:space="preserve">    missed_frames += 1</w:t>
      </w:r>
      <w:r>
        <w:br/>
        <w:t xml:space="preserve"/>
      </w:r>
      <w:r>
        <w:br/>
        <w:t xml:space="preserve">for every detection-track pair with IoU &gt;= 0.30:</w:t>
      </w:r>
      <w:r>
        <w:br/>
        <w:t xml:space="preserve">    score = IoU</w:t>
      </w:r>
      <w:r>
        <w:br/>
        <w:t xml:space="preserve">    if detection class differs from the track's modal class:</w:t>
      </w:r>
      <w:r>
        <w:br/>
        <w:t xml:space="preserve">        score *= 0.75</w:t>
      </w:r>
      <w:r>
        <w:br/>
        <w:t xml:space="preserve"/>
      </w:r>
      <w:r>
        <w:br/>
        <w:t xml:space="preserve">greedily assign descending scores, at most one detection per track</w:t>
      </w:r>
      <w:r>
        <w:br/>
        <w:t xml:space="preserve">and one track per detection</w:t>
      </w:r>
      <w:r>
        <w:br/>
        <w:t xml:space="preserve"/>
      </w:r>
      <w:r>
        <w:br/>
        <w:t xml:space="preserve">for every matched track:</w:t>
      </w:r>
      <w:r>
        <w:br/>
        <w:t xml:space="preserve">    update its box, reset missed_frames, increment hits,</w:t>
      </w:r>
      <w:r>
        <w:br/>
        <w:t xml:space="preserve">    and add one vote for the detected class</w:t>
      </w:r>
      <w:r>
        <w:br/>
        <w:t xml:space="preserve"/>
      </w:r>
      <w:r>
        <w:br/>
        <w:t xml:space="preserve">for every unmatched detection:</w:t>
      </w:r>
      <w:r>
        <w:br/>
        <w:t xml:space="preserve">    create a new track with one hit and one class vote</w:t>
      </w:r>
      <w:r>
        <w:br/>
        <w:t xml:space="preserve"/>
      </w:r>
      <w:r>
        <w:br/>
        <w:t xml:space="preserve">emit the modal class accumulated by each track</w:t>
      </w:r>
      <w:r>
        <w:br/>
        <w:t xml:space="preserve">confirm a track after 2 hits</w:t>
      </w:r>
      <w:r>
        <w:br/>
        <w:t xml:space="preserve">delete a track after more than 30 missed frames</w:t>
      </w:r>
      <w:r>
        <w:br/>
        <w:t xml:space="preserve">count each confirmed track ID once per run</w:t>
      </w:r>
    </w:p>
    <w:p>
      <w:pPr>
        <w:spacing w:after="120"/>
      </w:pPr>
      <w:r>
        <w:t xml:space="preserve">There is no motion model, appearance embedding, or global assignment solver. This simplicity makes the behavior reproducible and lightweight but also explains the stated limitations under rapid motion, long occlusion, and dense overlap.</w:t>
      </w:r>
    </w:p>
    <w:p>
      <w:pPr>
        <w:pStyle w:val="Heading2"/>
      </w:pPr>
      <w:r>
        <w:t xml:space="preserve">4.4 Persistence and offline operation</w:t>
      </w:r>
    </w:p>
    <w:p>
      <w:pPr>
        <w:spacing w:after="120"/>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Table</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Purpose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source, device, vehicle, route, status, timing, and final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frame_observations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per-frame visible and cumulative unique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optional detailed boxes and tracks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run_class_counts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query-friendly final class totals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review_queue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confirmed, corrected, or rejected classifications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collection_confirmations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independently confirmed physical pickups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integration_outbox</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durable events waiting for an external acknowledgement</w:t>
            </w:r>
          </w:p>
        </w:tc>
      </w:tr>
    </w:tbl>
    <w:p>
      <w:pPr>
        <w:spacing w:after="120"/>
      </w:pPr>
    </w:p>
    <w:p>
      <w:pPr>
        <w:spacing w:after="120"/>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120"/>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120"/>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120"/>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120"/>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120"/>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120"/>
      </w:pPr>
      <w:r>
        <w:t xml:space="preserve">This boundary prevents a probabilistic class or box from becoming an unreviewed actuation command. It also preserves the difference between “an object was observed” and “an object was collected.”</w:t>
      </w:r>
    </w:p>
    <w:p>
      <w:pPr>
        <w:pStyle w:val="Heading1"/>
      </w:pPr>
      <w:r>
        <w:t xml:space="preserve">5. Implementation and Reproducibility</w:t>
      </w:r>
    </w:p>
    <w:p>
      <w:pPr>
        <w:pStyle w:val="Heading2"/>
      </w:pPr>
      <w:r>
        <w:t xml:space="preserve">5.1 Software release</w:t>
      </w:r>
    </w:p>
    <w:p>
      <w:pPr>
        <w:spacing w:after="120"/>
      </w:pPr>
      <w:r>
        <w:t xml:space="preserve">The implementation described in this preprint is Edge Litter Detection version 0.10.1 at Git commit 756fa2ae0b8686bb4b97940911710dc73f8efd90 [7]. Code and project documentation are released under Apache License 2.0. Model checkpoints and datasets retain their own licenses and are not relicensed by the repository.</w:t>
      </w:r>
    </w:p>
    <w:p>
      <w:pPr>
        <w:spacing w:after="120"/>
      </w:pPr>
      <w:r>
        <w:t xml:space="preserve">The primary entry point is:</w:t>
      </w:r>
    </w:p>
    <w:p>
      <w:pPr>
        <w:spacing w:after="120"/>
      </w:pPr>
      <w:r>
        <w:t xml:space="preserve">git clone https://github.com/biolababs/edge-litter-detection.git</w:t>
      </w:r>
      <w:r>
        <w:br/>
        <w:t xml:space="preserve">cd edge-litter-detection</w:t>
      </w:r>
      <w:r>
        <w:br/>
        <w:t xml:space="preserve">./startup.sh --backend omdet_turbo --demo-video --no-display</w:t>
      </w:r>
    </w:p>
    <w:p>
      <w:pPr>
        <w:spacing w:after="120"/>
      </w:pPr>
      <w:r>
        <w:t xml:space="preserve">In this paper, a clean-clone workflow means execution from a fresh source checkout on a supported host with no pre-existing project virtual environment, model cache, private checkpoint, or API credential. Internet access is allowed for public dependency, model, and attributed demonstration downloads.</w:t>
      </w:r>
    </w:p>
    <w:p>
      <w:pPr>
        <w:spacing w:after="120"/>
      </w:pPr>
      <w:r>
        <w:t xml:space="preserve">The launcher creates or reuses a virtual environment, installs the selected runtime, downloads attributed demonstration media when requested, downloads a pinned public checkpoint, runs inference, and writes evidence. Attached cameras and network streams use the same path:</w:t>
      </w:r>
    </w:p>
    <w:p>
      <w:pPr>
        <w:spacing w:after="120"/>
      </w:pPr>
      <w:r>
        <w:t xml:space="preserve">./startup.sh --source 0 --backend omdet_turbo</w:t>
      </w:r>
      <w:r>
        <w:br/>
        <w:t xml:space="preserve"/>
      </w:r>
      <w:r>
        <w:br/>
        <w:t xml:space="preserve">export LITTER_STREAM_URL="rtsp://camera-host/live"</w:t>
      </w:r>
      <w:r>
        <w:br/>
        <w:t xml:space="preserve">./startup.sh --source "$LITTER_STREAM_URL" --backend omdet_turbo --no-display</w:t>
      </w:r>
    </w:p>
    <w:p>
      <w:pPr>
        <w:spacing w:after="120"/>
      </w:pPr>
      <w:r>
        <w:t xml:space="preserve">The dashboard is started with:</w:t>
      </w:r>
    </w:p>
    <w:p>
      <w:pPr>
        <w:spacing w:after="120"/>
      </w:pPr>
      <w:r>
        <w:t xml:space="preserve">./startup.sh --dashboard --demo-video --backend omdet_turbo --device auto</w:t>
      </w:r>
    </w:p>
    <w:p>
      <w:pPr>
        <w:spacing w:after="120"/>
      </w:pPr>
      <w:r>
        <w:t xml:space="preserve">Counts remain queryable after the process exits:</w:t>
      </w:r>
    </w:p>
    <w:p>
      <w:pPr>
        <w:spacing w:after="120"/>
      </w:pPr>
      <w:r>
        <w:t xml:space="preserve">.venv/bin/python query_counts.py runs --limit 1</w:t>
      </w:r>
      <w:r>
        <w:br/>
        <w:t xml:space="preserve">.venv/bin/python query_counts.py summary</w:t>
      </w:r>
    </w:p>
    <w:p>
      <w:pPr>
        <w:pStyle w:val="Heading2"/>
      </w:pPr>
      <w:r>
        <w:t xml:space="preserve">5.2 Model artifact controls</w:t>
      </w:r>
    </w:p>
    <w:p>
      <w:pPr>
        <w:spacing w:after="120"/>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120"/>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pStyle w:val="Heading2"/>
      </w:pPr>
      <w:r>
        <w:t xml:space="preserve">5.3 Hardware portability</w:t>
      </w:r>
    </w:p>
    <w:p>
      <w:pPr>
        <w:spacing w:after="120"/>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120"/>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120"/>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pStyle w:val="Heading2"/>
      </w:pPr>
      <w:r>
        <w:t xml:space="preserve">5.4 Software verification and secure development</w:t>
      </w:r>
    </w:p>
    <w:p>
      <w:pPr>
        <w:spacing w:after="120"/>
      </w:pPr>
      <w:r>
        <w:t xml:space="preserve">At the reported revision, 76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120"/>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120"/>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pStyle w:val="Heading2"/>
      </w:pPr>
      <w:r>
        <w:t xml:space="preserve">6.2 Data acquisition and governance</w:t>
      </w:r>
    </w:p>
    <w:p>
      <w:pPr>
        <w:spacing w:after="120"/>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120"/>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120"/>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120"/>
      </w:pPr>
      <w:r>
        <w:t xml:space="preserve">The final evaluation will report:</w:t>
      </w:r>
    </w:p>
    <w:p>
      <w:pPr>
        <w:pStyle w:val="ListParagraph"/>
        <w:numPr>
          <w:ilvl w:val="0"/>
          <w:numId w:val="2"/>
        </w:numPr>
        <w:spacing w:after="60"/>
      </w:pPr>
      <w:r>
        <w:t xml:space="preserve">precision, recall, and F1 at the frozen operational threshold;</w:t>
      </w:r>
    </w:p>
    <w:p>
      <w:pPr>
        <w:pStyle w:val="ListParagraph"/>
        <w:numPr>
          <w:ilvl w:val="0"/>
          <w:numId w:val="2"/>
        </w:numPr>
        <w:spacing w:after="60"/>
      </w:pPr>
      <w:r>
        <w:t xml:space="preserve">mAP50 and mAP50–95;</w:t>
      </w:r>
    </w:p>
    <w:p>
      <w:pPr>
        <w:pStyle w:val="ListParagraph"/>
        <w:numPr>
          <w:ilvl w:val="0"/>
          <w:numId w:val="2"/>
        </w:numPr>
        <w:spacing w:after="60"/>
      </w:pPr>
      <w:r>
        <w:t xml:space="preserve">per-class average precision and support;</w:t>
      </w:r>
    </w:p>
    <w:p>
      <w:pPr>
        <w:pStyle w:val="ListParagraph"/>
        <w:numPr>
          <w:ilvl w:val="0"/>
          <w:numId w:val="2"/>
        </w:numPr>
        <w:spacing w:after="60"/>
      </w:pPr>
      <w:r>
        <w:t xml:space="preserve">a confusion analysis;</w:t>
      </w:r>
    </w:p>
    <w:p>
      <w:pPr>
        <w:pStyle w:val="ListParagraph"/>
        <w:numPr>
          <w:ilvl w:val="0"/>
          <w:numId w:val="2"/>
        </w:numPr>
        <w:spacing w:after="60"/>
      </w:pPr>
      <w:r>
        <w:t xml:space="preserve">results by object size, lighting, weather, clutter, occlusion, distance, and</w:t>
      </w:r>
    </w:p>
    <w:p>
      <w:pPr>
        <w:spacing w:after="120"/>
      </w:pPr>
      <w:r>
        <w:t xml:space="preserve">scene type; and</w:t>
      </w:r>
    </w:p>
    <w:p>
      <w:pPr>
        <w:pStyle w:val="ListParagraph"/>
        <w:numPr>
          <w:ilvl w:val="0"/>
          <w:numId w:val="2"/>
        </w:numPr>
        <w:spacing w:after="60"/>
      </w:pPr>
      <w:r>
        <w:t xml:space="preserve">human-review rate and correction rate.</w:t>
      </w:r>
    </w:p>
    <w:p>
      <w:pPr>
        <w:spacing w:after="120"/>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120"/>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120"/>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120"/>
      </w:pPr>
      <w:r>
        <w:t xml:space="preserve">Systems evaluation will separate:</w:t>
      </w:r>
    </w:p>
    <w:p>
      <w:pPr>
        <w:pStyle w:val="ListParagraph"/>
        <w:numPr>
          <w:ilvl w:val="0"/>
          <w:numId w:val="2"/>
        </w:numPr>
        <w:spacing w:after="60"/>
      </w:pPr>
      <w:r>
        <w:t xml:space="preserve">pure detector-call latency;</w:t>
      </w:r>
    </w:p>
    <w:p>
      <w:pPr>
        <w:pStyle w:val="ListParagraph"/>
        <w:numPr>
          <w:ilvl w:val="0"/>
          <w:numId w:val="2"/>
        </w:numPr>
        <w:spacing w:after="60"/>
      </w:pPr>
      <w:r>
        <w:t xml:space="preserve">preprocessing, inference, and postprocessing latency;</w:t>
      </w:r>
    </w:p>
    <w:p>
      <w:pPr>
        <w:pStyle w:val="ListParagraph"/>
        <w:numPr>
          <w:ilvl w:val="0"/>
          <w:numId w:val="2"/>
        </w:numPr>
        <w:spacing w:after="60"/>
      </w:pPr>
      <w:r>
        <w:t xml:space="preserve">observed source-to-result throughput;</w:t>
      </w:r>
    </w:p>
    <w:p>
      <w:pPr>
        <w:pStyle w:val="ListParagraph"/>
        <w:numPr>
          <w:ilvl w:val="0"/>
          <w:numId w:val="2"/>
        </w:numPr>
        <w:spacing w:after="60"/>
      </w:pPr>
      <w:r>
        <w:t xml:space="preserve">first-inference and steady-state latency;</w:t>
      </w:r>
    </w:p>
    <w:p>
      <w:pPr>
        <w:pStyle w:val="ListParagraph"/>
        <w:numPr>
          <w:ilvl w:val="0"/>
          <w:numId w:val="2"/>
        </w:numPr>
        <w:spacing w:after="60"/>
      </w:pPr>
      <w:r>
        <w:t xml:space="preserve">p50 and p95 latency;</w:t>
      </w:r>
    </w:p>
    <w:p>
      <w:pPr>
        <w:pStyle w:val="ListParagraph"/>
        <w:numPr>
          <w:ilvl w:val="0"/>
          <w:numId w:val="2"/>
        </w:numPr>
        <w:spacing w:after="60"/>
      </w:pPr>
      <w:r>
        <w:t xml:space="preserve">process, system, and accelerator memory;</w:t>
      </w:r>
    </w:p>
    <w:p>
      <w:pPr>
        <w:pStyle w:val="ListParagraph"/>
        <w:numPr>
          <w:ilvl w:val="0"/>
          <w:numId w:val="2"/>
        </w:numPr>
        <w:spacing w:after="60"/>
      </w:pPr>
      <w:r>
        <w:t xml:space="preserve">power and energy per processed frame where supported;</w:t>
      </w:r>
    </w:p>
    <w:p>
      <w:pPr>
        <w:pStyle w:val="ListParagraph"/>
        <w:numPr>
          <w:ilvl w:val="0"/>
          <w:numId w:val="2"/>
        </w:numPr>
        <w:spacing w:after="60"/>
      </w:pPr>
      <w:r>
        <w:t xml:space="preserve">temperature, clocks, and throttling state; and</w:t>
      </w:r>
    </w:p>
    <w:p>
      <w:pPr>
        <w:pStyle w:val="ListParagraph"/>
        <w:numPr>
          <w:ilvl w:val="0"/>
          <w:numId w:val="2"/>
        </w:numPr>
        <w:spacing w:after="60"/>
      </w:pPr>
      <w:r>
        <w:t xml:space="preserve">sustained-run failures, memory growth, camera interruptions, and restart</w:t>
      </w:r>
    </w:p>
    <w:p>
      <w:pPr>
        <w:spacing w:after="120"/>
      </w:pPr>
      <w:r>
        <w:t xml:space="preserve">behavior.</w:t>
      </w:r>
    </w:p>
    <w:p>
      <w:pPr>
        <w:spacing w:after="120"/>
      </w:pPr>
      <w:r>
        <w:t xml:space="preserve">Warm-up must precede repeated samples. Principal target-device conditions should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120"/>
      </w:pPr>
      <w:r>
        <w:t xml:space="preserve">The provisional engineering target is at least 15 source-to-result frames per second for the declared camera and coexistence condition. The preliminary public-model Jetson path reported in Section 7 did not meet this target. For the shared Jetson Orin Nano 8 GB, the preferred incremental detector memory is no more than 1.5 GiB, with a 2.0 GiB initial hard limit and at least 2.0 GiB remaining available memory. The memory-availability condition passed in the reported run, but repeated measurements and a multi-hour endurance test are still required.</w:t>
      </w:r>
    </w:p>
    <w:p>
      <w:pPr>
        <w:spacing w:after="120"/>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120"/>
      </w:pPr>
      <w:r>
        <w:t xml:space="preserve">Preliminary validation establishes that the software can be installed, executed, tested, and measured. It does not establish target-domain detection accuracy, counting accuracy, operational benefit, environmental impact, or performance on every supported hardware family.</w:t>
      </w:r>
    </w:p>
    <w:p>
      <w:pPr>
        <w:pStyle w:val="Heading2"/>
      </w:pPr>
      <w:r>
        <w:t xml:space="preserve">7.2 Functional software evidence</w:t>
      </w:r>
    </w:p>
    <w:p>
      <w:pPr>
        <w:spacing w:after="120"/>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76 automated tests at the reported revision.</w:t>
      </w:r>
    </w:p>
    <w:p>
      <w:pPr>
        <w:spacing w:after="120"/>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spacing w:after="120"/>
      </w:pPr>
      <w:r>
        <w:t xml:space="preserve">Specifically, the source annotations included a cigarette, clear plastic bottle, drink can, metal bottle cap, normal paper, plastic items and wrappers, plastic utensils, and unlabeled litter. The demonstration output over-counted metal_can, proposed plastic_bag and tire where those labels were absent, and omitted several annotated small items. This concrete mismatch is why the demonstration is retained as software evidence only.</w:t>
      </w:r>
    </w:p>
    <w:p>
      <w:pPr>
        <w:pStyle w:val="Heading2"/>
      </w:pPr>
      <w:r>
        <w:t xml:space="preserve">7.3 Preliminary detector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Platform</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Backend</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Samples</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Throughput</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detector latency</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p95 latency</w:t>
            </w:r>
          </w:p>
        </w:tc>
        <w:tc>
          <w:tcPr>
            <w:tcW w:type="dxa" w:w="1337"/>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Accelerator memory</w:t>
            </w:r>
          </w:p>
        </w:tc>
      </w:tr>
      <w:tr>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AWS g4dn.xlarge, Tesla T4</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OmDet-Turbo Tiny, CUDA</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50 repeated images after 10 warm-up calls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16.53 FPS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58.98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61.03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0.55 GiB peak allocated</w:t>
            </w:r>
          </w:p>
        </w:tc>
      </w:tr>
      <w:tr>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Orin Nano 8 GB, coexistence</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OmDet-Turbo Tiny, CUDA</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50 repeated images after 10 warm-up calls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5.54 FPS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174.30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175.65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0.70 GiB peak allocated</w:t>
            </w:r>
          </w:p>
        </w:tc>
      </w:tr>
      <w:tr>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silicon, MPS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OmDet-Turbo Tiny</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 repeated images after 3 warm-up calls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5.97 FPS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160.02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164.24 ms</w:t>
            </w:r>
          </w:p>
        </w:tc>
        <w:tc>
          <w:tcPr>
            <w:tcW w:type="dxa" w:w="1337"/>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not available</w:t>
            </w:r>
          </w:p>
        </w:tc>
      </w:tr>
    </w:tbl>
    <w:p>
      <w:pPr>
        <w:spacing w:after="120"/>
      </w:pPr>
    </w:p>
    <w:p>
      <w:pPr>
        <w:spacing w:after="120"/>
      </w:pPr>
      <w:r>
        <w:t xml:space="preserve">The T4 and Jetson measurements used a repeated image and measured the detector benchmark path rather than sustained video capture, annotation rendering, database writing, and dashboard delivery. The original T4 output was produced on the AWS instance; the public repository currently retains a transcribed evidence record and the documented values, not the original remote JSON file. The Jetson and Apple measurements are retained as repository JSON artifacts. None of these measurements evaluates accuracy.</w:t>
      </w:r>
    </w:p>
    <w:p>
      <w:pPr>
        <w:spacing w:after="120"/>
      </w:pPr>
      <w:r>
        <w:t xml:space="preserve">The T4 result demonstrates that the current public-model path can exceed the provisional 15 FPS engineering target in one discrete-GPU, model-only condition. The Jetson result demonstrates compatibility and bounded steady-state detector execution, but at 5.54 FPS it did not meet that target. Neither repeated-image result establishes full-application or accuracy performance.</w:t>
      </w:r>
    </w:p>
    <w:p>
      <w:pPr>
        <w:pStyle w:val="Heading2"/>
      </w:pPr>
      <w:r>
        <w:t xml:space="preserve">7.4 Jetson inventory and coexistence validation</w:t>
      </w:r>
    </w:p>
    <w:p>
      <w:pPr>
        <w:spacing w:after="120"/>
      </w:pPr>
      <w:r>
        <w:t xml:space="preserve">An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120"/>
      </w:pPr>
      <w:r>
        <w:t xml:space="preserve">The authorized test used a dedicated data directory and a digest-pinned, 4 GiB-limited community L4T PyTorch container. It did not change system packages, system Python, power mode, clocks, or existing services. The container supplied Python 3.10.12, PyTorch 2.4.0, torchvision 0.19.0a0+48b1edf, Transformers 4.57.6, and TensorRT 10.4.0. The use of a community image is a recorded supply-chain limitation rather than an endorsed production base.</w:t>
      </w:r>
    </w:p>
    <w:p>
      <w:pPr>
        <w:spacing w:after="120"/>
      </w:pPr>
      <w:r>
        <w:t xml:space="preserve">After an initial 120-frame smoke test, the normal launcher processed all 3,622 frames of the 120.85-second attributed recycling demonstration in 733.54 seconds. Source-to-result throughput was 4.94 FPS and mean detector-call latency was 178.60 ms. The run completed tracking, annotated MP4 creation, JSONL and summary output, and SQLite persistence. tegrastats recorded 4,851 MB peak total Jetson RAM use, 63.86 °C mean and 66.31 °C peak GPU temperature, 14.53 W mean board input power, and 15.81 W peak board input power during telemetry. Swap decreased from 158 MiB before the run to 147 MiB after it. Board power includes the full Jetson and co-resident services.</w:t>
      </w:r>
    </w:p>
    <w:p>
      <w:pPr>
        <w:spacing w:after="120"/>
      </w:pPr>
      <w:r>
        <w:t xml:space="preserve">A separate loopback-only dashboard smoke test returned the browser interface with security headers, started and completed a 30-frame CUDA stream, served an annotated JPEG, and exposed the persisted run through the counts API. Its 1.77 FPS source-to-result result included lazy model loading and is reported only as functional UI/API evidence.</w:t>
      </w:r>
    </w:p>
    <w:p>
      <w:pPr>
        <w:spacing w:after="120"/>
      </w:pPr>
      <w:r>
        <w:t xml:space="preserve">The public demonstration video does not provide labels for the project's operational taxonomy. Its detections and counts are therefore not accuracy or count-error results. The run establishes bounded full-file stability, not repeatability, multi-hour endurance, thermal-throttling acceptance, or production readiness.</w:t>
      </w:r>
    </w:p>
    <w:p>
      <w:pPr>
        <w:pStyle w:val="Heading2"/>
      </w:pPr>
      <w:r>
        <w:t xml:space="preserve">7.5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Claim area</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Status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 clone, launcher, public-model inference, SQLite, dashboard/API</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implemented and functionally verified</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Automated software tests and release/security workflows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verified at reported revision</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Tesla T4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MPS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Orin 8 GB detector and 3,622-frame full workflow</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coexistence and bounded stability evidence; 15 FPS target not met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Target-domain detection/classification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representative labeled data</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Video counting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track-annotated video</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repeated runs, multi-hour endurance, and production acceptance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AMD ROCm / Strix Halo inference and sustained performance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target-device test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Cleanup or sorting operational benefit</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field evaluation</w:t>
            </w:r>
          </w:p>
        </w:tc>
      </w:tr>
    </w:tbl>
    <w:p>
      <w:pPr>
        <w:spacing w:after="120"/>
      </w:pPr>
    </w:p>
    <w:p>
      <w:pPr>
        <w:pStyle w:val="Heading1"/>
      </w:pPr>
      <w:r>
        <w:t xml:space="preserve">8. Discussion</w:t>
      </w:r>
    </w:p>
    <w:p>
      <w:pPr>
        <w:spacing w:after="120"/>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120"/>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120"/>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120"/>
      </w:pPr>
      <w:r>
        <w:t xml:space="preserve">The preliminary T4 measurement supports continued evaluation of OmDet-Turbo as the no-training path. Its 16.53 FPS detector-only throughput in the measured condition is encouraging, but the gap between that number and a full, sustained camera workload can be material. The planned protocol therefore records capture, visualization, storage, thermal, and co-resident workload effects instead of treating model latency as an end-to-end result.</w:t>
      </w:r>
    </w:p>
    <w:p>
      <w:pPr>
        <w:spacing w:after="120"/>
      </w:pPr>
      <w:r>
        <w:t xml:space="preserve">The Jetson run demonstrates another practical constraint: an edge device may already host valuable services. The existing workload remained active, at least 2.54 GiB system memory remained available during the detector benchmark, and the video run did not increase swap. This coexistence result is more representative than an exclusive laboratory run, but it also shows that the eager public-model path is below the declared 15 FPS goal and requires optimization before high-rate use.</w:t>
      </w:r>
    </w:p>
    <w:p>
      <w:pPr>
        <w:spacing w:after="120"/>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120"/>
      </w:pPr>
      <w:r>
        <w:t xml:space="preserve">First, the public open-vocabulary checkpoint has not been calibrated on a representative target-domain dataset. Demonstration detections may be useful for software testing while being inaccurate for operational decisions.</w:t>
      </w:r>
    </w:p>
    <w:p>
      <w:pPr>
        <w:spacing w:after="120"/>
      </w:pPr>
      <w:r>
        <w:t xml:space="preserve">Second, the model benchmarks use repeated images. They reduce source variation and do not include all full-pipeline costs. Sample counts are modest, and the remote T4 JSON artifact was not copied back into the repository before the instance output was summarized. The Jetson result adds a complete 3,622-frame pipeline run, but it remains a single unlabelled source and one device run.</w:t>
      </w:r>
    </w:p>
    <w:p>
      <w:pPr>
        <w:spacing w:after="120"/>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w:t>
      </w:r>
    </w:p>
    <w:p>
      <w:pPr>
        <w:spacing w:after="120"/>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120"/>
      </w:pPr>
      <w:r>
        <w:t xml:space="preserve">Fifth, the Jetson execution path has one preliminary coexistence validation, not the repeated/endurance evidence required for production acceptance. Its community container base requires a separate supply-chain decision. AMD execution remains untested.</w:t>
      </w:r>
    </w:p>
    <w:p>
      <w:pPr>
        <w:spacing w:after="120"/>
      </w:pPr>
      <w:r>
        <w:t xml:space="preserve">Sixth, the author developed the system and performed the reported validation. No independent team has yet reproduced the clean-clone workflow or audited the measurements. An external reproduction log on another supported host is a required credibility milestone.</w:t>
      </w:r>
    </w:p>
    <w:p>
      <w:pPr>
        <w:spacing w:after="120"/>
      </w:pPr>
      <w:r>
        <w:t xml:space="preserve">Seventh, no field study has yet measured whether the system improves route planning, worker productivity, recovery rate, separation quality, or cleanup outcomes. Those benefits remain hypotheses for later operational evaluation.</w:t>
      </w:r>
    </w:p>
    <w:p>
      <w:pPr>
        <w:spacing w:after="120"/>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120"/>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120"/>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120"/>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120"/>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 The preliminary Jetson test reports whole-board power, not detector-only energy. Energy per frame is intentionally withheld until run and power timestamps are synchronized tightly enough to separate startup, inference, co-resident workloads, and cooldown.</w:t>
      </w:r>
    </w:p>
    <w:p>
      <w:pPr>
        <w:pStyle w:val="Heading1"/>
      </w:pPr>
      <w:r>
        <w:t xml:space="preserve">11. Data, Code, and Reproducibility Availability</w:t>
      </w:r>
    </w:p>
    <w:p>
      <w:pPr>
        <w:spacing w:after="120"/>
      </w:pPr>
      <w:r>
        <w:t xml:space="preserve">The software, configuration, documentation, tests, and reproduction commands are available at:</w:t>
      </w:r>
    </w:p>
    <w:p>
      <w:pPr>
        <w:spacing w:after="120"/>
      </w:pPr>
      <w:r>
        <w:t xml:space="preserve">https://github.com/biolababs/edge-litter-detection</w:t>
      </w:r>
    </w:p>
    <w:p>
      <w:pPr>
        <w:spacing w:after="120"/>
      </w:pPr>
      <w:r>
        <w:t xml:space="preserve">This paper describes and reports measurements from version 0.10.1 at commit:</w:t>
      </w:r>
    </w:p>
    <w:p>
      <w:pPr>
        <w:spacing w:after="120"/>
      </w:pPr>
      <w:r>
        <w:t xml:space="preserve">756fa2ae0b8686bb4b97940911710dc73f8efd90</w:t>
      </w:r>
    </w:p>
    <w:p>
      <w:pPr>
        <w:spacing w:after="120"/>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120"/>
      </w:pPr>
      <w:r>
        <w:t xml:space="preserve">Preliminary evidence records accompany this manuscript under paper/evidence/, including the raw Jetson benchmark JSON, run summary, tegrastats captures, checksums, and interpretation boundary.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120"/>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120"/>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bounded T4 and Apple-silicon model measurements, and an end-to-end Jetson coexistence run covering video, storage, dashboard, and API behavior. The Jetson public-model path is functional but did not meet the provisional 15 FPS target. The paper does not yet support claims of target-domain accuracy, counting accuracy, endurance, AMD performance, or production readiness.</w:t>
      </w:r>
    </w:p>
    <w:p>
      <w:pPr>
        <w:spacing w:after="120"/>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Jetson work should first optimize the runtime, repeat the measured conditions, and complete a multi-hour endurance test. A subsequent paper revision should replace pending evidence with traceable accuracy, reliability, and operational-outcome results.</w:t>
      </w:r>
    </w:p>
    <w:p>
      <w:pPr>
        <w:pStyle w:val="Heading1"/>
      </w:pPr>
      <w:r>
        <w:t xml:space="preserve">Declarations</w:t>
      </w:r>
    </w:p>
    <w:p>
      <w:pPr>
        <w:pStyle w:val="Heading2"/>
      </w:pPr>
      <w:r>
        <w:t xml:space="preserve">Author contributions</w:t>
      </w:r>
    </w:p>
    <w:p>
      <w:pPr>
        <w:spacing w:after="120"/>
      </w:pPr>
      <w:r>
        <w:t xml:space="preserve">Abiola A. Babsalaam conceived the use case, designed and implemented the software, prepared the preliminary validation, and authored the manuscript.</w:t>
      </w:r>
    </w:p>
    <w:p>
      <w:pPr>
        <w:pStyle w:val="Heading2"/>
      </w:pPr>
      <w:r>
        <w:t xml:space="preserve">Funding</w:t>
      </w:r>
    </w:p>
    <w:p>
      <w:pPr>
        <w:spacing w:after="120"/>
      </w:pPr>
      <w:r>
        <w:t xml:space="preserve">No external funding is declared for this preprint.</w:t>
      </w:r>
    </w:p>
    <w:p>
      <w:pPr>
        <w:pStyle w:val="Heading2"/>
      </w:pPr>
      <w:r>
        <w:t xml:space="preserve">Competing interests</w:t>
      </w:r>
    </w:p>
    <w:p>
      <w:pPr>
        <w:spacing w:after="120"/>
      </w:pPr>
      <w:r>
        <w:t xml:space="preserve">The author declares no competing interests.</w:t>
      </w:r>
    </w:p>
    <w:p>
      <w:pPr>
        <w:pStyle w:val="Heading2"/>
      </w:pPr>
      <w:r>
        <w:t xml:space="preserve">Ethics statement</w:t>
      </w:r>
    </w:p>
    <w:p>
      <w:pPr>
        <w:spacing w:after="120"/>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120"/>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1"/>
      </w:pPr>
      <w:r>
        <w:t xml:space="preserve">References</w:t>
      </w:r>
    </w:p>
    <w:p>
      <w:pPr>
        <w:spacing w:after="120"/>
      </w:pPr>
      <w:r>
        <w:t xml:space="preserve">[1] Kaza, S., Yao, L. C., Bhada-Tata, P., &amp; Van Woerden, F. (2018). What a Waste 2.0: A Global Snapshot of Solid Waste Management to 2050. World Bank. https://doi.org/10.1596/978-1-4648-1329-0</w:t>
      </w:r>
    </w:p>
    <w:p>
      <w:pPr>
        <w:spacing w:after="120"/>
      </w:pPr>
      <w:r>
        <w:t xml:space="preserve">[2] Jambeck, J. R., Geyer, R., Wilcox, C., Siegler, T. R., Perryman, M., Andrady, A., Narayan, R., &amp; Law, K. L. (2015). Plastic waste inputs from land into the ocean. Science, 347(6223), 768–771. https://doi.org/10.1126/science.1260352</w:t>
      </w:r>
    </w:p>
    <w:p>
      <w:pPr>
        <w:spacing w:after="120"/>
      </w:pPr>
      <w:r>
        <w:t xml:space="preserve">[3] Proença, P. F., &amp; Simões, P. (2020). TACO: Trash Annotations in Context for Litter Detection. arXiv:2003.06975. https://doi.org/10.48550/arXiv.2003.06975</w:t>
      </w:r>
    </w:p>
    <w:p>
      <w:pPr>
        <w:spacing w:after="120"/>
      </w:pPr>
      <w:r>
        <w:t xml:space="preserve">[4] Córdova, M., Pinto, A., Hellevik, C. C., Alaliyat, S. A.-A., Hameed, I. A., Pedrini, H., &amp; Torres, R. d. S. (2022). Litter detection with deep learning: A comparative study. Sensors, 22(2), 548. https://doi.org/10.3390/s22020548</w:t>
      </w:r>
    </w:p>
    <w:p>
      <w:pPr>
        <w:spacing w:after="120"/>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120"/>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https://doi.org/10.48550/arXiv.2106.02740</w:t>
      </w:r>
    </w:p>
    <w:p>
      <w:pPr>
        <w:spacing w:after="120"/>
      </w:pPr>
      <w:r>
        <w:t xml:space="preserve">[7] Babsalaam, A. A. (2026). Edge Litter Detection, Multiclass Classification, Tracking, and Counting (Version 0.10.1) [Computer software]. GitHub. https://github.com/biolababs/edge-litter-detection</w:t>
      </w:r>
    </w:p>
    <w:p>
      <w:pPr>
        <w:spacing w:after="120"/>
      </w:pPr>
      <w:r>
        <w:t xml:space="preserve">[8] Wu, T., Xu, Q., He, X., Weekes, O., Brown, J., &amp; Duan, W. (2026). RoLID-11K: A dashcam dataset for small-object roadside litter detection. arXiv:2601.00398. https://doi.org/10.48550/arXiv.2601.00398</w:t>
      </w:r>
    </w:p>
    <w:p>
      <w:pPr>
        <w:spacing w:after="120"/>
      </w:pPr>
      <w:r>
        <w:t xml:space="preserve">[9] Lin, T.-Y., Maire, M., Belongie, S., Hays, J., Perona, P., Ramanan, D., Dollár, P., &amp; Zitnick, C. L. (2014). Microsoft COCO: Common objects in context. In Computer Vision – ECCV 2014 (pp. 740–755). https://doi.org/10.1007/978-3-319-10602-1_48</w:t>
      </w:r>
    </w:p>
    <w:p>
      <w:pPr>
        <w:spacing w:after="120"/>
      </w:pPr>
      <w:r>
        <w:t xml:space="preserve">[10] Carion, N., Massa, F., Synnaeve, G., Usunier, N., Kirillov, A., &amp; Zagoruyko, S. (2020). End-to-end object detection with transformers. In Computer Vision – ECCV 2020 (pp. 213–229). https://doi.org/10.1007/978-3-030-58452-8_13</w:t>
      </w:r>
    </w:p>
    <w:p>
      <w:pPr>
        <w:spacing w:after="120"/>
      </w:pPr>
      <w:r>
        <w:t xml:space="preserve">[11] Zhang, H., Li, F., Liu, S., Zhang, L., Su, H., Zhu, J., Ni, L. M., &amp; Shum, H.-Y. (2022). DINO: DETR with improved denoising anchor boxes for end-to-end object detection. arXiv:2203.03605. https://doi.org/10.48550/arXiv.2203.03605</w:t>
      </w:r>
    </w:p>
    <w:p>
      <w:pPr>
        <w:spacing w:after="120"/>
      </w:pPr>
      <w:r>
        <w:t xml:space="preserve">[12] Liu, S., Zeng, Z., Ren, T., Li, F., Zhang, H., Yang, J., Jiang, Q., Li, C., Yang, J., Su, H., Zhu, J., &amp; Zhang, L. (2023). Grounding DINO: Marrying DINO with grounded pre-training for open-set object detection. arXiv:2303.05499. https://doi.org/10.48550/arXiv.2303.05499</w:t>
      </w:r>
    </w:p>
    <w:p>
      <w:pPr>
        <w:spacing w:after="120"/>
      </w:pPr>
      <w:r>
        <w:t xml:space="preserve">[13] Zhao, T., Liu, P., He, X., Zhang, L., &amp; Lee, K. (2024). Real-time transformer-based open-vocabulary detection with efficient fusion head. arXiv:2403.06892. https://doi.org/10.48550/arXiv.2403.06892</w:t>
      </w:r>
    </w:p>
    <w:p>
      <w:pPr>
        <w:spacing w:after="120"/>
      </w:pPr>
      <w:r>
        <w:t xml:space="preserve">[14] Robinson, I., Robicheaux, P., Popov, M., Ramanan, D., &amp; Peri, N. (2025). RF-DETR: Neural architecture search for real-time detection transformers. arXiv:2511.09554. https://doi.org/10.48550/arXiv.2511.09554</w:t>
      </w:r>
    </w:p>
    <w:p>
      <w:pPr>
        <w:spacing w:after="120"/>
      </w:pPr>
      <w:r>
        <w:t xml:space="preserve">[15] Bewley, A., Ge, Z., Ott, L., Ramos, F., &amp; Upcroft, B. (2016). Simple online and realtime tracking. In 2016 IEEE International Conference on Image Processing (pp. 3464–3468). https://doi.org/10.1109/ICIP.2016.7533003</w:t>
      </w:r>
    </w:p>
    <w:p>
      <w:pPr>
        <w:spacing w:after="120"/>
      </w:pPr>
      <w:r>
        <w:t xml:space="preserve">[16] Zhang, Y., Sun, P., Jiang, Y., Yu, D., Weng, F., Yuan, Z., Luo, P., Liu, W., &amp; Wang, X. (2022). ByteTrack: Multi-object tracking by associating every detection box. In Computer Vision – ECCV 2022 (pp. 1–21). https://doi.org/10.1007/978-3-031-20047-2_1</w:t>
      </w:r>
    </w:p>
    <w:p>
      <w:pPr>
        <w:spacing w:after="120"/>
      </w:pPr>
      <w:r>
        <w:t xml:space="preserve">[17] Paszke, A., Gross, S., Massa, F., Lerer, A., Bradbury, J., Chanan, G., Killeen, T., Lin, Z., Gimelshein, N., Antiga, L., et al. (2019). PyTorch: An imperative style, high-performance deep learning library. In Advances in Neural Information Processing Systems 32.</w:t>
      </w:r>
    </w:p>
    <w:p>
      <w:pPr>
        <w:spacing w:after="120"/>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120"/>
      </w:pPr>
      <w:r>
        <w:t xml:space="preserve">[19] Bradski, G. (2000). The OpenCV library. Dr. Dobb’s Journal of Software Tools.</w:t>
      </w:r>
    </w:p>
    <w:p>
      <w:pPr>
        <w:spacing w:after="120"/>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120"/>
      </w:pPr>
      <w:r>
        <w:t xml:space="preserve">[21] OWASP Foundation. (2021). Application Security Verification Standard 4.0.3. https://owasp.org/www-project-application-security-verification-standard/</w:t>
      </w:r>
    </w:p>
    <w:p>
      <w:pPr>
        <w:spacing w:after="120"/>
      </w:pPr>
      <w:r>
        <w:t xml:space="preserve">[22] Litterati. (2026). Analyze: Identify litter trends and measure impact. https://www.litterati.org/analyze</w:t>
      </w:r>
    </w:p>
    <w:p>
      <w:pPr>
        <w:spacing w:after="120"/>
      </w:pPr>
      <w:r>
        <w:t xml:space="preserve">[23] United States Environmental Protection Agency. (2023). EPA SBIR Supports Technology to Improve Recycling. https://www.epa.gov/sbir/epa-sbir-supports-technology-improve-recycling</w:t>
      </w:r>
    </w:p>
    <w:p>
      <w:pPr>
        <w:spacing w:after="120"/>
      </w:pPr>
      <w:r>
        <w:t xml:space="preserve">[24] AMP. (2026). AMP Vision: Real-Time Material Characterization. https://ampsortation.com/vision-system</w:t>
      </w:r>
    </w:p>
    <w:p>
      <w:pPr>
        <w:pStyle w:val="Heading1"/>
      </w:pPr>
      <w:r>
        <w:t xml:space="preserve">Appendix A. Reproduction Commands</w:t>
      </w:r>
    </w:p>
    <w:p>
      <w:pPr>
        <w:pStyle w:val="Heading2"/>
      </w:pPr>
      <w:r>
        <w:t xml:space="preserve">A.1 Functional demonstration</w:t>
      </w:r>
    </w:p>
    <w:p>
      <w:pPr>
        <w:spacing w:after="120"/>
      </w:pPr>
      <w:r>
        <w:t xml:space="preserve">git clone https://github.com/biolababs/edge-litter-detection.git</w:t>
      </w:r>
      <w:r>
        <w:br/>
        <w:t xml:space="preserve">cd edge-litter-detection</w:t>
      </w:r>
      <w:r>
        <w:br/>
        <w:t xml:space="preserve">git checkout 756fa2ae0b8686bb4b97940911710dc73f8efd90</w:t>
      </w:r>
      <w:r>
        <w:br/>
        <w:t xml:space="preserve">./startup.sh --backend omdet_turbo --demo-video --no-display</w:t>
      </w:r>
    </w:p>
    <w:p>
      <w:pPr>
        <w:pStyle w:val="Heading2"/>
      </w:pPr>
      <w:r>
        <w:t xml:space="preserve">A.2 Dashboard</w:t>
      </w:r>
    </w:p>
    <w:p>
      <w:pPr>
        <w:spacing w:after="120"/>
      </w:pPr>
      <w:r>
        <w:t xml:space="preserve">./startup.sh --dashboard --demo-video --backend omdet_turbo --device auto</w:t>
      </w:r>
    </w:p>
    <w:p>
      <w:pPr>
        <w:spacing w:after="120"/>
      </w:pPr>
      <w:r>
        <w:t xml:space="preserve">Open http://127.0.0.1:8088. For a remote edge computer, keep the service on loopback and use an SSH tunnel.</w:t>
      </w:r>
    </w:p>
    <w:p>
      <w:pPr>
        <w:pStyle w:val="Heading2"/>
      </w:pPr>
      <w:r>
        <w:t xml:space="preserve">A.3 Counts</w:t>
      </w:r>
    </w:p>
    <w:p>
      <w:pPr>
        <w:spacing w:after="120"/>
      </w:pPr>
      <w:r>
        <w:t xml:space="preserve">.venv/bin/python query_counts.py runs --limit 10</w:t>
      </w:r>
      <w:r>
        <w:br/>
        <w:t xml:space="preserve">.venv/bin/python query_counts.py summary</w:t>
      </w:r>
      <w:r>
        <w:br/>
        <w:t xml:space="preserve">.venv/bin/python query_counts.py reviews --status pending</w:t>
      </w:r>
    </w:p>
    <w:p>
      <w:pPr>
        <w:pStyle w:val="Heading2"/>
      </w:pPr>
      <w:r>
        <w:t xml:space="preserve">A.4 Benchmark</w:t>
      </w:r>
    </w:p>
    <w:p>
      <w:pPr>
        <w:spacing w:after="120"/>
      </w:pPr>
      <w:r>
        <w:t xml:space="preserve">.venv/bin/python benchmark.py \</w:t>
      </w:r>
      <w:r>
        <w:br/>
        <w:t xml:space="preserve">  --backend omdet_turbo \</w:t>
      </w:r>
      <w:r>
        <w:br/>
        <w:t xml:space="preserve">  --source media/taco-demo/taco-000866.jpg \</w:t>
      </w:r>
      <w:r>
        <w:br/>
        <w:t xml:space="preserve">  --device cuda \</w:t>
      </w:r>
      <w:r>
        <w:br/>
        <w:t xml:space="preserve">  --warmup 10 \</w:t>
      </w:r>
      <w:r>
        <w:br/>
        <w:t xml:space="preserve">  --image-repeats 50 \</w:t>
      </w:r>
      <w:r>
        <w:br/>
        <w:t xml:space="preserve">  --max-samples 50 \</w:t>
      </w:r>
      <w:r>
        <w:br/>
        <w:t xml:space="preserve">  --output reports/generated/omdet-benchmark.json</w:t>
      </w:r>
    </w:p>
    <w:p>
      <w:pPr>
        <w:pStyle w:val="Heading2"/>
      </w:pPr>
      <w:r>
        <w:t xml:space="preserve">A.5 Validation</w:t>
      </w:r>
    </w:p>
    <w:p>
      <w:pPr>
        <w:spacing w:after="120"/>
      </w:pPr>
      <w:r>
        <w:t xml:space="preserve">python -m pip install -e ".[dev]"</w:t>
      </w:r>
      <w:r>
        <w:br/>
        <w:t xml:space="preserve">make validate</w:t>
      </w:r>
      <w:r>
        <w:br/>
        <w:t xml:space="preserve">make security</w:t>
      </w:r>
    </w:p>
    <w:p>
      <w:pPr>
        <w:pStyle w:val="Heading1"/>
      </w:pPr>
      <w:r>
        <w:t xml:space="preserve">Appendix B. Required Evidence for the Empirical Revision</w:t>
      </w:r>
    </w:p>
    <w:p>
      <w:pPr>
        <w:pStyle w:val="ListParagraph"/>
        <w:numPr>
          <w:ilvl w:val="0"/>
          <w:numId w:val="2"/>
        </w:numPr>
        <w:spacing w:after="60"/>
      </w:pPr>
      <w:r>
        <w:t xml:space="preserve">approved data-governance, privacy, and annotation protocol;</w:t>
      </w:r>
    </w:p>
    <w:p>
      <w:pPr>
        <w:pStyle w:val="ListParagraph"/>
        <w:numPr>
          <w:ilvl w:val="0"/>
          <w:numId w:val="2"/>
        </w:numPr>
        <w:spacing w:after="60"/>
      </w:pPr>
      <w:r>
        <w:t xml:space="preserve">source-grouped and checksummed development and held-out test partitions;</w:t>
      </w:r>
    </w:p>
    <w:p>
      <w:pPr>
        <w:pStyle w:val="ListParagraph"/>
        <w:numPr>
          <w:ilvl w:val="0"/>
          <w:numId w:val="2"/>
        </w:numPr>
        <w:spacing w:after="60"/>
      </w:pPr>
      <w:r>
        <w:t xml:space="preserve">support counts for every released class;</w:t>
      </w:r>
    </w:p>
    <w:p>
      <w:pPr>
        <w:pStyle w:val="ListParagraph"/>
        <w:numPr>
          <w:ilvl w:val="0"/>
          <w:numId w:val="2"/>
        </w:numPr>
        <w:spacing w:after="60"/>
      </w:pPr>
      <w:r>
        <w:t xml:space="preserve">checkpoint or public-model revision, prompt/class schema, thresholds, and</w:t>
      </w:r>
    </w:p>
    <w:p>
      <w:pPr>
        <w:spacing w:after="120"/>
      </w:pPr>
      <w:r>
        <w:t xml:space="preserve">configuration checksum;</w:t>
      </w:r>
    </w:p>
    <w:p>
      <w:pPr>
        <w:pStyle w:val="ListParagraph"/>
        <w:numPr>
          <w:ilvl w:val="0"/>
          <w:numId w:val="2"/>
        </w:numPr>
        <w:spacing w:after="60"/>
      </w:pPr>
      <w:r>
        <w:t xml:space="preserve">detection, classification, and counting accuracy with per-class results;</w:t>
      </w:r>
    </w:p>
    <w:p>
      <w:pPr>
        <w:pStyle w:val="ListParagraph"/>
        <w:numPr>
          <w:ilvl w:val="0"/>
          <w:numId w:val="2"/>
        </w:numPr>
        <w:spacing w:after="60"/>
      </w:pPr>
      <w:r>
        <w:t xml:space="preserve">target-device environment manifest;</w:t>
      </w:r>
    </w:p>
    <w:p>
      <w:pPr>
        <w:pStyle w:val="ListParagraph"/>
        <w:numPr>
          <w:ilvl w:val="0"/>
          <w:numId w:val="2"/>
        </w:numPr>
        <w:spacing w:after="60"/>
      </w:pPr>
      <w:r>
        <w:t xml:space="preserve">full-pipeline latency, throughput, memory, power, temperature, and sustained</w:t>
      </w:r>
    </w:p>
    <w:p>
      <w:pPr>
        <w:spacing w:after="120"/>
      </w:pPr>
      <w:r>
        <w:t xml:space="preserve">stability;</w:t>
      </w:r>
    </w:p>
    <w:p>
      <w:pPr>
        <w:pStyle w:val="ListParagraph"/>
        <w:numPr>
          <w:ilvl w:val="0"/>
          <w:numId w:val="2"/>
        </w:numPr>
        <w:spacing w:after="60"/>
      </w:pPr>
      <w:r>
        <w:t xml:space="preserve">field or sorting-line operational outcomes; and</w:t>
      </w:r>
    </w:p>
    <w:p>
      <w:pPr>
        <w:pStyle w:val="ListParagraph"/>
        <w:numPr>
          <w:ilvl w:val="0"/>
          <w:numId w:val="2"/>
        </w:numPr>
        <w:spacing w:after="60"/>
      </w:pPr>
      <w:r>
        <w:t xml:space="preserve">updated limitations tied to measured failure modes.</w:t>
      </w:r>
    </w:p>
    <w:p>
      <w:pPr>
        <w:pStyle w:val="Heading1"/>
      </w:pPr>
      <w:r>
        <w:t xml:space="preserve">Editorial Transparency and Verification Notice</w:t>
      </w:r>
    </w:p>
    <w:p>
      <w:pPr>
        <w:spacing w:after="120"/>
      </w:pPr>
      <w:r>
        <w:t xml:space="preserve">⚠️ AI &amp; Data Notice: All output is AI-generated and must be independently verified before sharing with customers or taking action.</w:t>
      </w:r>
    </w:p>
    <w:p>
      <w:pPr>
        <w:spacing w:after="120"/>
      </w:pPr>
      <w:r>
        <w:t xml:space="preserve">This banner discloses the use of an AI-assisted document-generation workflow. It does not replace author responsibility, peer review, source verification, or the scientific limitations stated in the manuscript. A venue-specific version should follow the destination venue's disclosure policy while retaining an accurate authorship and tool-use statement.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C000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E2761"/>
      <w:sz w:val="40"/>
      <w:szCs w:val="40"/>
    </w:rPr>
  </w:style>
  <w:style w:type="paragraph" w:styleId="Heading2">
    <w:name w:val="Heading 2"/>
    <w:basedOn w:val="Normal"/>
    <w:next w:val="Normal"/>
    <w:qFormat/>
    <w:pPr>
      <w:spacing w:before="240" w:after="160"/>
      <w:outlineLvl w:val="1"/>
    </w:pPr>
    <w:rPr>
      <w:rFonts w:ascii="Arial" w:cs="Arial" w:eastAsia="Arial" w:hAnsi="Arial"/>
      <w:b/>
      <w:bCs/>
      <w:color w:val="232F3E"/>
      <w:sz w:val="32"/>
      <w:szCs w:val="32"/>
    </w:rPr>
  </w:style>
  <w:style w:type="paragraph" w:styleId="Heading3">
    <w:name w:val="Heading 3"/>
    <w:basedOn w:val="Normal"/>
    <w:next w:val="Normal"/>
    <w:qFormat/>
    <w:pPr>
      <w:spacing w:before="200" w:after="12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ns0:coreProperties xmlns:dc="http://purl.org/dc/elements/1.1/" xmlns:ns0="http://schemas.openxmlformats.org/package/2006/metadata/core-properties" xmlns:ns2="http://purl.org/dc/terms/" xmlns:xsi="http://www.w3.org/2001/XMLSchema-instance">
  <dc:creator>Abiola A. Babsalaam</dc:creator>
  <ns0:lastModifiedBy>Abiola A. Babsalaam</ns0:lastModifiedBy>
  <ns0:revision>1</ns0:revision>
  <ns2:created xsi:type="dcterms:W3CDTF">2026-10-21T03:48:49.157Z</ns2:created>
  <ns2:modified xsi:type="dcterms:W3CDTF">2026-10-21T03:48:49.159Z</ns2:modified>
  <dc:title>An Open and Reproducible Edge-AI Software Architecture for Litter Detection, Multiclass Classification, Tracking, and Counting</dc:title>
  <dc:subject>Software architecture and reproducibility preprint, version 1.1</dc:subject>
  <dc:description>Open edge-AI litter detection architecture with preliminary Tesla T4, Apple MPS, and Jetson Orin Nano engineering validation.</dc:description>
</ns0:coreProperties>
</file>

<file path=docProps/custom.xml><?xml version="1.0" encoding="utf-8"?>
<Properties xmlns="http://schemas.openxmlformats.org/officeDocument/2006/custom-properties" xmlns:vt="http://schemas.openxmlformats.org/officeDocument/2006/docPropsVTypes"/>
</file>