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160"/>
        <w:jc w:val="center"/>
      </w:pPr>
      <w:r>
        <w:rPr>
          <w:rFonts w:ascii="Times New Roman" w:cs="Times New Roman" w:eastAsia="Times New Roman" w:hAnsi="Times New Roman"/>
          <w:b/>
          <w:bCs/>
          <w:color w:val="111111"/>
          <w:sz w:val="36"/>
          <w:szCs w:val="36"/>
        </w:rPr>
        <w:t xml:space="preserve">An Open and Reproducible Edge-AI Software Architecture for Litter Detection, Multiclass Classification, Tracking, and Counting</w:t>
      </w:r>
    </w:p>
    <w:p>
      <w:pPr>
        <w:spacing w:after="70"/>
        <w:jc w:val="center"/>
      </w:pPr>
      <w:r>
        <w:rPr>
          <w:rFonts w:ascii="Times New Roman" w:cs="Times New Roman" w:eastAsia="Times New Roman" w:hAnsi="Times New Roman"/>
          <w:color w:val="111111"/>
          <w:sz w:val="22"/>
          <w:szCs w:val="22"/>
        </w:rPr>
        <w:t xml:space="preserve">Abiola A. Babsalaam — Independent Researcher</w:t>
      </w:r>
    </w:p>
    <w:p>
      <w:pPr>
        <w:spacing w:after="55"/>
        <w:jc w:val="center"/>
      </w:pPr>
      <w:r>
        <w:rPr>
          <w:rFonts w:ascii="Times New Roman" w:cs="Times New Roman" w:eastAsia="Times New Roman" w:hAnsi="Times New Roman"/>
          <w:color w:val="333333"/>
          <w:sz w:val="18"/>
          <w:szCs w:val="18"/>
        </w:rPr>
        <w:t xml:space="preserve">Preprint version 1.7</w:t>
      </w:r>
    </w:p>
    <w:p>
      <w:pPr>
        <w:spacing w:after="35"/>
        <w:jc w:val="center"/>
      </w:pPr>
      <w:r>
        <w:rPr>
          <w:rFonts w:ascii="Times New Roman" w:cs="Times New Roman" w:eastAsia="Times New Roman" w:hAnsi="Times New Roman"/>
          <w:color w:val="333333"/>
          <w:sz w:val="18"/>
          <w:szCs w:val="18"/>
        </w:rPr>
        <w:t xml:space="preserve">21 October 2026</w:t>
      </w:r>
    </w:p>
    <w:p>
      <w:pPr>
        <w:spacing w:after="180"/>
        <w:jc w:val="center"/>
      </w:pPr>
      <w:r>
        <w:rPr>
          <w:rFonts w:ascii="Times New Roman" w:cs="Times New Roman" w:eastAsia="Times New Roman" w:hAnsi="Times New Roman"/>
          <w:color w:val="333333"/>
          <w:sz w:val="18"/>
          <w:szCs w:val="18"/>
        </w:rPr>
        <w:t xml:space="preserve">Code: github.com/biolababs/edge-litter-detection</w:t>
      </w:r>
    </w:p>
    <w:p>
      <w:pPr>
        <w:pStyle w:val="Heading1"/>
      </w:pPr>
      <w:r>
        <w:t xml:space="preserve">Abstract</w:t>
      </w:r>
    </w:p>
    <w:p>
      <w:pPr>
        <w:spacing w:after="80"/>
        <w:jc w:val="both"/>
      </w:pPr>
      <w:r>
        <w:t xml:space="preserve">Deployable litter monitoring requires more than object detection: it must ingest operational video, maintain stable class contracts, avoid repeated counting, persist evidence, support human review, and integrate safely with collection or sorting workflows. This paper presents an open and reproducible edge-AI software architecture that packages these functions as one portable application. It accepts cameras, images, recorded video, HTTP media, and RTSP streams; normalizes public or custom detector output; performs duplicate suppression and class-stabilized tracking; reports visible and unique-session counts; stores auditable SQLite and JSON evidence; and provides a browser interface for annotated video, counts, review, and source control.</w:t>
      </w:r>
    </w:p>
    <w:p>
      <w:pPr>
        <w:spacing w:after="80"/>
        <w:jc w:val="both"/>
      </w:pPr>
      <w:r>
        <w:t xml:space="preserve">The detector is interchangeable rather than the product boundary. A clean clone uses a pinned public OmDet-Turbo Tiny checkpoint, while a validated litter-specific checkpoint can later replace it without changing downstream contracts. On a deterministic source-grouped TACO test partition of 212 images and 680 mapped annotations, the public checkpoint measured 7.65% COCO mAP50–95, 10.16% mAP50, and 7.49% micro F1 at a frozen operating point. The result identifies the checkpoint as a functional bootstrap, not a production-accepted litter classifier.</w:t>
      </w:r>
    </w:p>
    <w:p>
      <w:pPr>
        <w:spacing w:after="80"/>
        <w:jc w:val="both"/>
      </w:pPr>
      <w:r>
        <w:t xml:space="preserve">Engineering validation covers installation, inference, persistence, automated checks, and execution on NVIDIA CUDA, Apple silicon, and a Jetson Orin Nano 8 GB. A complete 3,622-frame Jetson run measured 4.94 source-to-result FPS; three warmed 300-frame full-pipeline repetitions measured 5.188 ± 0.010 FPS. Model forward, preprocessing, and annotation/output accounted for 95.38% of wall time, whereas tracking, JSONL, and SQLite together accounted for less than 1%. The provisional 15 FPS target was not met. The contribution is therefore a reusable architecture with explicit count semantics, safety and security boundaries, traceable preliminary evidence, and a protocol for target-domain accuracy, counting, endurance, and hardware acceptance work that remains pending.</w:t>
      </w:r>
    </w:p>
    <w:p>
      <w:pPr>
        <w:spacing w:after="80"/>
        <w:jc w:val="both"/>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80"/>
        <w:jc w:val="both"/>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80"/>
        <w:jc w:val="both"/>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80"/>
        <w:jc w:val="both"/>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80"/>
        <w:jc w:val="both"/>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80"/>
        <w:jc w:val="both"/>
      </w:pPr>
      <w:r>
        <w:t xml:space="preserve">The contribution is therefore a software-systems and reproducibility architecture, not a new detector. This revision adds a preliminary public-data accuracy result, but it is not a target-domain validation. The low zero-shot result is reported because deployability requires both working software and an honest model-acceptance boundary.</w:t>
      </w:r>
    </w:p>
    <w:p>
      <w:pPr>
        <w:spacing w:after="80"/>
        <w:jc w:val="both"/>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80"/>
        <w:jc w:val="both"/>
      </w:pPr>
      <w:r>
        <w:t xml:space="preserve">This paper is released as a systems and reproducibility preprint. It documents the implemented design, a public-data zero-shot evaluation, and authorized Jetson coexistence measurements while target-domain data, video count ground truth, multi-hour endurance, and field outcomes remain pending. This distinction is deliberate: public-data accuracy is not field accuracy, and a short technical run is not proof of sustained operational performance.</w:t>
      </w:r>
    </w:p>
    <w:p>
      <w:pPr>
        <w:pStyle w:val="Heading2"/>
      </w:pPr>
      <w:r>
        <w:t xml:space="preserve">1.1 Research questions</w:t>
      </w:r>
    </w:p>
    <w:p>
      <w:pPr>
        <w:spacing w:after="80"/>
        <w:jc w:val="both"/>
      </w:pPr>
      <w:r>
        <w:t xml:space="preserve">The work is organized around the following questions:</w:t>
      </w:r>
    </w:p>
    <w:p>
      <w:pPr>
        <w:spacing w:after="40"/>
        <w:ind w:left="720" w:hanging="360"/>
      </w:pPr>
      <w:r>
        <w:rPr>
          <w:rFonts w:ascii="Times New Roman" w:cs="Times New Roman" w:eastAsia="Times New Roman" w:hAnsi="Times New Roman"/>
          <w:sz w:val="20"/>
          <w:szCs w:val="20"/>
        </w:rPr>
        <w:t xml:space="preserve">1.  How can litter detection, multiclass classification, tracking, counting, storage, review, and integration be packaged as a reusable edge application?</w:t>
      </w:r>
    </w:p>
    <w:p>
      <w:pPr>
        <w:spacing w:after="40"/>
        <w:ind w:left="720" w:hanging="360"/>
      </w:pPr>
      <w:r>
        <w:rPr>
          <w:rFonts w:ascii="Times New Roman" w:cs="Times New Roman" w:eastAsia="Times New Roman" w:hAnsi="Times New Roman"/>
          <w:sz w:val="20"/>
          <w:szCs w:val="20"/>
        </w:rPr>
        <w:t xml:space="preserve">2.  Can the application operate immediately with a public model, without requiring every deployment user to collect data or train a network?</w:t>
      </w:r>
    </w:p>
    <w:p>
      <w:pPr>
        <w:spacing w:after="40"/>
        <w:ind w:left="720" w:hanging="360"/>
      </w:pPr>
      <w:r>
        <w:rPr>
          <w:rFonts w:ascii="Times New Roman" w:cs="Times New Roman" w:eastAsia="Times New Roman" w:hAnsi="Times New Roman"/>
          <w:sz w:val="20"/>
          <w:szCs w:val="20"/>
        </w:rPr>
        <w:t xml:space="preserve">3.  How should visible observations, unique tracked objects, and confirmed collections be represented so that operational reports do not overstate the outcome?</w:t>
      </w:r>
    </w:p>
    <w:p>
      <w:pPr>
        <w:spacing w:after="40"/>
        <w:ind w:left="720" w:hanging="360"/>
      </w:pPr>
      <w:r>
        <w:rPr>
          <w:rFonts w:ascii="Times New Roman" w:cs="Times New Roman" w:eastAsia="Times New Roman" w:hAnsi="Times New Roman"/>
          <w:sz w:val="20"/>
          <w:szCs w:val="20"/>
        </w:rPr>
        <w:t xml:space="preserve">4.  What reproducible protocol is required to evaluate detection accuracy, counting accuracy, throughput, memory, power, thermal behavior, and stability on the intended device?</w:t>
      </w:r>
    </w:p>
    <w:p>
      <w:pPr>
        <w:spacing w:after="40"/>
        <w:ind w:left="720" w:hanging="360"/>
      </w:pPr>
      <w:r>
        <w:rPr>
          <w:rFonts w:ascii="Times New Roman" w:cs="Times New Roman" w:eastAsia="Times New Roman" w:hAnsi="Times New Roman"/>
          <w:sz w:val="20"/>
          <w:szCs w:val="20"/>
        </w:rPr>
        <w:t xml:space="preserve">5.  What privacy, security, and machinery-safety boundaries are necessary when the system is used on a cleanup vehicle or sorting line?</w:t>
      </w:r>
    </w:p>
    <w:p>
      <w:pPr>
        <w:pStyle w:val="Heading2"/>
      </w:pPr>
      <w:r>
        <w:t xml:space="preserve">1.2 Contributions</w:t>
      </w:r>
    </w:p>
    <w:p>
      <w:pPr>
        <w:spacing w:after="80"/>
        <w:jc w:val="both"/>
      </w:pPr>
      <w:r>
        <w:t xml:space="preserve">The principal contributions are:</w:t>
      </w:r>
    </w:p>
    <w:p>
      <w:pPr>
        <w:pStyle w:val="ListParagraph"/>
        <w:numPr>
          <w:ilvl w:val="0"/>
          <w:numId w:val="2"/>
        </w:numPr>
        <w:spacing w:after="40"/>
      </w:pPr>
      <w:r>
        <w:t xml:space="preserve">a portable, model-adapter-based application for image, camera, video, HTTP, and RTSP litter detection;</w:t>
      </w:r>
    </w:p>
    <w:p>
      <w:pPr>
        <w:pStyle w:val="ListParagraph"/>
        <w:numPr>
          <w:ilvl w:val="0"/>
          <w:numId w:val="2"/>
        </w:numPr>
        <w:spacing w:after="40"/>
      </w:pPr>
      <w:r>
        <w:t xml:space="preserve">a 16-class operational taxonomy with configurable prompts and separation destinations;</w:t>
      </w:r>
    </w:p>
    <w:p>
      <w:pPr>
        <w:pStyle w:val="ListParagraph"/>
        <w:numPr>
          <w:ilvl w:val="0"/>
          <w:numId w:val="2"/>
        </w:numPr>
        <w:spacing w:after="40"/>
      </w:pPr>
      <w:r>
        <w:t xml:space="preserve">tracking-based visible and unique-session counts, with independently confirmed collections stored as a separate quantity;</w:t>
      </w:r>
    </w:p>
    <w:p>
      <w:pPr>
        <w:pStyle w:val="ListParagraph"/>
        <w:numPr>
          <w:ilvl w:val="0"/>
          <w:numId w:val="2"/>
        </w:numPr>
        <w:spacing w:after="40"/>
      </w:pPr>
      <w:r>
        <w:t xml:space="preserve">an offline-first SQLite evidence model, review queue, browser dashboard, API, and durable integration outbox;</w:t>
      </w:r>
    </w:p>
    <w:p>
      <w:pPr>
        <w:pStyle w:val="ListParagraph"/>
        <w:numPr>
          <w:ilvl w:val="0"/>
          <w:numId w:val="2"/>
        </w:numPr>
        <w:spacing w:after="40"/>
      </w:pPr>
      <w:r>
        <w:t xml:space="preserve">one-command installation and execution using public, pinned model artifacts;</w:t>
      </w:r>
    </w:p>
    <w:p>
      <w:pPr>
        <w:pStyle w:val="ListParagraph"/>
        <w:numPr>
          <w:ilvl w:val="0"/>
          <w:numId w:val="2"/>
        </w:numPr>
        <w:spacing w:after="40"/>
      </w:pPr>
      <w:r>
        <w:t xml:space="preserve">deployment paths for CPU, NVIDIA CUDA, NVIDIA Jetson, AMD ROCm, and Apple silicon;</w:t>
      </w:r>
    </w:p>
    <w:p>
      <w:pPr>
        <w:pStyle w:val="ListParagraph"/>
        <w:numPr>
          <w:ilvl w:val="0"/>
          <w:numId w:val="2"/>
        </w:numPr>
        <w:spacing w:after="40"/>
      </w:pPr>
      <w:r>
        <w:t xml:space="preserve">model, data, privacy, security, and safety boundaries intended for reuse in real collection and sorting workflows; and</w:t>
      </w:r>
    </w:p>
    <w:p>
      <w:pPr>
        <w:pStyle w:val="ListParagraph"/>
        <w:numPr>
          <w:ilvl w:val="0"/>
          <w:numId w:val="2"/>
        </w:numPr>
        <w:spacing w:after="40"/>
      </w:pPr>
      <w:r>
        <w:t xml:space="preserve">a deterministic public-data zero-shot evaluation and a predeclared empirical protocol that prevent preliminary engineering observations from being reported as final target-domain results.</w:t>
      </w:r>
    </w:p>
    <w:p>
      <w:pPr>
        <w:pStyle w:val="Heading1"/>
      </w:pPr>
      <w:r>
        <w:t xml:space="preserve">2. Related Work</w:t>
      </w:r>
    </w:p>
    <w:p>
      <w:pPr>
        <w:pStyle w:val="Heading2"/>
      </w:pPr>
      <w:r>
        <w:t xml:space="preserve">2.1 Litter and waste datasets</w:t>
      </w:r>
    </w:p>
    <w:p>
      <w:pPr>
        <w:spacing w:after="80"/>
        <w:jc w:val="both"/>
      </w:pPr>
      <w:r>
        <w:t xml:space="preserve">TACO introduced a publicly available dataset of waste “in the wild,” with object annotations and a detailed material-oriented taxonomy [3]. It is useful for bootstrapping because it contains varied contexts rather than only controlled conveyor imagery. A comparative TACO study highlighted the difficulty of small objects, class imbalance, and the risk of reporting one aggregate metric without examining precision, recall, F1, object size, and scene conditions [4]. Earlier street-waste systems separately demonstrated the practical task of localizing and classifying discarded objects in public scenes [5].</w:t>
      </w:r>
    </w:p>
    <w:p>
      <w:pPr>
        <w:spacing w:after="80"/>
        <w:jc w:val="both"/>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80"/>
        <w:jc w:val="both"/>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80"/>
        <w:jc w:val="both"/>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80"/>
        <w:jc w:val="both"/>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80"/>
        <w:jc w:val="both"/>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80"/>
        <w:jc w:val="both"/>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80"/>
        <w:jc w:val="both"/>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80"/>
        <w:jc w:val="both"/>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80"/>
        <w:jc w:val="both"/>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80"/>
        <w:jc w:val="both"/>
      </w:pPr>
      <w:r>
        <w:t xml:space="preserve">Existing integrated platforms illustrate that operational value extends beyond one detector metric. Litterati combines mobile image collection, mapping, and analytics for identifying litter patterns and evaluating interventions [22]. A comparison with municipal audits found that its app-based records captured similar broad composition patterns while also showing population-correlated spatial sampling bias, illustrating both the value and limitations of crowdsourced litter evidence [25].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80"/>
        <w:jc w:val="both"/>
      </w:pPr>
      <w:r>
        <w:t xml:space="preserve">Recent research prototypes also move beyond an isolated detector. DWaste packages waste recognition for mobile and edge use, including offline operation and deployment-oriented model selection [26]. Arora presents an edge-assisted smart-city application combining 16 trash categories with privacy-aware face anonymization [27]. These systems, together with the commercial examples, occupy different product boundaries: community and municipal measurement, smart disposal, roadside monitoring, and industrial recovery.</w:t>
      </w:r>
    </w:p>
    <w:p>
      <w:pPr>
        <w:spacing w:after="80"/>
        <w:jc w:val="both"/>
      </w:pPr>
      <w:r>
        <w:t xml:space="preserve">The present work does not claim equivalent deployment maturity. Its narrower contribution is an open, locally deployable perception-and-evidence component with explicit count semantics, model interchangeability, offline persistence, and a machinery-safety boundary that can be integrated into a larger cleanup or sorting solution.</w:t>
      </w:r>
    </w:p>
    <w:p>
      <w:pPr>
        <w:pStyle w:val="Heading1"/>
      </w:pPr>
      <w:r>
        <w:t xml:space="preserve">3. Requirements and Use Cases</w:t>
      </w:r>
    </w:p>
    <w:p>
      <w:pPr>
        <w:spacing w:after="80"/>
        <w:jc w:val="both"/>
      </w:pPr>
      <w:r>
        <w:t xml:space="preserve">The software is intended for four related uses:</w:t>
      </w:r>
    </w:p>
    <w:p>
      <w:pPr>
        <w:spacing w:after="40"/>
        <w:ind w:left="720" w:hanging="360"/>
      </w:pPr>
      <w:r>
        <w:rPr>
          <w:rFonts w:ascii="Times New Roman" w:cs="Times New Roman" w:eastAsia="Times New Roman" w:hAnsi="Times New Roman"/>
          <w:sz w:val="20"/>
          <w:szCs w:val="20"/>
        </w:rPr>
        <w:t xml:space="preserve">1.  A vehicle-mounted camera observes roadside litter and associates candidate objects with a device, vehicle, and route.</w:t>
      </w:r>
    </w:p>
    <w:p>
      <w:pPr>
        <w:spacing w:after="40"/>
        <w:ind w:left="720" w:hanging="360"/>
      </w:pPr>
      <w:r>
        <w:rPr>
          <w:rFonts w:ascii="Times New Roman" w:cs="Times New Roman" w:eastAsia="Times New Roman" w:hAnsi="Times New Roman"/>
          <w:sz w:val="20"/>
          <w:szCs w:val="20"/>
        </w:rPr>
        <w:t xml:space="preserve">2.  A fixed camera monitors a location or accumulation point.</w:t>
      </w:r>
    </w:p>
    <w:p>
      <w:pPr>
        <w:spacing w:after="40"/>
        <w:ind w:left="720" w:hanging="360"/>
      </w:pPr>
      <w:r>
        <w:rPr>
          <w:rFonts w:ascii="Times New Roman" w:cs="Times New Roman" w:eastAsia="Times New Roman" w:hAnsi="Times New Roman"/>
          <w:sz w:val="20"/>
          <w:szCs w:val="20"/>
        </w:rPr>
        <w:t xml:space="preserve">3.  A recycling or waste-sorting line detects visible items and presents a suggested class and operator-configured destination.</w:t>
      </w:r>
    </w:p>
    <w:p>
      <w:pPr>
        <w:spacing w:after="40"/>
        <w:ind w:left="720" w:hanging="360"/>
      </w:pPr>
      <w:r>
        <w:rPr>
          <w:rFonts w:ascii="Times New Roman" w:cs="Times New Roman" w:eastAsia="Times New Roman" w:hAnsi="Times New Roman"/>
          <w:sz w:val="20"/>
          <w:szCs w:val="20"/>
        </w:rPr>
        <w:t xml:space="preserve">4.  A human worker uses the annotated feed and review queue to find, classify, or separate uncertain items.</w:t>
      </w:r>
    </w:p>
    <w:p>
      <w:pPr>
        <w:spacing w:after="80"/>
        <w:jc w:val="both"/>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80"/>
        <w:jc w:val="both"/>
      </w:pPr>
      <w:r>
        <w:t xml:space="preserve">The system must:</w:t>
      </w:r>
    </w:p>
    <w:p>
      <w:pPr>
        <w:pStyle w:val="ListParagraph"/>
        <w:numPr>
          <w:ilvl w:val="0"/>
          <w:numId w:val="2"/>
        </w:numPr>
        <w:spacing w:after="40"/>
      </w:pPr>
      <w:r>
        <w:t xml:space="preserve">accept a local camera index, image, video, HTTP resource, or RTSP stream;</w:t>
      </w:r>
    </w:p>
    <w:p>
      <w:pPr>
        <w:pStyle w:val="ListParagraph"/>
        <w:numPr>
          <w:ilvl w:val="0"/>
          <w:numId w:val="2"/>
        </w:numPr>
        <w:spacing w:after="40"/>
      </w:pPr>
      <w:r>
        <w:t xml:space="preserve">produce zero or more boxes, class names, confidence scores, and timestamps;</w:t>
      </w:r>
    </w:p>
    <w:p>
      <w:pPr>
        <w:pStyle w:val="ListParagraph"/>
        <w:numPr>
          <w:ilvl w:val="0"/>
          <w:numId w:val="2"/>
        </w:numPr>
        <w:spacing w:after="40"/>
      </w:pPr>
      <w:r>
        <w:t xml:space="preserve">preserve a stable class ID and name contract downstream of the detector;</w:t>
      </w:r>
    </w:p>
    <w:p>
      <w:pPr>
        <w:pStyle w:val="ListParagraph"/>
        <w:numPr>
          <w:ilvl w:val="0"/>
          <w:numId w:val="2"/>
        </w:numPr>
        <w:spacing w:after="40"/>
      </w:pPr>
      <w:r>
        <w:t xml:space="preserve">reduce duplicate boxes and associate video observations into tracks;</w:t>
      </w:r>
    </w:p>
    <w:p>
      <w:pPr>
        <w:pStyle w:val="ListParagraph"/>
        <w:numPr>
          <w:ilvl w:val="0"/>
          <w:numId w:val="2"/>
        </w:numPr>
        <w:spacing w:after="40"/>
      </w:pPr>
      <w:r>
        <w:t xml:space="preserve">report current visible counts and run-scoped unique counts by class;</w:t>
      </w:r>
    </w:p>
    <w:p>
      <w:pPr>
        <w:pStyle w:val="ListParagraph"/>
        <w:numPr>
          <w:ilvl w:val="0"/>
          <w:numId w:val="2"/>
        </w:numPr>
        <w:spacing w:after="40"/>
      </w:pPr>
      <w:r>
        <w:t xml:space="preserve">persist run, frame, count, review, and integration evidence locally;</w:t>
      </w:r>
    </w:p>
    <w:p>
      <w:pPr>
        <w:pStyle w:val="ListParagraph"/>
        <w:numPr>
          <w:ilvl w:val="0"/>
          <w:numId w:val="2"/>
        </w:numPr>
        <w:spacing w:after="40"/>
      </w:pPr>
      <w:r>
        <w:t xml:space="preserve">remain useful without continuous cloud connectivity;</w:t>
      </w:r>
    </w:p>
    <w:p>
      <w:pPr>
        <w:pStyle w:val="ListParagraph"/>
        <w:numPr>
          <w:ilvl w:val="0"/>
          <w:numId w:val="2"/>
        </w:numPr>
        <w:spacing w:after="40"/>
      </w:pPr>
      <w:r>
        <w:t xml:space="preserve">allow a human to confirm, correct, or reject uncertain classifications;</w:t>
      </w:r>
    </w:p>
    <w:p>
      <w:pPr>
        <w:pStyle w:val="ListParagraph"/>
        <w:numPr>
          <w:ilvl w:val="0"/>
          <w:numId w:val="2"/>
        </w:numPr>
        <w:spacing w:after="40"/>
      </w:pPr>
      <w:r>
        <w:t xml:space="preserve">store actual collection confirmations separately from observations;</w:t>
      </w:r>
    </w:p>
    <w:p>
      <w:pPr>
        <w:pStyle w:val="ListParagraph"/>
        <w:numPr>
          <w:ilvl w:val="0"/>
          <w:numId w:val="2"/>
        </w:numPr>
        <w:spacing w:after="40"/>
      </w:pPr>
      <w:r>
        <w:t xml:space="preserve">expose bounded local controls through a dashboard and API; and</w:t>
      </w:r>
    </w:p>
    <w:p>
      <w:pPr>
        <w:pStyle w:val="ListParagraph"/>
        <w:numPr>
          <w:ilvl w:val="0"/>
          <w:numId w:val="2"/>
        </w:numPr>
        <w:spacing w:after="40"/>
      </w:pPr>
      <w:r>
        <w:t xml:space="preserve">retain enough environment and revision data to reproduce a reported run.</w:t>
      </w:r>
    </w:p>
    <w:p>
      <w:pPr>
        <w:pStyle w:val="Heading2"/>
      </w:pPr>
      <w:r>
        <w:t xml:space="preserve">3.2 Non-functional requirements</w:t>
      </w:r>
    </w:p>
    <w:p>
      <w:pPr>
        <w:spacing w:after="80"/>
        <w:jc w:val="both"/>
      </w:pPr>
      <w:r>
        <w:t xml:space="preserve">The system must:</w:t>
      </w:r>
    </w:p>
    <w:p>
      <w:pPr>
        <w:pStyle w:val="ListParagraph"/>
        <w:numPr>
          <w:ilvl w:val="0"/>
          <w:numId w:val="2"/>
        </w:numPr>
        <w:spacing w:after="40"/>
      </w:pPr>
      <w:r>
        <w:t xml:space="preserve">install from a clean clone without private credentials or a private model;</w:t>
      </w:r>
    </w:p>
    <w:p>
      <w:pPr>
        <w:pStyle w:val="ListParagraph"/>
        <w:numPr>
          <w:ilvl w:val="0"/>
          <w:numId w:val="2"/>
        </w:numPr>
        <w:spacing w:after="40"/>
      </w:pPr>
      <w:r>
        <w:t xml:space="preserve">use an isolated Python environment and avoid machine-specific paths;</w:t>
      </w:r>
    </w:p>
    <w:p>
      <w:pPr>
        <w:pStyle w:val="ListParagraph"/>
        <w:numPr>
          <w:ilvl w:val="0"/>
          <w:numId w:val="2"/>
        </w:numPr>
        <w:spacing w:after="40"/>
      </w:pPr>
      <w:r>
        <w:t xml:space="preserve">function on 64-bit x86_64 and ARM64 systems;</w:t>
      </w:r>
    </w:p>
    <w:p>
      <w:pPr>
        <w:pStyle w:val="ListParagraph"/>
        <w:numPr>
          <w:ilvl w:val="0"/>
          <w:numId w:val="2"/>
        </w:numPr>
        <w:spacing w:after="40"/>
      </w:pPr>
      <w:r>
        <w:t xml:space="preserve">avoid dependence on one accelerator vendor;</w:t>
      </w:r>
    </w:p>
    <w:p>
      <w:pPr>
        <w:pStyle w:val="ListParagraph"/>
        <w:numPr>
          <w:ilvl w:val="0"/>
          <w:numId w:val="2"/>
        </w:numPr>
        <w:spacing w:after="40"/>
      </w:pPr>
      <w:r>
        <w:t xml:space="preserve">default to local-only network exposure;</w:t>
      </w:r>
    </w:p>
    <w:p>
      <w:pPr>
        <w:pStyle w:val="ListParagraph"/>
        <w:numPr>
          <w:ilvl w:val="0"/>
          <w:numId w:val="2"/>
        </w:numPr>
        <w:spacing w:after="40"/>
      </w:pPr>
      <w:r>
        <w:t xml:space="preserve">validate and bound uploaded media and remote-source behavior;</w:t>
      </w:r>
    </w:p>
    <w:p>
      <w:pPr>
        <w:pStyle w:val="ListParagraph"/>
        <w:numPr>
          <w:ilvl w:val="0"/>
          <w:numId w:val="2"/>
        </w:numPr>
        <w:spacing w:after="40"/>
      </w:pPr>
      <w:r>
        <w:t xml:space="preserve">support model artifact pinning and integrity checks;</w:t>
      </w:r>
    </w:p>
    <w:p>
      <w:pPr>
        <w:pStyle w:val="ListParagraph"/>
        <w:numPr>
          <w:ilvl w:val="0"/>
          <w:numId w:val="2"/>
        </w:numPr>
        <w:spacing w:after="40"/>
      </w:pPr>
      <w:r>
        <w:t xml:space="preserve">avoid direct machinery actuation;</w:t>
      </w:r>
    </w:p>
    <w:p>
      <w:pPr>
        <w:pStyle w:val="ListParagraph"/>
        <w:numPr>
          <w:ilvl w:val="0"/>
          <w:numId w:val="2"/>
        </w:numPr>
        <w:spacing w:after="40"/>
      </w:pPr>
      <w:r>
        <w:t xml:space="preserve">limit unnecessary retention of raw media and identifiers; and</w:t>
      </w:r>
    </w:p>
    <w:p>
      <w:pPr>
        <w:pStyle w:val="ListParagraph"/>
        <w:numPr>
          <w:ilvl w:val="0"/>
          <w:numId w:val="2"/>
        </w:numPr>
        <w:spacing w:after="4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keepNext/>
        <w:spacing w:before="160" w:after="80"/>
        <w:jc w:val="center"/>
      </w:pPr>
      <w:r>
        <w:drawing>
          <wp:inline distT="0" distB="0" distL="0" distR="0">
            <wp:extent cx="5715000" cy="2857500"/>
            <wp:effectExtent t="0" r="0" b="0" l="0"/>
            <wp:docPr id="1" name="figure-1-system-architecture.svg" descr="End-to-end system architecture" title="End-to-en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5715000" cy="285750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1. Detector-independent operational architecture. Capture and model adapters feed stable detection records into tracking, review, persistence, and integration components. Human and controller confirmations return as separate outcome evidence.</w:t>
      </w:r>
    </w:p>
    <w:p>
      <w:pPr>
        <w:spacing w:after="80"/>
        <w:jc w:val="both"/>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80"/>
        <w:jc w:val="both"/>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80"/>
        <w:jc w:val="both"/>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ID</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ID</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8</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7</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r>
    </w:tbl>
    <w:p>
      <w:pPr>
        <w:spacing w:after="120"/>
      </w:pPr>
    </w:p>
    <w:p>
      <w:pPr>
        <w:spacing w:after="80"/>
        <w:jc w:val="both"/>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80"/>
        <w:jc w:val="both"/>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Criterion</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Classes or design response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Common, visually promptable containers and fibers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bottle, glass bottle, metal can, paper, cardboard</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Flexible packaging and disposable service items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bag, food wrapper, disposable cup</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Common small, organic, soft, or bulky litter</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 butt, food waste, textile, tire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Items requiring special handling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 electronic waste, broken glass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Visual or taxonomic uncertainty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 litter and mandatory/threshold-based human review</w:t>
            </w:r>
          </w:p>
        </w:tc>
      </w:tr>
    </w:tbl>
    <w:p>
      <w:pPr>
        <w:spacing w:after="120"/>
      </w:pPr>
    </w:p>
    <w:p>
      <w:pPr>
        <w:spacing w:after="80"/>
        <w:jc w:val="both"/>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80"/>
        <w:jc w:val="both"/>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80"/>
        <w:jc w:val="both"/>
      </w:pPr>
      <w:r>
        <w:t xml:space="preserve">The system deliberately reports different quantities:</w:t>
      </w:r>
    </w:p>
    <w:p>
      <w:pPr>
        <w:pStyle w:val="ListParagraph"/>
        <w:numPr>
          <w:ilvl w:val="0"/>
          <w:numId w:val="2"/>
        </w:numPr>
        <w:spacing w:after="40"/>
      </w:pPr>
      <w:r>
        <w:t xml:space="preserve">visible_counts are detections present in the current frame;</w:t>
      </w:r>
    </w:p>
    <w:p>
      <w:pPr>
        <w:pStyle w:val="ListParagraph"/>
        <w:numPr>
          <w:ilvl w:val="0"/>
          <w:numId w:val="2"/>
        </w:numPr>
        <w:spacing w:after="40"/>
      </w:pPr>
      <w:r>
        <w:t xml:space="preserve">confirmed_visible_counts are currently visible detections whose tracks have met a confirmation threshold;</w:t>
      </w:r>
    </w:p>
    <w:p>
      <w:pPr>
        <w:pStyle w:val="ListParagraph"/>
        <w:numPr>
          <w:ilvl w:val="0"/>
          <w:numId w:val="2"/>
        </w:numPr>
        <w:spacing w:after="40"/>
      </w:pPr>
      <w:r>
        <w:t xml:space="preserve">unique_session_counts are confirmed track identities counted once in one run; and</w:t>
      </w:r>
    </w:p>
    <w:p>
      <w:pPr>
        <w:pStyle w:val="ListParagraph"/>
        <w:numPr>
          <w:ilvl w:val="0"/>
          <w:numId w:val="2"/>
        </w:numPr>
        <w:spacing w:after="40"/>
      </w:pPr>
      <w:r>
        <w:t xml:space="preserve">confirmed_collected_counts are physical pickups separately confirmed by a human, collection controller, sensor-fusion service, or reviewed import.</w:t>
      </w:r>
    </w:p>
    <w:p>
      <w:pPr>
        <w:keepNext/>
        <w:spacing w:before="160" w:after="80"/>
        <w:jc w:val="center"/>
      </w:pPr>
      <w:r>
        <w:drawing>
          <wp:inline distT="0" distB="0" distL="0" distR="0">
            <wp:extent cx="5715000" cy="2047875"/>
            <wp:effectExtent t="0" r="0" b="0" l="0"/>
            <wp:docPr id="1" name="figure-2-count-semantics.svg" descr="Count semantics" title="Count seman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5715000" cy="20478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2. The four count quantities are related but not interchangeable. Only a separate human, controller, sensor, or reviewed import can establish a confirmed collection.</w:t>
      </w:r>
    </w:p>
    <w:p>
      <w:pPr>
        <w:spacing w:after="80"/>
        <w:jc w:val="both"/>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80"/>
        <w:jc w:val="both"/>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80"/>
        <w:jc w:val="both"/>
      </w:pPr>
      <w:r>
        <w:t xml:space="preserve">The exact default association procedure is:</w:t>
      </w:r>
    </w:p>
    <w:p>
      <w:pPr>
        <w:shd w:fill="F3F4F6" w:val="clear"/>
        <w:spacing w:before="60" w:after="100" w:line="220"/>
        <w:ind w:left="180" w:right="180"/>
      </w:pPr>
      <w:r>
        <w:rPr>
          <w:rFonts w:ascii="Courier New" w:cs="Courier New" w:eastAsia="Courier New" w:hAnsi="Courier New"/>
          <w:sz w:val="16"/>
          <w:szCs w:val="16"/>
        </w:rPr>
        <w:t xml:space="preserve">for every active track:</w:t>
      </w:r>
      <w:r>
        <w:rPr>
          <w:rFonts w:ascii="Courier New" w:cs="Courier New" w:eastAsia="Courier New" w:hAnsi="Courier New"/>
          <w:sz w:val="16"/>
          <w:szCs w:val="16"/>
        </w:rPr>
        <w:br/>
        <w:t xml:space="preserve">    missed_frames += 1</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detection-track pair with IoU &gt;= 0.30:</w:t>
      </w:r>
      <w:r>
        <w:rPr>
          <w:rFonts w:ascii="Courier New" w:cs="Courier New" w:eastAsia="Courier New" w:hAnsi="Courier New"/>
          <w:sz w:val="16"/>
          <w:szCs w:val="16"/>
        </w:rPr>
        <w:br/>
        <w:t xml:space="preserve">    score = IoU</w:t>
      </w:r>
      <w:r>
        <w:rPr>
          <w:rFonts w:ascii="Courier New" w:cs="Courier New" w:eastAsia="Courier New" w:hAnsi="Courier New"/>
          <w:sz w:val="16"/>
          <w:szCs w:val="16"/>
        </w:rPr>
        <w:br/>
        <w:t xml:space="preserve">    if detection class differs from the track's modal class:</w:t>
      </w:r>
      <w:r>
        <w:rPr>
          <w:rFonts w:ascii="Courier New" w:cs="Courier New" w:eastAsia="Courier New" w:hAnsi="Courier New"/>
          <w:sz w:val="16"/>
          <w:szCs w:val="16"/>
        </w:rPr>
        <w:br/>
        <w:t xml:space="preserve">        score *= 0.75</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greedily assign descending scores, at most one detection per track</w:t>
      </w:r>
      <w:r>
        <w:rPr>
          <w:rFonts w:ascii="Courier New" w:cs="Courier New" w:eastAsia="Courier New" w:hAnsi="Courier New"/>
          <w:sz w:val="16"/>
          <w:szCs w:val="16"/>
        </w:rPr>
        <w:br/>
        <w:t xml:space="preserve">and one track per detection</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matched track:</w:t>
      </w:r>
      <w:r>
        <w:rPr>
          <w:rFonts w:ascii="Courier New" w:cs="Courier New" w:eastAsia="Courier New" w:hAnsi="Courier New"/>
          <w:sz w:val="16"/>
          <w:szCs w:val="16"/>
        </w:rPr>
        <w:br/>
        <w:t xml:space="preserve">    update its box, reset missed_frames, increment hits,</w:t>
      </w:r>
      <w:r>
        <w:rPr>
          <w:rFonts w:ascii="Courier New" w:cs="Courier New" w:eastAsia="Courier New" w:hAnsi="Courier New"/>
          <w:sz w:val="16"/>
          <w:szCs w:val="16"/>
        </w:rPr>
        <w:br/>
        <w:t xml:space="preserve">    and add one vote for the detected class</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unmatched detection:</w:t>
      </w:r>
      <w:r>
        <w:rPr>
          <w:rFonts w:ascii="Courier New" w:cs="Courier New" w:eastAsia="Courier New" w:hAnsi="Courier New"/>
          <w:sz w:val="16"/>
          <w:szCs w:val="16"/>
        </w:rPr>
        <w:br/>
        <w:t xml:space="preserve">    create a new track with one hit and one class vote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emit the modal class accumulated by each track</w:t>
      </w:r>
      <w:r>
        <w:rPr>
          <w:rFonts w:ascii="Courier New" w:cs="Courier New" w:eastAsia="Courier New" w:hAnsi="Courier New"/>
          <w:sz w:val="16"/>
          <w:szCs w:val="16"/>
        </w:rPr>
        <w:br/>
        <w:t xml:space="preserve">confirm a track after 2 hits</w:t>
      </w:r>
      <w:r>
        <w:rPr>
          <w:rFonts w:ascii="Courier New" w:cs="Courier New" w:eastAsia="Courier New" w:hAnsi="Courier New"/>
          <w:sz w:val="16"/>
          <w:szCs w:val="16"/>
        </w:rPr>
        <w:br/>
        <w:t xml:space="preserve">delete a track after more than 30 missed frames</w:t>
      </w:r>
      <w:r>
        <w:rPr>
          <w:rFonts w:ascii="Courier New" w:cs="Courier New" w:eastAsia="Courier New" w:hAnsi="Courier New"/>
          <w:sz w:val="16"/>
          <w:szCs w:val="16"/>
        </w:rPr>
        <w:br/>
        <w:t xml:space="preserve">count each confirmed track ID once per run</w:t>
      </w:r>
    </w:p>
    <w:p>
      <w:pPr>
        <w:spacing w:after="80"/>
        <w:jc w:val="both"/>
      </w:pPr>
      <w:r>
        <w:t xml:space="preserve">There is no motion model, appearance embedding, or global assignment solver. This simplicity makes the behavior reproducible and lightweight but also explains the stated limitations under rapid motion, long occlusion, and dense overlap.</w:t>
      </w:r>
    </w:p>
    <w:p>
      <w:pPr>
        <w:spacing w:after="80"/>
        <w:jc w:val="both"/>
      </w:pPr>
      <w:r>
        <w:t xml:space="preserve">The overlap threshold gives an image-plane failure boundary. For two equal-sized boxes of width w with horizontal displacement d and no vertical displacement, their intersection over union is (w-d)/(w+d). The configured requirement of IoU at least 0.30 therefore requires d ≤ 0.538w between processed frames. A 40-pixel-wide item can move only about 21.5 pixels per processed frame before this simplified case becomes unmatchable. At 5 FPS that is approximately 108 image pixels per second. This is not responsibly convertible to vehicle speed without camera calibration, mounting geometry, depth, and object size. It does show why higher processed frame rates, motion compensation, or a stronger tracker are required for rapid vehicle motion and some conveyor conditions.</w:t>
      </w:r>
    </w:p>
    <w:p>
      <w:pPr>
        <w:pStyle w:val="Heading2"/>
      </w:pPr>
      <w:r>
        <w:t xml:space="preserve">4.4 Persistence and offline operation</w:t>
      </w:r>
    </w:p>
    <w:p>
      <w:pPr>
        <w:spacing w:after="80"/>
        <w:jc w:val="both"/>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Table</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Purpose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runs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source, device, vehicle, route, status, timing, and final counts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frame_observations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per-frame visible and cumulative unique counts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optional detailed boxes and tracks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run_class_counts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query-friendly final class totals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review_queue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confirmed, corrected, or rejected classifications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collection_confirmations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independently confirmed physical pickups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integration_outbox</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durable events waiting for an external acknowledgement</w:t>
            </w:r>
          </w:p>
        </w:tc>
      </w:tr>
    </w:tbl>
    <w:p>
      <w:pPr>
        <w:spacing w:after="120"/>
      </w:pPr>
    </w:p>
    <w:p>
      <w:pPr>
        <w:spacing w:after="80"/>
        <w:jc w:val="both"/>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80"/>
        <w:jc w:val="both"/>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80"/>
        <w:jc w:val="both"/>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80"/>
        <w:jc w:val="both"/>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80"/>
        <w:jc w:val="both"/>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80"/>
        <w:jc w:val="both"/>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80"/>
        <w:jc w:val="both"/>
      </w:pPr>
      <w:r>
        <w:t xml:space="preserve">This boundary prevents a probabilistic class or box from becoming an unreviewed actuation command. It also preserves the difference between “an object was observed” and “an object was collected.”</w:t>
      </w:r>
    </w:p>
    <w:p>
      <w:pPr>
        <w:keepNext/>
        <w:spacing w:before="160" w:after="80"/>
        <w:jc w:val="center"/>
      </w:pPr>
      <w:r>
        <w:drawing>
          <wp:inline distT="0" distB="0" distL="0" distR="0">
            <wp:extent cx="5715000" cy="2524125"/>
            <wp:effectExtent t="0" r="0" b="0" l="0"/>
            <wp:docPr id="1" name="figure-3-deployment-safety-boundary.svg" descr="Deployment and machinery-safety boundary" title="Deployment and machinery-safety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5715000" cy="252412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3. Edge perception produces advisory candidate events. Mechanical motion remains under an independent safety-rated controller, and positive pickup confirmation returns to the evidence store separately.</w:t>
      </w:r>
    </w:p>
    <w:p>
      <w:pPr>
        <w:pStyle w:val="Heading1"/>
      </w:pPr>
      <w:r>
        <w:t xml:space="preserve">5. Implementation and Reproducibility</w:t>
      </w:r>
    </w:p>
    <w:p>
      <w:pPr>
        <w:pStyle w:val="Heading2"/>
      </w:pPr>
      <w:r>
        <w:t xml:space="preserve">5.1 Software release</w:t>
      </w:r>
    </w:p>
    <w:p>
      <w:pPr>
        <w:spacing w:after="80"/>
        <w:jc w:val="both"/>
      </w:pPr>
      <w:r>
        <w:t xml:space="preserve">The implementation described in this preprint is Edge Litter Detection version 0.11.0 at Git commit 9f0c651ae455dabc8e5a3ebcf18f43a1639bae32 [7]. Code and project documentation are released under Apache License 2.0. Model checkpoints and datasets retain their own licenses and are not relicensed by the repository.</w:t>
      </w:r>
    </w:p>
    <w:p>
      <w:pPr>
        <w:spacing w:after="80"/>
        <w:jc w:val="both"/>
      </w:pPr>
      <w:r>
        <w:t xml:space="preserve">The primary clean-clone demonstration is:</w:t>
      </w:r>
    </w:p>
    <w:p>
      <w:pPr>
        <w:shd w:fill="F3F4F6" w:val="clear"/>
        <w:spacing w:before="60" w:after="100" w:line="220"/>
        <w:ind w:left="180" w:right="180"/>
      </w:pPr>
      <w:r>
        <w:rPr>
          <w:rFonts w:ascii="Courier New" w:cs="Courier New" w:eastAsia="Courier New" w:hAnsi="Courier New"/>
          <w:sz w:val="16"/>
          <w:szCs w:val="16"/>
        </w:rPr>
        <w:t xml:space="preserve">git clone https://github.com/biolababs/edge-litter-detection.git</w:t>
      </w:r>
      <w:r>
        <w:rPr>
          <w:rFonts w:ascii="Courier New" w:cs="Courier New" w:eastAsia="Courier New" w:hAnsi="Courier New"/>
          <w:sz w:val="16"/>
          <w:szCs w:val="16"/>
        </w:rPr>
        <w:br/>
        <w:t xml:space="preserve">cd edge-litter-detection</w:t>
      </w:r>
      <w:r>
        <w:rPr>
          <w:rFonts w:ascii="Courier New" w:cs="Courier New" w:eastAsia="Courier New" w:hAnsi="Courier New"/>
          <w:sz w:val="16"/>
          <w:szCs w:val="16"/>
        </w:rPr>
        <w:br/>
        <w:t xml:space="preserve">./startup.sh --backend omdet_turbo --demo-video --no-display</w:t>
      </w:r>
    </w:p>
    <w:p>
      <w:pPr>
        <w:spacing w:after="80"/>
        <w:jc w:val="both"/>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80"/>
        <w:jc w:val="both"/>
      </w:pPr>
      <w:r>
        <w:t xml:space="preserve">The launcher creates or reuses a virtual environment, installs the selected runtime, downloads attributed demonstration media when requested, downloads a pinned public checkpoint, runs inference, and writes evidence. Cameras, network streams, the dashboard, count queries, evaluation, profiling, and security checks use the same release. Exact commands are maintained in the repository README and the accompanying supplementary reproducibility record, rather than duplicated throughout the manuscript.</w:t>
      </w:r>
    </w:p>
    <w:p>
      <w:pPr>
        <w:pStyle w:val="Heading2"/>
      </w:pPr>
      <w:r>
        <w:t xml:space="preserve">5.2 Model artifact controls</w:t>
      </w:r>
    </w:p>
    <w:p>
      <w:pPr>
        <w:spacing w:after="80"/>
        <w:jc w:val="both"/>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80"/>
        <w:jc w:val="both"/>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keepNext/>
        <w:spacing w:before="160" w:after="80"/>
        <w:jc w:val="center"/>
      </w:pPr>
      <w:r>
        <w:drawing>
          <wp:inline distT="0" distB="0" distL="0" distR="0">
            <wp:extent cx="5715000" cy="2428875"/>
            <wp:effectExtent t="0" r="0" b="0" l="0"/>
            <wp:docPr id="1" name="figure-4-model-adaptation-lifecycle.svg" descr="Model adaptation lifecycle" title="Model adaptation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5715000" cy="24288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4. Ordinary users can begin with a pinned public model. Optional target-domain training remains a maintainer activity and can replace the checkpoint without changing the application’s detection, counting, storage, or integration contracts.</w:t>
      </w:r>
    </w:p>
    <w:p>
      <w:pPr>
        <w:pStyle w:val="Heading2"/>
      </w:pPr>
      <w:r>
        <w:t xml:space="preserve">5.3 Hardware portability</w:t>
      </w:r>
    </w:p>
    <w:p>
      <w:pPr>
        <w:spacing w:after="80"/>
        <w:jc w:val="both"/>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80"/>
        <w:jc w:val="both"/>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80"/>
        <w:jc w:val="both"/>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spacing w:after="80"/>
        <w:jc w:val="both"/>
      </w:pPr>
      <w:r>
        <w:t xml:space="preserve">The maintained public-model dependency line uses PyTorch 2.6 or newer, torchvision 0.21 or newer, and Transformers 5.20 or newer. Jetson deployments must use compatible vendor or container builds rather than replacing the device's JetPack system packages.</w:t>
      </w:r>
    </w:p>
    <w:p>
      <w:pPr>
        <w:pStyle w:val="Heading2"/>
      </w:pPr>
      <w:r>
        <w:t xml:space="preserve">5.4 Software verification and secure development</w:t>
      </w:r>
    </w:p>
    <w:p>
      <w:pPr>
        <w:spacing w:after="80"/>
        <w:jc w:val="both"/>
      </w:pPr>
      <w:r>
        <w:t xml:space="preserve">At the reported revision, 87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80"/>
        <w:jc w:val="both"/>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80"/>
        <w:jc w:val="both"/>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keepNext/>
        <w:spacing w:before="160" w:after="80"/>
        <w:jc w:val="center"/>
      </w:pPr>
      <w:r>
        <w:drawing>
          <wp:inline distT="0" distB="0" distL="0" distR="0">
            <wp:extent cx="5715000" cy="2667000"/>
            <wp:effectExtent t="0" r="0" b="0" l="0"/>
            <wp:docPr id="1" name="figure-5-evaluation-evidence-workflow.svg" descr="Evaluation and evidence workflow" title="Evaluation and evidenc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5715000" cy="266700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5. Detection, counting, and systems evidence are evaluated separately against use-case gates. Failed gates lead to a documented evidence or configuration change rather than an unsupported release claim.</w:t>
      </w:r>
    </w:p>
    <w:p>
      <w:pPr>
        <w:pStyle w:val="Heading2"/>
      </w:pPr>
      <w:r>
        <w:t xml:space="preserve">6.2 Data acquisition and governance</w:t>
      </w:r>
    </w:p>
    <w:p>
      <w:pPr>
        <w:spacing w:after="80"/>
        <w:jc w:val="both"/>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80"/>
        <w:jc w:val="both"/>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80"/>
        <w:jc w:val="both"/>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80"/>
        <w:jc w:val="both"/>
      </w:pPr>
      <w:r>
        <w:t xml:space="preserve">The final evaluation will report:</w:t>
      </w:r>
    </w:p>
    <w:p>
      <w:pPr>
        <w:pStyle w:val="ListParagraph"/>
        <w:numPr>
          <w:ilvl w:val="0"/>
          <w:numId w:val="2"/>
        </w:numPr>
        <w:spacing w:after="40"/>
      </w:pPr>
      <w:r>
        <w:t xml:space="preserve">precision, recall, and F1 at the frozen operational threshold;</w:t>
      </w:r>
    </w:p>
    <w:p>
      <w:pPr>
        <w:pStyle w:val="ListParagraph"/>
        <w:numPr>
          <w:ilvl w:val="0"/>
          <w:numId w:val="2"/>
        </w:numPr>
        <w:spacing w:after="40"/>
      </w:pPr>
      <w:r>
        <w:t xml:space="preserve">mAP50 and mAP50–95;</w:t>
      </w:r>
    </w:p>
    <w:p>
      <w:pPr>
        <w:pStyle w:val="ListParagraph"/>
        <w:numPr>
          <w:ilvl w:val="0"/>
          <w:numId w:val="2"/>
        </w:numPr>
        <w:spacing w:after="40"/>
      </w:pPr>
      <w:r>
        <w:t xml:space="preserve">per-class average precision and support;</w:t>
      </w:r>
    </w:p>
    <w:p>
      <w:pPr>
        <w:pStyle w:val="ListParagraph"/>
        <w:numPr>
          <w:ilvl w:val="0"/>
          <w:numId w:val="2"/>
        </w:numPr>
        <w:spacing w:after="40"/>
      </w:pPr>
      <w:r>
        <w:t xml:space="preserve">a confusion analysis;</w:t>
      </w:r>
    </w:p>
    <w:p>
      <w:pPr>
        <w:pStyle w:val="ListParagraph"/>
        <w:numPr>
          <w:ilvl w:val="0"/>
          <w:numId w:val="2"/>
        </w:numPr>
        <w:spacing w:after="40"/>
      </w:pPr>
      <w:r>
        <w:t xml:space="preserve">results by object size, lighting, weather, clutter, occlusion, distance, and scene type; and</w:t>
      </w:r>
    </w:p>
    <w:p>
      <w:pPr>
        <w:pStyle w:val="ListParagraph"/>
        <w:numPr>
          <w:ilvl w:val="0"/>
          <w:numId w:val="2"/>
        </w:numPr>
        <w:spacing w:after="40"/>
      </w:pPr>
      <w:r>
        <w:t xml:space="preserve">human-review rate and correction rate.</w:t>
      </w:r>
    </w:p>
    <w:p>
      <w:pPr>
        <w:spacing w:after="80"/>
        <w:jc w:val="both"/>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80"/>
        <w:jc w:val="both"/>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80"/>
        <w:jc w:val="both"/>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80"/>
        <w:jc w:val="both"/>
      </w:pPr>
      <w:r>
        <w:t xml:space="preserve">Systems evaluation will separate:</w:t>
      </w:r>
    </w:p>
    <w:p>
      <w:pPr>
        <w:pStyle w:val="ListParagraph"/>
        <w:numPr>
          <w:ilvl w:val="0"/>
          <w:numId w:val="2"/>
        </w:numPr>
        <w:spacing w:after="40"/>
      </w:pPr>
      <w:r>
        <w:t xml:space="preserve">pure detector-call latency;</w:t>
      </w:r>
    </w:p>
    <w:p>
      <w:pPr>
        <w:pStyle w:val="ListParagraph"/>
        <w:numPr>
          <w:ilvl w:val="0"/>
          <w:numId w:val="2"/>
        </w:numPr>
        <w:spacing w:after="40"/>
      </w:pPr>
      <w:r>
        <w:t xml:space="preserve">preprocessing, inference, and postprocessing latency;</w:t>
      </w:r>
    </w:p>
    <w:p>
      <w:pPr>
        <w:pStyle w:val="ListParagraph"/>
        <w:numPr>
          <w:ilvl w:val="0"/>
          <w:numId w:val="2"/>
        </w:numPr>
        <w:spacing w:after="40"/>
      </w:pPr>
      <w:r>
        <w:t xml:space="preserve">observed source-to-result throughput;</w:t>
      </w:r>
    </w:p>
    <w:p>
      <w:pPr>
        <w:pStyle w:val="ListParagraph"/>
        <w:numPr>
          <w:ilvl w:val="0"/>
          <w:numId w:val="2"/>
        </w:numPr>
        <w:spacing w:after="40"/>
      </w:pPr>
      <w:r>
        <w:t xml:space="preserve">first-inference and steady-state latency;</w:t>
      </w:r>
    </w:p>
    <w:p>
      <w:pPr>
        <w:pStyle w:val="ListParagraph"/>
        <w:numPr>
          <w:ilvl w:val="0"/>
          <w:numId w:val="2"/>
        </w:numPr>
        <w:spacing w:after="40"/>
      </w:pPr>
      <w:r>
        <w:t xml:space="preserve">mean, population standard deviation, p50, p95, p99, minimum, and maximum latency;</w:t>
      </w:r>
    </w:p>
    <w:p>
      <w:pPr>
        <w:pStyle w:val="ListParagraph"/>
        <w:numPr>
          <w:ilvl w:val="0"/>
          <w:numId w:val="2"/>
        </w:numPr>
        <w:spacing w:after="40"/>
      </w:pPr>
      <w:r>
        <w:t xml:space="preserve">process, system, and accelerator memory;</w:t>
      </w:r>
    </w:p>
    <w:p>
      <w:pPr>
        <w:pStyle w:val="ListParagraph"/>
        <w:numPr>
          <w:ilvl w:val="0"/>
          <w:numId w:val="2"/>
        </w:numPr>
        <w:spacing w:after="40"/>
      </w:pPr>
      <w:r>
        <w:t xml:space="preserve">power and energy per processed frame where supported;</w:t>
      </w:r>
    </w:p>
    <w:p>
      <w:pPr>
        <w:pStyle w:val="ListParagraph"/>
        <w:numPr>
          <w:ilvl w:val="0"/>
          <w:numId w:val="2"/>
        </w:numPr>
        <w:spacing w:after="40"/>
      </w:pPr>
      <w:r>
        <w:t xml:space="preserve">temperature, clocks, and throttling state; and</w:t>
      </w:r>
    </w:p>
    <w:p>
      <w:pPr>
        <w:pStyle w:val="ListParagraph"/>
        <w:numPr>
          <w:ilvl w:val="0"/>
          <w:numId w:val="2"/>
        </w:numPr>
        <w:spacing w:after="40"/>
      </w:pPr>
      <w:r>
        <w:t xml:space="preserve">sustained-run failures, memory growth, camera interruptions, and restart behavior.</w:t>
      </w:r>
    </w:p>
    <w:p>
      <w:pPr>
        <w:spacing w:after="80"/>
        <w:jc w:val="both"/>
      </w:pPr>
      <w:r>
        <w:t xml:space="preserve">At least 10 detector calls must precede measured target-device samples. Principal target-device conditions must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80"/>
        <w:jc w:val="both"/>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80"/>
        <w:jc w:val="both"/>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80"/>
        <w:jc w:val="both"/>
      </w:pPr>
      <w:r>
        <w:t xml:space="preserve">Preliminary validation establishes that the software can be installed, executed, tested, and measured. The public-data result below establishes a preliminary zero-shot accuracy signal, but not target-domain detection accuracy, counting accuracy, operational benefit, environmental impact, or performance on every supported hardware family.</w:t>
      </w:r>
    </w:p>
    <w:p>
      <w:pPr>
        <w:pStyle w:val="Heading2"/>
      </w:pPr>
      <w:r>
        <w:t xml:space="preserve">7.2 Functional software evidence</w:t>
      </w:r>
    </w:p>
    <w:p>
      <w:pPr>
        <w:spacing w:after="80"/>
        <w:jc w:val="both"/>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87 automated tests at the reported revision.</w:t>
      </w:r>
    </w:p>
    <w:p>
      <w:pPr>
        <w:spacing w:after="80"/>
        <w:jc w:val="both"/>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80"/>
        <w:jc w:val="both"/>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public-data zero-shot accuracy</w:t>
      </w:r>
    </w:p>
    <w:p>
      <w:pPr>
        <w:spacing w:after="80"/>
        <w:jc w:val="both"/>
      </w:pPr>
      <w:r>
        <w:t xml:space="preserve">Version 0.11.0 adds a deterministic public evaluation path. TACO does not publish an official train/test partition, so the preparation tool assigns entire source batches or original source groups to one split using seed 42. The resulting frozen test partition contains 212 images and 680 mapped annotations. Downloaded resized images and their boxes, polygon coordinates, and areas are scaled to the actual image dimensions before evaluation.</w:t>
      </w:r>
    </w:p>
    <w:p>
      <w:pPr>
        <w:spacing w:after="80"/>
        <w:jc w:val="both"/>
      </w:pPr>
      <w:r>
        <w:t xml:space="preserve">The evaluated configuration used the public omlab/omdet-turbo-swin-tiny-hf checkpoint at pinned revision 7fe93cecfb770c4d76cf71163956221249cab566, without project fine-tuning. The confidence threshold was 0.25, non-maximum-suppression IoU was 0.45, and the maximum was 100 detections per image. Evaluation ran at Git revision 9f0c651ae455dabc8e5a3ebcf18f43a1639bae32 on Apple MPS using PyTorch 2.14.1 and Transformers 5.20.2. The annotation and evaluated-image sets are checksum-recorded in the evidence file.</w:t>
      </w:r>
    </w:p>
    <w:p>
      <w:pPr>
        <w:spacing w:after="80"/>
        <w:jc w:val="both"/>
      </w:pPr>
      <w:r>
        <w:t xml:space="preserve">The exact text prompts were frozen before the test run and are recorded in the machine-readable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Operational 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OmDet-Turbo prompt</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Operational 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OmDet-Turbo prompt</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clear plastic 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 bottle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drink 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sheet of paper</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 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carrier bag</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 cup</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 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 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discarded clothing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discarded electronic device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 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small piece of trash</w:t>
            </w:r>
          </w:p>
        </w:tc>
      </w:tr>
    </w:tbl>
    <w:p>
      <w:pPr>
        <w:spacing w:after="120"/>
      </w:pPr>
    </w:p>
    <w:p>
      <w:pPr>
        <w:spacing w:after="80"/>
        <w:jc w:val="both"/>
      </w:pPr>
      <w:r>
        <w:t xml:space="preserve">No prompt ablation was performed. Future prompt development must use a training or validation partition and then be frozen before test evaluation; selecting prompts from test performance would leak test information into the operating point.</w:t>
      </w:r>
    </w:p>
    <w:p>
      <w:pPr>
        <w:spacing w:after="80"/>
        <w:jc w:val="both"/>
      </w:pPr>
      <w:r>
        <w:t xml:space="preserve">The aggregate COCO bounding-box results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Measure</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Result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mAP50–95</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0.0765</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0.1016</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mAP75</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0.0916</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AR at 100 detections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0.1520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precision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0.0721</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recall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0.0779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F1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0.0749</w:t>
            </w:r>
          </w:p>
        </w:tc>
      </w:tr>
    </w:tbl>
    <w:p>
      <w:pPr>
        <w:spacing w:after="120"/>
      </w:pPr>
    </w:p>
    <w:p>
      <w:pPr>
        <w:spacing w:after="80"/>
        <w:jc w:val="both"/>
      </w:pPr>
      <w:r>
        <w:t xml:space="preserve">Per-class support and average precision show where the public checkpoint did and did not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Test support</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AP50–95</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AP50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0.1469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0.1946</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0.0916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0.1224</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28</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0.2259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0.2986</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0.0403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0.0572</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0.1550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0.1913</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0.0144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0.0217</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0.1671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0.2290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129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343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0.0033</w:t>
            </w:r>
          </w:p>
        </w:tc>
      </w:tr>
    </w:tbl>
    <w:p>
      <w:pPr>
        <w:spacing w:after="120"/>
      </w:pPr>
    </w:p>
    <w:p>
      <w:pPr>
        <w:spacing w:after="80"/>
        <w:jc w:val="both"/>
      </w:pPr>
      <w:r>
        <w:t xml:space="preserve">The result is low and uneven. Metal cans, disposable cups, plastic bags, and plastic bottles show some zero-shot localization signal, while several common or safety-relevant classes show none under this mapping and threshold. other_litter contains half of the mapped annotations and remains especially difficult. Classes with no ground-truth instances are displayed rather than silently included in a macro claim.</w:t>
      </w:r>
    </w:p>
    <w:p>
      <w:pPr>
        <w:spacing w:after="80"/>
        <w:jc w:val="both"/>
      </w:pPr>
      <w:r>
        <w:t xml:space="preserve">To distinguish failure to localize from failure to assign the mapped class, a separate diagnostic matches predictions greedily to ground-truth boxes across all classes at IoU 0.50. This diagnostic is not a replacement for COCO AP. It found 249 localized matches: 53 with the correct class and 196 with a different class. The ten most frequent wrong-class pairs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Ground-truth class</w:t>
            </w:r>
          </w:p>
        </w:tc>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Predicted class</w:t>
            </w:r>
          </w:p>
        </w:tc>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Count</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18</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15</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bl>
    <w:p>
      <w:pPr>
        <w:spacing w:after="120"/>
      </w:pPr>
    </w:p>
    <w:p>
      <w:pPr>
        <w:keepNext/>
        <w:spacing w:before="160" w:after="80"/>
        <w:jc w:val="center"/>
      </w:pPr>
      <w:r>
        <w:drawing>
          <wp:inline distT="0" distB="0" distL="0" distR="0">
            <wp:extent cx="5715000" cy="3000375"/>
            <wp:effectExtent t="0" r="0" b="0" l="0"/>
            <wp:docPr id="1" name="figure-6-taco-confusions.svg" descr="Top class-confusion pairs" title="Top class-confusio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5715000" cy="30003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6. Top diagnostic class-confusion pairs after greedy all-class matching at IoU 0.50. An arrow denotes ground truth → prediction. The catch-all other_litter mapping dominates the largest pairs.</w:t>
      </w:r>
    </w:p>
    <w:p>
      <w:pPr>
        <w:spacing w:after="80"/>
        <w:jc w:val="both"/>
      </w:pPr>
      <w:r>
        <w:t xml:space="preserve">The zero-AP classes do not all support the same causal conclusion. cigarette_butt has 129 small-object annotations, but the frozen detector emitted no cigarette_butt predictions above the operating threshold; prompt sensitivity, small-object recall, and domain transfer remain candidate causes that cannot be separated without a validation-set ablation. cardboard has 31 instances and one emitted prediction, with common localized errors assigned to food_wrapper, metal_can, and plastic_bag; this is consistent with appearance and taxonomy confusion but does not identify one cause. broken_glass has only four instances, no correct prediction, and one localized metal_can assignment, so the sample is too small for a stable class-level conclusion. Finally, other_litter collapses many source labels into one catch-all class while using the single prompt small piece of trash; its 343-instance support and dominant outgoing confusion pairs expose an ontology-and-prompt mismatch rather than a narrowly defined material class.</w:t>
      </w:r>
    </w:p>
    <w:p>
      <w:pPr>
        <w:spacing w:after="80"/>
        <w:jc w:val="both"/>
      </w:pPr>
      <w:r>
        <w:t xml:space="preserve">This evaluation closes the absence of any accuracy number, but its boundary is strict: it is a project-defined grouped TACO split, a mapped operational taxonomy, one public model, and no prompt or threshold comparison. A repeat on the same MPS host produced byte-identical prediction JSON and unchanged accuracy metrics, but this observed repeat does not establish reproducibility across accelerator types. The frozen evaluation should be repeated on CUDA before platform-independent accuracy is claimed. It is not roadside, vehicle, sorting-floor, or counting validation. The result supports using the checkpoint for software bring-up and data collection; it does not support production classification or automated separation decisions.</w:t>
      </w:r>
    </w:p>
    <w:p>
      <w:pPr>
        <w:pStyle w:val="Heading2"/>
      </w:pPr>
      <w:r>
        <w:t xml:space="preserve">7.4 Preliminary systems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Platform and measurement</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Samples</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Throughput</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detector latency</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p95 latency</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Additional evidence</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AWS g4dn.xlarge, Tesla T4, detector benchmark</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50 repeated images after 10 warm-up calls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16.53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58.98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61.03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0.55 GiB peak GPU allocation</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Orin Nano 8 GB, detector benchmark</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50 repeated images after 10 warm-up calls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5.54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174.30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175.65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0.70 GiB peak GPU allocation</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Apple silicon, MPS, public-data evaluation rerun</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212 varied images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3.85 source-to-result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253.78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463.24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96.98 ms standard deviation; 625.60 ms p99</w:t>
            </w:r>
          </w:p>
        </w:tc>
      </w:tr>
    </w:tbl>
    <w:p>
      <w:pPr>
        <w:spacing w:after="120"/>
      </w:pPr>
    </w:p>
    <w:p>
      <w:pPr>
        <w:spacing w:after="80"/>
        <w:jc w:val="both"/>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The MPS rerun produced the same predictions and accuracy as the prior 5.70-FPS execution but materially different latency, so neither single execution is treated as an MPS performance acceptance benchmark. None of these systems measurements evaluates accuracy.</w:t>
      </w:r>
    </w:p>
    <w:p>
      <w:pPr>
        <w:spacing w:after="80"/>
        <w:jc w:val="both"/>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7.5 Jetson inventory, coexistence, and latency profile</w:t>
      </w:r>
    </w:p>
    <w:p>
      <w:pPr>
        <w:spacing w:after="80"/>
        <w:jc w:val="both"/>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80"/>
        <w:jc w:val="both"/>
      </w:pPr>
      <w:r>
        <w:t xml:space="preserve">All authorized tests used a dedicated data directory and a digest-pinned, 4 GiB-limited community L4T PyTorch container. They did not change system packages, system Python, power mode, clocks, or existing services. An initial PyTorch 2.4.0 and Transformers 4.57.6 condition established full-file functionality: after a 120-frame smoke test, the launcher processed all 3,622 frames of the 120.85-second attributed recycling demonstration in 733.54 seconds. Source-to-result throughput was 4.94 FPS and mean detector-call latency was 178.60 ms. Tracking, annotated MP4 creation, JSONL, summary output, and SQLite persistence completed.</w:t>
      </w:r>
    </w:p>
    <w:p>
      <w:pPr>
        <w:spacing w:after="80"/>
        <w:jc w:val="both"/>
      </w:pPr>
      <w:r>
        <w:t xml:space="preserve">The maintained dependency line was then moved to PyTorch 2.6+ and Transformers 5.20+ after dependency auditing. The repeated profile used PyTorch 2.7.0, torchvision 0.22.0, Transformers 5.20.2, Python 3.12.3, and TensorRT 10.7.0 inside container digest sha256:4bb7f0a3852f86629ed271aaf6c4aa000305cc4e4673b8e9f334668ee1b22bc8. At Git revision 618954e5921305addbd147ccc96ea1d78fe34c6e, three 300-frame full-pipeline repetitions were run after 10 detector warm-up calls each. The profiled path included decode, preprocessing, model forward, postprocessing, tracking and count policy, JSONL, SQLite, annotation rendering, and annotated MP4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Repetition</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Frames</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Source-to-result FPS</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Wall time</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detector call</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5.1748</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57.97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168.60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5.1881</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57.83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168.75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5.2002</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57.69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168.51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Mean ± population SD</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5.1877 ± 0.0104</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57.83 ± 0.12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168.62 ± 0.10 ms</w:t>
            </w:r>
          </w:p>
        </w:tc>
      </w:tr>
    </w:tbl>
    <w:p>
      <w:pPr>
        <w:spacing w:after="120"/>
      </w:pPr>
    </w:p>
    <w:p>
      <w:pPr>
        <w:spacing w:after="80"/>
        <w:jc w:val="both"/>
      </w:pPr>
      <w:r>
        <w:t xml:space="preserve">The same class counts were emitted in all three repetitions on the fixed video. This is a determinism check, not counting accuracy, because the source has no track-count ground truth. Mean exclusive wall-time shares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Component</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wall-time share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model forward</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71.10%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detector preprocessing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13.69%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annotation rendering and output</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10.59%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detector postprocessing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2.58%</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capture or decode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0.80%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tracking, policy, and counting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0.44%</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SQLite persistence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0.33%</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JSONL serialization and write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0.13%</w:t>
            </w:r>
          </w:p>
        </w:tc>
      </w:tr>
    </w:tbl>
    <w:p>
      <w:pPr>
        <w:spacing w:after="120"/>
      </w:pPr>
    </w:p>
    <w:p>
      <w:pPr>
        <w:spacing w:after="80"/>
        <w:jc w:val="both"/>
      </w:pPr>
      <w:r>
        <w:t xml:space="preserve">The breakdown shows that model forward, preprocessing, and annotation/output are the principal optimization targets. Tracking, JSONL, and SQLite together accounted for 0.91% of wall time, so removing durable count evidence would not close the approximately threefold gap to 15 FPS.</w:t>
      </w:r>
    </w:p>
    <w:p>
      <w:pPr>
        <w:keepNext/>
        <w:spacing w:before="160" w:after="80"/>
        <w:jc w:val="center"/>
      </w:pPr>
      <w:r>
        <w:drawing>
          <wp:inline distT="0" distB="0" distL="0" distR="0">
            <wp:extent cx="5715000" cy="2571750"/>
            <wp:effectExtent t="0" r="0" b="0" l="0"/>
            <wp:docPr id="1" name="figure-7-jetson-latency-profile.svg" descr="Jetson full-pipeline latency profile" title="Jetson full-pipeline latency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extLst>
                        <a:ext uri="{96DAC541-7B7A-43D3-8B79-37D633B846F1}">
                          <asvg:svgBlip xmlns:asvg="http://schemas.microsoft.com/office/drawing/2016/SVG/main" r:embed="rId19"/>
                        </a:ext>
                      </a:extLst>
                    </a:blip>
                    <a:srcRect/>
                    <a:stretch>
                      <a:fillRect/>
                    </a:stretch>
                  </pic:blipFill>
                  <pic:spPr bwMode="auto">
                    <a:xfrm>
                      <a:off x="0" y="0"/>
                      <a:ext cx="5715000" cy="257175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7. Mean exclusive wall-time shares across three warmed Jetson full-pipeline runs. Model forward, detector preprocessing, and annotation output account for 95.38% of measured wall time.</w:t>
      </w:r>
    </w:p>
    <w:p>
      <w:pPr>
        <w:spacing w:after="80"/>
        <w:jc w:val="both"/>
      </w:pPr>
      <w:r>
        <w:t xml:space="preserve">Across the complete three-run telemetry session—including loading, warm-up, processing, and transitions—minimum available system memory was 2,280 MiB, swap remained fixed at 243 MiB, peak GPU temperature was 63.94 °C, and whole-board input power averaged 12.70 W with a 15.10 W peak. Board power includes the full Jetson and co-resident services. The community image remains a recorded supply-chain limitation rather than an endorsed production base.</w:t>
      </w:r>
    </w:p>
    <w:p>
      <w:pPr>
        <w:spacing w:after="80"/>
        <w:jc w:val="both"/>
      </w:pPr>
      <w:r>
        <w:t xml:space="preserve">The profile initially allowed outbound HTTPS because Transformers 5.20 performed a metadata lookup for the named timm backbone. A subsequent adapter change materialized that backbone configuration locally. At Git revision 864308395b5c9515f7c8cbc55c82014d245a0e3c, an isolated Jetson smoke test with --network none, a read-only model cache, and both Hugging Face offline flags loaded the same pinned checkpoint and completed CUDA inference. This establishes cached offline startup for the tested configuration.</w:t>
      </w:r>
    </w:p>
    <w:p>
      <w:pPr>
        <w:spacing w:after="80"/>
        <w:jc w:val="both"/>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80"/>
        <w:jc w:val="both"/>
      </w:pPr>
      <w:r>
        <w:t xml:space="preserve">The public demonstration video does not provide labels for the project's operational taxonomy. Its detections and counts are therefore not accuracy or count-error results. The full-file run establishes bounded stability, while the three shorter warmed runs establish preliminary repeatability and a latency breakdown. Neither establishes multi-hour endurance, thermal-throttling acceptance, or production readiness.</w:t>
      </w:r>
    </w:p>
    <w:p>
      <w:pPr>
        <w:pStyle w:val="Heading2"/>
      </w:pPr>
      <w:r>
        <w:t xml:space="preserve">7.6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Claim area</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Status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Clean clone, launcher, public-model inference, SQLite, dashboard/API</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implemented and functionally verified</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Automated software tests and release/security workflows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verified at reported revision</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Grouped TACO zero-shot detection/classification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 low result; not target-domain acceptance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Tesla T4 OmDet-Turbo model-only execution</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Apple MPS OmDet-Turbo model-only execution</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Orin 8 GB detector and 3,622-frame full workflow</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coexistence and bounded stability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warmed three-run full-pipeline latency profile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repeatability and component evidence; 15 FPS target not met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cached offline model loading and CUDA inference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functionally verified with network disabled and read-only model cache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Target-domain detection/classification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representative labeled data</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Video counting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track-annotated video</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multi-hour endurance and production acceptance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AMD ROCm / Strix Halo inference and sustained performance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target-device test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Cleanup or sorting operational benefit</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field evaluation</w:t>
            </w:r>
          </w:p>
        </w:tc>
      </w:tr>
    </w:tbl>
    <w:p>
      <w:pPr>
        <w:spacing w:after="120"/>
      </w:pPr>
    </w:p>
    <w:p>
      <w:pPr>
        <w:pStyle w:val="Heading1"/>
      </w:pPr>
      <w:r>
        <w:t xml:space="preserve">8. Discussion</w:t>
      </w:r>
    </w:p>
    <w:p>
      <w:pPr>
        <w:spacing w:after="80"/>
        <w:jc w:val="both"/>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80"/>
        <w:jc w:val="both"/>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80"/>
        <w:jc w:val="both"/>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80"/>
        <w:jc w:val="both"/>
      </w:pPr>
      <w:r>
        <w:t xml:space="preserve">The public-data evaluation changes the interpretation of “works out of the box.” The software, source handling, persistence, dashboard, and model download work without user training. The public checkpoint nevertheless achieved only 0.0765 mAP50–95 and 0.0749 micro F1 on the grouped TACO condition. Ordinary users should not need to train a model to install or explore the solution, but an operator must not treat this checkpoint as production-accepted merely because it produces detections. Representative validation, prompt and threshold freezing, and likely task-specific adaptation remain release gates.</w:t>
      </w:r>
    </w:p>
    <w:p>
      <w:pPr>
        <w:spacing w:after="80"/>
        <w:jc w:val="both"/>
      </w:pPr>
      <w:r>
        <w:t xml:space="preserve">The preliminary T4 measurement still supports systems evaluation of OmDet-Turbo as the no-training bootstrap. Its 16.53 FPS detector-only throughput in the measured condition is encouraging, but the gap between that number and a complete camera workload is material. The evaluation protocol therefore records capture, visualization, storage, thermal, and co-resident workload effects instead of treating model latency as an end-to-end result.</w:t>
      </w:r>
    </w:p>
    <w:p>
      <w:pPr>
        <w:spacing w:after="80"/>
        <w:jc w:val="both"/>
      </w:pPr>
      <w:r>
        <w:t xml:space="preserve">The Jetson run demonstrates another practical constraint: an edge device may already host valuable services. The existing workload remained active and at least 2.23 GiB system memory remained available during the three-run profile. The 5.188 ± 0.010 FPS result is stable enough to locate the current bottleneck: model forward, preprocessing, and annotation/output account for approximately 95% of measured wall time. Tracking and evidence persistence are not the dominant cost. FP16/runtime export, input-pipeline work, and optional rendering changes are therefore defensible optimization directions, but the evidence does not yet show that they will reach 15 FPS or preserve accuracy.</w:t>
      </w:r>
    </w:p>
    <w:p>
      <w:pPr>
        <w:spacing w:after="80"/>
        <w:jc w:val="both"/>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80"/>
        <w:jc w:val="both"/>
      </w:pPr>
      <w:r>
        <w:t xml:space="preserve">First, the public open-vocabulary checkpoint performed poorly on the grouped TACO evaluation and has not been calibrated on a representative target-domain dataset. TACO category mapping introduces additional ontology uncertainty. The result is sufficient to reject an unsupported production-accuracy claim, not to estimate truck, roadside, or sorting-floor accuracy.</w:t>
      </w:r>
    </w:p>
    <w:p>
      <w:pPr>
        <w:spacing w:after="80"/>
        <w:jc w:val="both"/>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evidence adds a complete 3,622-frame run and three warmed 300-frame profiles, but all use one unlabelled video, one device, and one coexistence condition.</w:t>
      </w:r>
    </w:p>
    <w:p>
      <w:pPr>
        <w:spacing w:after="80"/>
        <w:jc w:val="both"/>
      </w:pPr>
      <w:r>
        <w:t xml:space="preserve">The public-data accuracy result was generated on Apple MPS. A repeated run on the same host produced byte-identical predictions, but cross-device numerical stability has not been established. CUDA reproduction is therefore required before claiming that the frozen zero-shot result is platform independent.</w:t>
      </w:r>
    </w:p>
    <w:p>
      <w:pPr>
        <w:spacing w:after="80"/>
        <w:jc w:val="both"/>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 The simplified overlap analysis is an image-plane bound, not a validated vehicle-speed limit.</w:t>
      </w:r>
    </w:p>
    <w:p>
      <w:pPr>
        <w:spacing w:after="80"/>
        <w:jc w:val="both"/>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80"/>
        <w:jc w:val="both"/>
      </w:pPr>
      <w:r>
        <w:t xml:space="preserve">Fifth, the Jetson execution path has short repeated profiles but not the multi-hour, restart, camera-interruption, thermal-throttling, or optimized artifact evidence required for production acceptance. Its community container base requires a separate supply-chain decision. Cached offline startup passed after the backbone-configuration fix, but disconnected operation with a live camera and restart/recovery behavior remain untested. AMD execution remains untested.</w:t>
      </w:r>
    </w:p>
    <w:p>
      <w:pPr>
        <w:spacing w:after="80"/>
        <w:jc w:val="both"/>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80"/>
        <w:jc w:val="both"/>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80"/>
        <w:jc w:val="both"/>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80"/>
        <w:jc w:val="both"/>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80"/>
        <w:jc w:val="both"/>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80"/>
        <w:jc w:val="both"/>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80"/>
        <w:jc w:val="both"/>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The warmed three-run telemetry session averaged 12.70 W and included loading, warm-up, measured inference, co-resident workloads, and inter-run transitions. Energy per detected object or processed frame is intentionally withheld because the session boundary does not isolate detector energy from those other loads.</w:t>
      </w:r>
    </w:p>
    <w:p>
      <w:pPr>
        <w:pStyle w:val="Heading1"/>
      </w:pPr>
      <w:r>
        <w:t xml:space="preserve">11. Data, Code, and Reproducibility Availability</w:t>
      </w:r>
    </w:p>
    <w:p>
      <w:pPr>
        <w:spacing w:after="80"/>
        <w:jc w:val="both"/>
      </w:pPr>
      <w:r>
        <w:t xml:space="preserve">The software, configuration, documentation, tests, and reproduction commands are available at:</w:t>
      </w:r>
    </w:p>
    <w:p>
      <w:pPr>
        <w:spacing w:after="80"/>
        <w:jc w:val="both"/>
      </w:pPr>
      <w:r>
        <w:t xml:space="preserve">https://github.com/biolababs/edge-litter-detection</w:t>
      </w:r>
    </w:p>
    <w:p>
      <w:pPr>
        <w:spacing w:after="80"/>
        <w:jc w:val="both"/>
      </w:pPr>
      <w:r>
        <w:t xml:space="preserve">This paper describes version 0.11.0 at implementation commit:</w:t>
      </w:r>
    </w:p>
    <w:p>
      <w:pPr>
        <w:spacing w:after="80"/>
        <w:jc w:val="both"/>
      </w:pPr>
      <w:r>
        <w:t xml:space="preserve">9f0c651ae455dabc8e5a3ebcf18f43a1639bae32</w:t>
      </w:r>
    </w:p>
    <w:p>
      <w:pPr>
        <w:spacing w:after="80"/>
        <w:jc w:val="both"/>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80"/>
        <w:jc w:val="both"/>
      </w:pPr>
      <w:r>
        <w:t xml:space="preserve">Preliminary evidence records accompany this manuscript under paper/evidence/, including the grouped TACO zero-shot result and predictions, three raw warmed Jetson profile summaries, their aggregate, tegrastats captures, checksums, and interpretation boundaries. The warmed Jetson profiles were executed at commit 618954e5921305addbd147ccc96ea1d78fe34c6e. The final portable TACO evaluation and offline Jetson smoke were executed at implementation commits 9f0c651ae455dabc8e5a3ebcf18f43a1639bae32 and 864308395b5c9515f7c8cbc55c82014d245a0e3c, respectively. The TACO result JSON has SHA-256 c417ce31d48759e2d40a113395c7c4f18241164546be16d79df1968564c27e26.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80"/>
        <w:jc w:val="both"/>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80"/>
        <w:jc w:val="both"/>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measurements, a preliminary grouped TACO accuracy result, and end-to-end Jetson coexistence runs covering video, storage, dashboard, and API behavior. The public checkpoint's low TACO result means it should be treated as a bring-up and data-collection model, not a production litter classifier. The Jetson public-model path is functional but did not meet the provisional 15 FPS target. The paper does not yet support claims of target-domain accuracy, counting accuracy, endurance, AMD performance, or production readiness.</w:t>
      </w:r>
    </w:p>
    <w:p>
      <w:pPr>
        <w:spacing w:after="80"/>
        <w:jc w:val="both"/>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model forward, preprocessing, and rendering, then complete a multi-hour endurance test. A subsequent paper revision should replace pending evidence with traceable target-domain accuracy, reliability, and operational-outcome results.</w:t>
      </w:r>
    </w:p>
    <w:p>
      <w:pPr>
        <w:pStyle w:val="Heading1"/>
      </w:pPr>
      <w:r>
        <w:t xml:space="preserve">Declarations</w:t>
      </w:r>
    </w:p>
    <w:p>
      <w:pPr>
        <w:pStyle w:val="Heading2"/>
      </w:pPr>
      <w:r>
        <w:t xml:space="preserve">Author contributions</w:t>
      </w:r>
    </w:p>
    <w:p>
      <w:pPr>
        <w:spacing w:after="80"/>
        <w:jc w:val="both"/>
      </w:pPr>
      <w:r>
        <w:t xml:space="preserve">Abiola A. Babsalaam conceived the use case, designed and implemented the software, prepared the preliminary validation, and authored the manuscript.</w:t>
      </w:r>
    </w:p>
    <w:p>
      <w:pPr>
        <w:pStyle w:val="Heading2"/>
      </w:pPr>
      <w:r>
        <w:t xml:space="preserve">Funding</w:t>
      </w:r>
    </w:p>
    <w:p>
      <w:pPr>
        <w:spacing w:after="80"/>
        <w:jc w:val="both"/>
      </w:pPr>
      <w:r>
        <w:t xml:space="preserve">No external funding is declared for this preprint.</w:t>
      </w:r>
    </w:p>
    <w:p>
      <w:pPr>
        <w:pStyle w:val="Heading2"/>
      </w:pPr>
      <w:r>
        <w:t xml:space="preserve">Competing interests</w:t>
      </w:r>
    </w:p>
    <w:p>
      <w:pPr>
        <w:spacing w:after="80"/>
        <w:jc w:val="both"/>
      </w:pPr>
      <w:r>
        <w:t xml:space="preserve">The author declares no competing interests.</w:t>
      </w:r>
    </w:p>
    <w:p>
      <w:pPr>
        <w:pStyle w:val="Heading2"/>
      </w:pPr>
      <w:r>
        <w:t xml:space="preserve">Ethics statement</w:t>
      </w:r>
    </w:p>
    <w:p>
      <w:pPr>
        <w:spacing w:after="80"/>
        <w:jc w:val="both"/>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80"/>
        <w:jc w:val="both"/>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2"/>
      </w:pPr>
      <w:r>
        <w:t xml:space="preserve">Use of AI tools</w:t>
      </w:r>
    </w:p>
    <w:p>
      <w:pPr>
        <w:spacing w:after="80"/>
        <w:jc w:val="both"/>
      </w:pPr>
      <w:r>
        <w:t xml:space="preserve">AI-assisted tools supported manuscript editing, code review, test generation, and document rendering. The author selected the design, executed and inspected the reported software and experiments, verified sources and evidence, and retains responsibility for the manuscript. This disclosure should be adapted to the policy of any destination venue.</w:t>
      </w:r>
    </w:p>
    <w:p>
      <w:pPr>
        <w:pStyle w:val="Heading1"/>
      </w:pPr>
      <w:r>
        <w:t xml:space="preserve">References</w:t>
      </w:r>
    </w:p>
    <w:p>
      <w:pPr>
        <w:spacing w:after="80"/>
        <w:jc w:val="both"/>
      </w:pPr>
      <w:r>
        <w:t xml:space="preserve">[1] Kaza, S., Yao, L. C., Bhada-Tata, P., &amp; Van Woerden, F. (2018). What a Waste 2.0: A Global Snapshot of Solid Waste Management to 2050. World Bank. https://doi.org/10.1596/978-1-4648-1329-0</w:t>
      </w:r>
    </w:p>
    <w:p>
      <w:pPr>
        <w:spacing w:after="80"/>
        <w:jc w:val="both"/>
      </w:pPr>
      <w:r>
        <w:t xml:space="preserve">[2] Jambeck, J. R., Geyer, R., Wilcox, C., Siegler, T. R., Perryman, M., Andrady, A., Narayan, R., &amp; Law, K. L. (2015). Plastic waste inputs from land into the ocean. Science, 347(6223), 768–771. https://doi.org/10.1126/science.1260352</w:t>
      </w:r>
    </w:p>
    <w:p>
      <w:pPr>
        <w:spacing w:after="80"/>
        <w:jc w:val="both"/>
      </w:pPr>
      <w:r>
        <w:t xml:space="preserve">[3] Proença, P. F., &amp; Simões, P. (2020). TACO: Trash Annotations in Context for Litter Detection. arXiv:2003.06975. https://doi.org/10.48550/arXiv.2003.06975</w:t>
      </w:r>
    </w:p>
    <w:p>
      <w:pPr>
        <w:spacing w:after="80"/>
        <w:jc w:val="both"/>
      </w:pPr>
      <w:r>
        <w:t xml:space="preserve">[4] Córdova, M., Pinto, A., Hellevik, C. C., Alaliyat, S. A.-A., Hameed, I. A., Pedrini, H., &amp; Torres, R. d. S. (2022). Litter detection with deep learning: A comparative study. Sensors, 22(2), 548. https://doi.org/10.3390/s22020548</w:t>
      </w:r>
    </w:p>
    <w:p>
      <w:pPr>
        <w:spacing w:after="80"/>
        <w:jc w:val="both"/>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80"/>
        <w:jc w:val="both"/>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(pp. 21147–21157). https://openaccess.thecvf.com/content/CVPR2022/html/Bashkirova_ZeroWaste_Dataset_Towards_Deformable_Object_Segmentation_in_Cluttered_Scenes_CVPR_2022_paper.html</w:t>
      </w:r>
    </w:p>
    <w:p>
      <w:pPr>
        <w:spacing w:after="80"/>
        <w:jc w:val="both"/>
      </w:pPr>
      <w:r>
        <w:t xml:space="preserve">[7] Babsalaam, A. A. (2026). Edge Litter Detection, Multiclass Classification, Tracking, and Counting (Version 0.11.0) [Computer software]. GitHub. https://github.com/biolababs/edge-litter-detection</w:t>
      </w:r>
    </w:p>
    <w:p>
      <w:pPr>
        <w:spacing w:after="80"/>
        <w:jc w:val="both"/>
      </w:pPr>
      <w:r>
        <w:t xml:space="preserve">[8] Wu, T., Xu, Q., He, X., Weekes, O., Brown, J., &amp; Duan, W. (2026). RoLID-11K: A dashcam dataset for small-object roadside litter detection. In Proceedings of the IEEE/CVF Winter Conference on Applications of Computer Vision Workshops (pp. 568–575). https://openaccess.thecvf.com/content/WACV2026W/WasteVision/html/Wu_RoLID-11K_A_Dashcam_Dataset_for_Small-Object_Roadside_Litter_Detection_WACVW_2026_paper.html</w:t>
      </w:r>
    </w:p>
    <w:p>
      <w:pPr>
        <w:spacing w:after="80"/>
        <w:jc w:val="both"/>
      </w:pPr>
      <w:r>
        <w:t xml:space="preserve">[9] Lin, T.-Y., Maire, M., Belongie, S., Hays, J., Perona, P., Ramanan, D., Dollár, P., &amp; Zitnick, C. L. (2014). Microsoft COCO: Common objects in context. In Computer Vision – ECCV 2014 (pp. 740–755). https://doi.org/10.1007/978-3-319-10602-1_48</w:t>
      </w:r>
    </w:p>
    <w:p>
      <w:pPr>
        <w:spacing w:after="80"/>
        <w:jc w:val="both"/>
      </w:pPr>
      <w:r>
        <w:t xml:space="preserve">[10] Carion, N., Massa, F., Synnaeve, G., Usunier, N., Kirillov, A., &amp; Zagoruyko, S. (2020). End-to-end object detection with transformers. In Computer Vision – ECCV 2020 (pp. 213–229). https://doi.org/10.1007/978-3-030-58452-8_13</w:t>
      </w:r>
    </w:p>
    <w:p>
      <w:pPr>
        <w:spacing w:after="80"/>
        <w:jc w:val="both"/>
      </w:pPr>
      <w:r>
        <w:t xml:space="preserve">[11] Zhang, H., Li, F., Liu, S., Zhang, L., Su, H., Zhu, J., Ni, L. M., &amp; Shum, H.-Y. (2023). DINO: DETR with improved denoising anchor boxes for end-to-end object detection. In International Conference on Learning Representations (ICLR 2023). https://openreview.net/forum?id=3mRwyG5one</w:t>
      </w:r>
    </w:p>
    <w:p>
      <w:pPr>
        <w:spacing w:after="80"/>
        <w:jc w:val="both"/>
      </w:pPr>
      <w:r>
        <w:t xml:space="preserve">[12] Liu, S., Zeng, Z., Ren, T., Li, F., Zhang, H., Yang, J., Jiang, Q., Li, C., Yang, J., Su, H., Zhu, J., &amp; Zhang, L. (2024). Grounding DINO: Marrying DINO with grounded pre-training for open-set object detection. In Computer Vision – ECCV 2024 (pp. 38–55). https://doi.org/10.1007/978-3-031-72970-6_3</w:t>
      </w:r>
    </w:p>
    <w:p>
      <w:pPr>
        <w:spacing w:after="80"/>
        <w:jc w:val="both"/>
      </w:pPr>
      <w:r>
        <w:t xml:space="preserve">[13] Zhao, T., Liu, P., He, X., Zhang, L., &amp; Lee, K. (2024). Real-time transformer-based open-vocabulary detection with efficient fusion head. arXiv:2403.06892. https://doi.org/10.48550/arXiv.2403.06892</w:t>
      </w:r>
    </w:p>
    <w:p>
      <w:pPr>
        <w:spacing w:after="80"/>
        <w:jc w:val="both"/>
      </w:pPr>
      <w:r>
        <w:t xml:space="preserve">[14] Robinson, I., Robicheaux, P., Popov, M., Ramanan, D., &amp; Peri, N. (2026). RF-DETR: Neural architecture search for real-time detection transformers. In International Conference on Learning Representations (ICLR 2026). arXiv:2511.09554. https://doi.org/10.48550/arXiv.2511.09554</w:t>
      </w:r>
    </w:p>
    <w:p>
      <w:pPr>
        <w:spacing w:after="80"/>
        <w:jc w:val="both"/>
      </w:pPr>
      <w:r>
        <w:t xml:space="preserve">[15] Bewley, A., Ge, Z., Ott, L., Ramos, F., &amp; Upcroft, B. (2016). Simple online and realtime tracking. In 2016 IEEE International Conference on Image Processing (pp. 3464–3468). https://doi.org/10.1109/ICIP.2016.7533003</w:t>
      </w:r>
    </w:p>
    <w:p>
      <w:pPr>
        <w:spacing w:after="80"/>
        <w:jc w:val="both"/>
      </w:pPr>
      <w:r>
        <w:t xml:space="preserve">[16] Zhang, Y., Sun, P., Jiang, Y., Yu, D., Weng, F., Yuan, Z., Luo, P., Liu, W., &amp; Wang, X. (2022). ByteTrack: Multi-object tracking by associating every detection box. In Computer Vision – ECCV 2022 (pp. 1–21). https://doi.org/10.1007/978-3-031-20047-2_1</w:t>
      </w:r>
    </w:p>
    <w:p>
      <w:pPr>
        <w:spacing w:after="80"/>
        <w:jc w:val="both"/>
      </w:pPr>
      <w:r>
        <w:t xml:space="preserve">[17] Paszke, A., Gross, S., Massa, F., Lerer, A., Bradbury, J., Chanan, G., Killeen, T., Lin, Z., Gimelshein, N., Antiga, L., et al. (2019). PyTorch: An imperative style, high-performance deep learning library. In Advances in Neural Information Processing Systems 32 (pp. 8024–8035). https://proceedings.neurips.cc/paper/2019/hash/bdbca288fee7f92f2bfa9f7012727740-Abstract.html</w:t>
      </w:r>
    </w:p>
    <w:p>
      <w:pPr>
        <w:spacing w:after="80"/>
        <w:jc w:val="both"/>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80"/>
        <w:jc w:val="both"/>
      </w:pPr>
      <w:r>
        <w:t xml:space="preserve">[19] Bradski, G. (2000). The OpenCV library. Dr. Dobb’s Journal of Software Tools.</w:t>
      </w:r>
    </w:p>
    <w:p>
      <w:pPr>
        <w:spacing w:after="80"/>
        <w:jc w:val="both"/>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80"/>
        <w:jc w:val="both"/>
      </w:pPr>
      <w:r>
        <w:t xml:space="preserve">[21] OWASP Foundation. (2025). Application Security Verification Standard 5.0.0. https://owasp.org/www-project-application-security-verification-standard/</w:t>
      </w:r>
    </w:p>
    <w:p>
      <w:pPr>
        <w:spacing w:after="80"/>
        <w:jc w:val="both"/>
      </w:pPr>
      <w:r>
        <w:t xml:space="preserve">[22] Litterati. (2026). Analyze: Identify litter trends and measure impact. https://www.litterati.org/analyze</w:t>
      </w:r>
    </w:p>
    <w:p>
      <w:pPr>
        <w:spacing w:after="80"/>
        <w:jc w:val="both"/>
      </w:pPr>
      <w:r>
        <w:t xml:space="preserve">[23] United States Environmental Protection Agency. (2023). EPA SBIR Supports Technology to Improve Recycling. https://www.epa.gov/sbir/epa-sbir-supports-technology-improve-recycling</w:t>
      </w:r>
    </w:p>
    <w:p>
      <w:pPr>
        <w:spacing w:after="80"/>
        <w:jc w:val="both"/>
      </w:pPr>
      <w:r>
        <w:t xml:space="preserve">[24] AMP. (2026). AMP Vision: Real-Time Material Characterization. https://ampsortation.com/vision-system</w:t>
      </w:r>
    </w:p>
    <w:p>
      <w:pPr>
        <w:spacing w:after="80"/>
        <w:jc w:val="both"/>
      </w:pPr>
      <w:r>
        <w:t xml:space="preserve">[25] Watkins, L., Bonter, D. N., Sullivan, P. J., &amp; Walter, M. T. (2024). Methods for monitoring urban street litter: A comparison of municipal audits and an app-based citizen science approach. Environmental Science: Advances, 3, 885–896. https://doi.org/10.1039/D4VA00008K</w:t>
      </w:r>
    </w:p>
    <w:p>
      <w:pPr>
        <w:spacing w:after="80"/>
        <w:jc w:val="both"/>
      </w:pPr>
      <w:r>
        <w:t xml:space="preserve">[26] Kunwar, S. (2026). DWaste: Greener AI for waste sorting using mobile and edge devices. Journal on Artificial Intelligence, 8(1), 39–49. https://doi.org/10.32604/jai.2026.076674. Preprint: arXiv:2510.18513.</w:t>
      </w:r>
    </w:p>
    <w:p>
      <w:pPr>
        <w:spacing w:after="80"/>
        <w:jc w:val="both"/>
      </w:pPr>
      <w:r>
        <w:t xml:space="preserve">[27] Arora, N. (2026). Real time detection of trash and faces for smart city environmental monitoring. Discover Cities, 3, 93. https://doi.org/10.1007/s44327-026-00276-2</w:t>
      </w:r>
    </w:p>
    <w:p>
      <w:pPr>
        <w:pStyle w:val="Heading1"/>
      </w:pPr>
      <w:r>
        <w:t xml:space="preserve">Supplementary Reproducibility Materials</w:t>
      </w:r>
    </w:p>
    <w:p>
      <w:pPr>
        <w:spacing w:after="80"/>
        <w:jc w:val="both"/>
      </w:pPr>
      <w:r>
        <w:t xml:space="preserve">Exact commands for the demonstration, dashboard, counts, public-data evaluation, Jetson profiling, validation, and security audit are maintained in paper/SUPPLEMENTARY_REPRODUCIBILITY.md and the repository README. Raw and aggregate machine-readable records are retained under paper/evidence/.</w:t>
      </w:r>
    </w:p>
    <w:sectPr>
      <w:footerReference w:type="default" r:id="rId6"/>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7"/>
        <w:szCs w:val="17"/>
      </w:rPr>
      <w:t xml:space="preserve">Page </w:t>
    </w:r>
    <w:r>
      <w:rPr>
        <w:rFonts w:ascii="Times New Roman" w:cs="Times New Roman" w:eastAsia="Times New Roman" w:hAnsi="Times New Roman"/>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0"/>
        <w:szCs w:val="20"/>
      </w:rPr>
    </w:rPrDefault>
    <w:pPrDefault>
      <w:pPr>
        <w:spacing w:line="240" w:after="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100"/>
      <w:outlineLvl w:val="0"/>
    </w:pPr>
    <w:rPr>
      <w:rFonts w:ascii="Times New Roman" w:cs="Times New Roman" w:eastAsia="Times New Roman" w:hAnsi="Times New Roman"/>
      <w:b/>
      <w:bCs/>
      <w:color w:val="111111"/>
      <w:sz w:val="28"/>
      <w:szCs w:val="28"/>
    </w:rPr>
  </w:style>
  <w:style w:type="paragraph" w:styleId="Heading2">
    <w:name w:val="Heading 2"/>
    <w:basedOn w:val="Normal"/>
    <w:next w:val="Normal"/>
    <w:qFormat/>
    <w:pPr>
      <w:keepNext/>
      <w:spacing w:before="180" w:after="80"/>
      <w:outlineLvl w:val="1"/>
    </w:pPr>
    <w:rPr>
      <w:rFonts w:ascii="Times New Roman" w:cs="Times New Roman" w:eastAsia="Times New Roman" w:hAnsi="Times New Roman"/>
      <w:b/>
      <w:bCs/>
      <w:color w:val="111111"/>
      <w:sz w:val="24"/>
      <w:szCs w:val="24"/>
    </w:rPr>
  </w:style>
  <w:style w:type="paragraph" w:styleId="Heading3">
    <w:name w:val="Heading 3"/>
    <w:basedOn w:val="Normal"/>
    <w:next w:val="Normal"/>
    <w:qFormat/>
    <w:pPr>
      <w:keepNext/>
      <w:spacing w:before="140" w:after="65"/>
      <w:outlineLvl w:val="2"/>
    </w:pPr>
    <w:rPr>
      <w:rFonts w:ascii="Times New Roman" w:cs="Times New Roman" w:eastAsia="Times New Roman" w:hAnsi="Times New Roman"/>
      <w:b/>
      <w:bCs/>
      <w:i/>
      <w:iCs/>
      <w:color w:val="11111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e7078ad8b3bd0a92960713ebe36fa3b1543f7b48.svg"/><Relationship Id="rId8" Type="http://schemas.openxmlformats.org/officeDocument/2006/relationships/image" Target="media/8d3b9f74ab8fc2729dd7ee73e49e76b7ef9dca8b.png"/><Relationship Id="rId9" Type="http://schemas.openxmlformats.org/officeDocument/2006/relationships/image" Target="media/503f46a237692b5a9863b9b006e5a1515a25a7ff.svg"/><Relationship Id="rId10" Type="http://schemas.openxmlformats.org/officeDocument/2006/relationships/image" Target="media/3ae699d0995f97eda9125cd94f6aecd0f3017bb6.png"/><Relationship Id="rId11" Type="http://schemas.openxmlformats.org/officeDocument/2006/relationships/image" Target="media/cb4cdeec72ca0dd1e404dc3e2d6046699153d0af.svg"/><Relationship Id="rId12" Type="http://schemas.openxmlformats.org/officeDocument/2006/relationships/image" Target="media/be8bef8062dd7ee8ce83bd78ebc206ff7f085dcd.png"/><Relationship Id="rId13" Type="http://schemas.openxmlformats.org/officeDocument/2006/relationships/image" Target="media/f28e165d51fcd32cc4acf77f88df90a4a75d888c.svg"/><Relationship Id="rId14" Type="http://schemas.openxmlformats.org/officeDocument/2006/relationships/image" Target="media/aea53e790632f1c9ae7472d21cb45330bdcee266.png"/><Relationship Id="rId15" Type="http://schemas.openxmlformats.org/officeDocument/2006/relationships/image" Target="media/0b665c578b39a90c626df32b3877a8938ab38053.svg"/><Relationship Id="rId16" Type="http://schemas.openxmlformats.org/officeDocument/2006/relationships/image" Target="media/e75cc0f02caeb07f171e486e3fd23304323f4e58.png"/><Relationship Id="rId17" Type="http://schemas.openxmlformats.org/officeDocument/2006/relationships/image" Target="media/1873253097df242d4ec15c09b65fd266060563dc.svg"/><Relationship Id="rId18" Type="http://schemas.openxmlformats.org/officeDocument/2006/relationships/image" Target="media/bda51c7bc6c9ec41aed6c1af2247181022e2a6bf.png"/><Relationship Id="rId19" Type="http://schemas.openxmlformats.org/officeDocument/2006/relationships/image" Target="media/9731068568967540a99f51a33acec6fa1dd2cbf9.svg"/><Relationship Id="rId20" Type="http://schemas.openxmlformats.org/officeDocument/2006/relationships/image" Target="media/1f93a37b84e79bcb504215466e99c5a946ee927f.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and Reproducible Edge-AI Software Architecture for Litter Detection, Multiclass Classification, Tracking, and Counting</dc:title>
  <dc:subject>Edge-AI software architecture and reproducibility preprint</dc:subject>
  <dc:creator>Abiola A. Babsalaam</dc:creator>
  <dc:description>Preprint reporting public-data accuracy, edge deployment design, and warmed Jetson Orin Nano profiling.</dc:description>
  <cp:lastModifiedBy>Abiola A. Babsalaam</cp:lastModifiedBy>
  <cp:revision>1</cp:revision>
  <dcterms:created xsi:type="dcterms:W3CDTF">2026-10-21T05:56:03.480Z</dcterms:created>
  <dcterms:modified xsi:type="dcterms:W3CDTF">2026-10-21T05:56:03.489Z</dcterms:modified>
</cp:coreProperties>
</file>

<file path=docProps/custom.xml><?xml version="1.0" encoding="utf-8"?>
<Properties xmlns="http://schemas.openxmlformats.org/officeDocument/2006/custom-properties" xmlns:vt="http://schemas.openxmlformats.org/officeDocument/2006/docPropsVTypes"/>
</file>