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Ablation Study Methodology</w:t>
      </w:r>
    </w:p>
    <w:p>
      <w:r>
        <w:t>To quantify the contribution of each key component in the model to the final performance, we designed an ablation study method based on random removal. This method evaluates the impact of specific neurons or connections on the model's inference capability by masking them during the forward pass. The specific procedure is as follows:</w:t>
        <w:br/>
        <w:br/>
        <w:t>Component Definition and Search Space</w:t>
        <w:br/>
        <w:t>We partition the model into two layers and define three types of components to be tested within each layer:</w:t>
        <w:br/>
        <w:br/>
        <w:t>1. Input Synaptic Weights: The collection of weight parameters for all linear transformations within the layer. The search space size for Layer 1 is (320×3 + 384×3 + 320×3) × 500, and for Layer 2 it is (125×4) × 10.</w:t>
        <w:br/>
        <w:br/>
        <w:t>2. Dendrite Processing Units: Units that perform non-linear processing on the linear transformation results. Layer 1 contains 4,500 units (500×9), and Layer 2 contains 40 units (10×4).</w:t>
        <w:br/>
        <w:br/>
        <w:t>3. Output Activation: The output nodes after soma computation. The dimensions for Layer 1 and Layer 2 are 500 and 10, respectively.</w:t>
        <w:br/>
        <w:br/>
        <w:t>Intervention Strategy</w:t>
        <w:br/>
        <w:t>For each component type, we apply intervention via random masking or weight zeroing. We set the removal count k ∈ {1, 2, 3, 4, 5}. The specific operations are:</w:t>
        <w:br/>
        <w:br/>
        <w:t>• Synaptic Weight Ablation: We randomly sample k indices from the global parameter space of the component and directly set the corresponding weight values to zero.</w:t>
        <w:br/>
        <w:br/>
        <w:t>• Dendrite and Output Ablation: We generate dimension-matched binary masks, randomly selecting k positions to set to zero, thereby masking the corresponding activation values during inference.</w:t>
        <w:br/>
        <w:br/>
        <w:t>Evaluation Protocol</w:t>
        <w:br/>
        <w:t>The experiment employs a controlled single-variable test. First, we record the baseline performance under non-intervention conditions. Subsequently, in each test, intervention is applied only to a single component while keeping other components intact. To eliminate variance caused by random sampling, each configuration (component type, removal count k) is repeated for N=20 independent trials. The mean and standard deviation of test accuracy are used as evaluation metrics, and the final results are recorded in statistical files by component category.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