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biometryassist:</w:t>
      </w:r>
      <w:r>
        <w:t xml:space="preserve"> </w:t>
      </w:r>
      <w:r>
        <w:t xml:space="preserve">an</w:t>
      </w:r>
      <w:r>
        <w:t xml:space="preserve"> </w:t>
      </w:r>
      <w:r>
        <w:t xml:space="preserve">R</w:t>
      </w:r>
      <w:r>
        <w:t xml:space="preserve"> </w:t>
      </w:r>
      <w:r>
        <w:t xml:space="preserve">package</w:t>
      </w:r>
      <w:r>
        <w:t xml:space="preserve"> </w:t>
      </w:r>
      <w:r>
        <w:t xml:space="preserve">to</w:t>
      </w:r>
      <w:r>
        <w:t xml:space="preserve"> </w:t>
      </w:r>
      <w:r>
        <w:t xml:space="preserve">aid</w:t>
      </w:r>
      <w:r>
        <w:t xml:space="preserve"> </w:t>
      </w:r>
      <w:r>
        <w:t xml:space="preserve">the</w:t>
      </w:r>
      <w:r>
        <w:t xml:space="preserve"> </w:t>
      </w:r>
      <w:r>
        <w:t xml:space="preserve">design</w:t>
      </w:r>
      <w:r>
        <w:t xml:space="preserve"> </w:t>
      </w:r>
      <w:r>
        <w:t xml:space="preserve">and</w:t>
      </w:r>
      <w:r>
        <w:t xml:space="preserve"> </w:t>
      </w:r>
      <w:r>
        <w:t xml:space="preserve">analysis</w:t>
      </w:r>
      <w:r>
        <w:t xml:space="preserve"> </w:t>
      </w:r>
      <w:r>
        <w:t xml:space="preserve">of</w:t>
      </w:r>
      <w:r>
        <w:t xml:space="preserve"> </w:t>
      </w:r>
      <w:r>
        <w:t xml:space="preserve">agronomic-style</w:t>
      </w:r>
      <w:r>
        <w:t xml:space="preserve"> </w:t>
      </w:r>
      <w:r>
        <w:t xml:space="preserve">experiments</w:t>
      </w:r>
    </w:p>
    <w:p>
      <w:pPr>
        <w:pStyle w:val="Date"/>
      </w:pPr>
      <w:r>
        <w:t xml:space="preserve">2025-06-17</w:t>
      </w:r>
    </w:p>
    <w:p>
      <w:pPr>
        <w:pStyle w:val="Compact"/>
        <w:numPr>
          <w:ilvl w:val="0"/>
          <w:numId w:val="1001"/>
        </w:numPr>
      </w:pPr>
      <w:r>
        <w:t xml:space="preserve">☐ A list of the authors of the software and their affiliations, using the correct format (see the example below).</w:t>
      </w:r>
    </w:p>
    <w:p>
      <w:pPr>
        <w:pStyle w:val="Compact"/>
        <w:numPr>
          <w:ilvl w:val="0"/>
          <w:numId w:val="1001"/>
        </w:numPr>
      </w:pPr>
      <w:r>
        <w:t xml:space="preserve">☐ A summary describing the high-level functionality and purpose of the software for a diverse, non-specialist audience.</w:t>
      </w:r>
    </w:p>
    <w:p>
      <w:pPr>
        <w:pStyle w:val="Compact"/>
        <w:numPr>
          <w:ilvl w:val="0"/>
          <w:numId w:val="1001"/>
        </w:numPr>
      </w:pPr>
      <w:r>
        <w:t xml:space="preserve">☐ A Statement of need section that clearly illustrates the research purpose of the software and places it in the context of related work.</w:t>
      </w:r>
    </w:p>
    <w:p>
      <w:pPr>
        <w:pStyle w:val="Compact"/>
        <w:numPr>
          <w:ilvl w:val="1"/>
          <w:numId w:val="1002"/>
        </w:numPr>
      </w:pPr>
      <w:r>
        <w:t xml:space="preserve">Link to the workshops</w:t>
      </w:r>
    </w:p>
    <w:p>
      <w:pPr>
        <w:pStyle w:val="Compact"/>
        <w:numPr>
          <w:ilvl w:val="1"/>
          <w:numId w:val="1002"/>
        </w:numPr>
      </w:pPr>
      <w:r>
        <w:t xml:space="preserve">Makes things a lot easier, especially for beginners</w:t>
      </w:r>
    </w:p>
    <w:p>
      <w:pPr>
        <w:pStyle w:val="Compact"/>
        <w:numPr>
          <w:ilvl w:val="1"/>
          <w:numId w:val="1002"/>
        </w:numPr>
      </w:pPr>
      <w:r>
        <w:t xml:space="preserve">Not only ag, more widely used as well</w:t>
      </w:r>
    </w:p>
    <w:p>
      <w:pPr>
        <w:pStyle w:val="Compact"/>
        <w:numPr>
          <w:ilvl w:val="0"/>
          <w:numId w:val="1001"/>
        </w:numPr>
      </w:pPr>
      <w:r>
        <w:t xml:space="preserve">☐ A list of key references, including to other software addressing related needs. Note that the references should include full names of venues, e.g., journals and conferences, not abbreviations only understood in the context of a specific discipline.</w:t>
      </w:r>
    </w:p>
    <w:p>
      <w:pPr>
        <w:pStyle w:val="Compact"/>
        <w:numPr>
          <w:ilvl w:val="0"/>
          <w:numId w:val="1001"/>
        </w:numPr>
      </w:pPr>
      <w:r>
        <w:t xml:space="preserve">☐ Mention (if applicable) a representative set of past or ongoing research projects using the software and recent scholarly publications enabled by it.</w:t>
      </w:r>
    </w:p>
    <w:p>
      <w:pPr>
        <w:pStyle w:val="Compact"/>
        <w:numPr>
          <w:ilvl w:val="0"/>
          <w:numId w:val="1001"/>
        </w:numPr>
      </w:pPr>
      <w:r>
        <w:t xml:space="preserve">☐ Acknowledgement of any financial support.</w:t>
      </w:r>
    </w:p>
    <w:bookmarkStart w:id="23" w:name="summary"/>
    <w:p>
      <w:pPr>
        <w:pStyle w:val="Heading1"/>
      </w:pPr>
      <w:r>
        <w:t xml:space="preserve">Summary</w:t>
      </w:r>
    </w:p>
    <w:p>
      <w:pPr>
        <w:pStyle w:val="FirstParagraph"/>
      </w:pPr>
      <w:r>
        <w:t xml:space="preserve">Researchers and biometricians working in agriculture often face challenges in generating, randomising, and analysing field experiments with complex layouts. Designing agricultural experiments that are both statistically valid and practical in the field is a complex task, and analysing those experiments can be even more challenging.</w:t>
      </w:r>
    </w:p>
    <w:p>
      <w:pPr>
        <w:pStyle w:val="BodyText"/>
      </w:pPr>
      <w:r>
        <w:t xml:space="preserve">To assist researchers with practising the concepts taught in our biometry training workshops, we developed the</w:t>
      </w:r>
      <w:r>
        <w:t xml:space="preserve"> </w:t>
      </w:r>
      <w:r>
        <w:rPr>
          <w:i/>
          <w:iCs/>
        </w:rPr>
        <w:t xml:space="preserve">biometryassist</w:t>
      </w:r>
      <w:r>
        <w:t xml:space="preserve"> </w:t>
      </w:r>
      <w:r>
        <w:t xml:space="preserve">R package</w:t>
      </w:r>
      <w:r>
        <w:t xml:space="preserve"> </w:t>
      </w:r>
      <w:r>
        <w:t xml:space="preserve">(Nielsen, Rogers, and Conway 2024)</w:t>
      </w:r>
      <w:r>
        <w:t xml:space="preserve"> </w:t>
      </w:r>
      <w:r>
        <w:t xml:space="preserve">to provide easy access to documentation and helper functions, together with a companion website, accessible at:</w:t>
      </w:r>
      <w:r>
        <w:t xml:space="preserve"> </w:t>
      </w:r>
      <w:hyperlink r:id="rId20">
        <w:r>
          <w:rPr>
            <w:rStyle w:val="Hyperlink"/>
          </w:rPr>
          <w:t xml:space="preserve">https://biometryhub.github.io/biometryassist/</w:t>
        </w:r>
      </w:hyperlink>
      <w:r>
        <w:t xml:space="preserve">. The package is published publicly on the Comprehensive R Archive Network (CRAN), and is carefully designed to enhance the user experience of designing and analysing agronomic field trials, and to support researchers in their projects with best practice statistical techniques.</w:t>
      </w:r>
    </w:p>
    <w:p>
      <w:pPr>
        <w:pStyle w:val="BodyText"/>
      </w:pPr>
      <w:r>
        <w:t xml:space="preserve">The biometryassist package is utilised in each workshop of the series, and includes explanations and usage examples of the relevant functions to aid the participants’ understanding of the statistical concepts.</w:t>
      </w:r>
    </w:p>
    <w:p>
      <w:pPr>
        <w:pStyle w:val="BodyText"/>
      </w:pPr>
      <w:r>
        <w:t xml:space="preserve">The</w:t>
      </w:r>
      <w:r>
        <w:t xml:space="preserve"> </w:t>
      </w:r>
      <w:r>
        <w:rPr>
          <w:rStyle w:val="VerbatimChar"/>
        </w:rPr>
        <w:t xml:space="preserve">biometryassist</w:t>
      </w:r>
      <w:r>
        <w:t xml:space="preserve"> </w:t>
      </w:r>
      <w:r>
        <w:t xml:space="preserve">package is available on</w:t>
      </w:r>
      <w:r>
        <w:t xml:space="preserve"> </w:t>
      </w:r>
      <w:hyperlink r:id="rId21">
        <w:r>
          <w:rPr>
            <w:rStyle w:val="Hyperlink"/>
          </w:rPr>
          <w:t xml:space="preserve">GitHub</w:t>
        </w:r>
      </w:hyperlink>
      <w:r>
        <w:t xml:space="preserve">. All instructions for installation and usage can be found in the</w:t>
      </w:r>
      <w:r>
        <w:t xml:space="preserve"> </w:t>
      </w:r>
      <w:hyperlink r:id="rId22">
        <w:r>
          <w:rPr>
            <w:rStyle w:val="Hyperlink"/>
          </w:rPr>
          <w:t xml:space="preserve">package documentation website</w:t>
        </w:r>
      </w:hyperlink>
      <w:r>
        <w:t xml:space="preserve">.</w:t>
      </w:r>
    </w:p>
    <w:bookmarkEnd w:id="23"/>
    <w:bookmarkStart w:id="24" w:name="statement-of-need"/>
    <w:p>
      <w:pPr>
        <w:pStyle w:val="Heading1"/>
      </w:pPr>
      <w:r>
        <w:t xml:space="preserve">Statement of need</w:t>
      </w:r>
    </w:p>
    <w:p>
      <w:pPr>
        <w:pStyle w:val="FirstParagraph"/>
      </w:pPr>
      <w:r>
        <w:rPr>
          <w:i/>
          <w:iCs/>
        </w:rPr>
        <w:t xml:space="preserve">biometryassist</w:t>
      </w:r>
      <w:r>
        <w:t xml:space="preserve"> </w:t>
      </w:r>
      <w:r>
        <w:t xml:space="preserve">arose to reduce the cognitive load on students in workshops so that the emphasis was on the statistical concepts and the interpretation of the results. In workshop settings, learners are often overwhelmed by the need to navigate multiple R packages, each with its own conventions and idiosyncrasies, which can detract from understanding the underlying statistical concepts and the interpretation of results. By standardising syntax across key tasks—such as experimental design, model fitting and checking, and the extraction and presentation of results -</w:t>
      </w:r>
      <w:r>
        <w:t xml:space="preserve"> </w:t>
      </w:r>
      <w:r>
        <w:rPr>
          <w:i/>
          <w:iCs/>
        </w:rPr>
        <w:t xml:space="preserve">biometryassist</w:t>
      </w:r>
      <w:r>
        <w:t xml:space="preserve"> </w:t>
      </w:r>
      <w:r>
        <w:t xml:space="preserve">allows users to focus on methodological thinking rather than software mechanics.</w:t>
      </w:r>
    </w:p>
    <w:p>
      <w:pPr>
        <w:pStyle w:val="BodyText"/>
      </w:pPr>
      <w:r>
        <w:t xml:space="preserve">The primary target audience includes researchers, agronomists, and applied scientists, particularly within the grains industry, who require statistically sound analyses but may not have extensive programming experience. The package also supports statisticians working in collaborative environments by promoting reproducible and consistent workflows.</w:t>
      </w:r>
    </w:p>
    <w:p>
      <w:pPr>
        <w:pStyle w:val="BodyText"/>
      </w:pPr>
      <w:r>
        <w:rPr>
          <w:i/>
          <w:iCs/>
        </w:rPr>
        <w:t xml:space="preserve">biometryassist</w:t>
      </w:r>
      <w:r>
        <w:t xml:space="preserve"> </w:t>
      </w:r>
      <w:r>
        <w:t xml:space="preserve">is not intended to replace existing statistical packages. Instead, it brings them together in a way that is easier to use and more consistent. This allows researchers to focus on the statistical thinking and interpretation, rather than the mechanics of the software.</w:t>
      </w:r>
    </w:p>
    <w:bookmarkEnd w:id="24"/>
    <w:bookmarkStart w:id="25" w:name="state-of-the-field"/>
    <w:p>
      <w:pPr>
        <w:pStyle w:val="Heading1"/>
      </w:pPr>
      <w:r>
        <w:t xml:space="preserve">State of the field</w:t>
      </w:r>
    </w:p>
    <w:p>
      <w:pPr>
        <w:pStyle w:val="FirstParagraph"/>
      </w:pPr>
      <w:r>
        <w:t xml:space="preserve">There are packages inside and outside of R that handle experimental design (agricolae, dae, edibble), and packages that handle analysis (lme4, nlme, ASReml-R, emmeans), but no single package covers the entire workflow of designing, analysing, and reporting an agronomic experiment. The package</w:t>
      </w:r>
      <w:r>
        <w:t xml:space="preserve"> </w:t>
      </w:r>
      <w:r>
        <w:rPr>
          <w:i/>
          <w:iCs/>
        </w:rPr>
        <w:t xml:space="preserve">biometryassist</w:t>
      </w:r>
      <w:r>
        <w:t xml:space="preserve"> </w:t>
      </w:r>
      <w:r>
        <w:t xml:space="preserve">provides this workflow coherence with a consistent interface from design through to inference and reporting, reducing the cognitive load for new R users and non-statistician agronomists.</w:t>
      </w:r>
    </w:p>
    <w:p>
      <w:pPr>
        <w:pStyle w:val="BodyText"/>
      </w:pPr>
      <w:r>
        <w:rPr>
          <w:i/>
          <w:iCs/>
        </w:rPr>
        <w:t xml:space="preserve">biometryassist</w:t>
      </w:r>
      <w:r>
        <w:t xml:space="preserve"> </w:t>
      </w:r>
      <w:r>
        <w:t xml:space="preserve">was developed as a companion to a workshop series, and was therefore built with pedagogical alignment in mind. Terminology and function naming mirrors how experimental design and analysis concepts are taught, allowing participants to continue using the package intuitively in their own projects beyond the workshops. The scope is deliberately limited to a few common designs, as users are encouraged to seek professional statistical assistance for more complex experiments. Where spatial correlation adjustment is required, biometryassist currently relies on ASReml-R, as it remains the most practical option for fitting spatial models while producing appropriate predicted values; the authors intend to incorporate open-source alternatives as they mature.</w:t>
      </w:r>
    </w:p>
    <w:bookmarkEnd w:id="25"/>
    <w:bookmarkStart w:id="26" w:name="software-design"/>
    <w:p>
      <w:pPr>
        <w:pStyle w:val="Heading1"/>
      </w:pPr>
      <w:r>
        <w:t xml:space="preserve">Software design</w:t>
      </w:r>
    </w:p>
    <w:p>
      <w:pPr>
        <w:pStyle w:val="FirstParagraph"/>
      </w:pPr>
      <w:r>
        <w:t xml:space="preserve">The functions within</w:t>
      </w:r>
      <w:r>
        <w:t xml:space="preserve"> </w:t>
      </w:r>
      <w:r>
        <w:rPr>
          <w:i/>
          <w:iCs/>
        </w:rPr>
        <w:t xml:space="preserve">biometryassist</w:t>
      </w:r>
      <w:r>
        <w:t xml:space="preserve"> </w:t>
      </w:r>
      <w:r>
        <w:t xml:space="preserve">are grouped into three broad categories: design, covering functions to produce typical agricultural-style experimental designs, analysis where post-hoc testing and model evaluation functions live, and utilities which includes other functions such as print methods and helper functions.</w:t>
      </w:r>
    </w:p>
    <w:p>
      <w:pPr>
        <w:pStyle w:val="BodyText"/>
      </w:pPr>
      <w:r>
        <w:t xml:space="preserve">The primary users of</w:t>
      </w:r>
      <w:r>
        <w:t xml:space="preserve"> </w:t>
      </w:r>
      <w:r>
        <w:rPr>
          <w:i/>
          <w:iCs/>
        </w:rPr>
        <w:t xml:space="preserve">biometryassist</w:t>
      </w:r>
      <w:r>
        <w:t xml:space="preserve"> </w:t>
      </w:r>
      <w:r>
        <w:t xml:space="preserve">are agricultural researchers and so each function is designed to minimise the cognitive load for users, allowing them to concentrate on core concepts rather than wrestling with coding challenges. Function names are deliberately chosen to make their purpose clear, for example</w:t>
      </w:r>
      <w:r>
        <w:t xml:space="preserve"> </w:t>
      </w:r>
      <w:r>
        <w:rPr>
          <w:rStyle w:val="VerbatimChar"/>
        </w:rPr>
        <w:t xml:space="preserve">design()</w:t>
      </w:r>
      <w:r>
        <w:t xml:space="preserve"> </w:t>
      </w:r>
      <w:r>
        <w:t xml:space="preserve">or</w:t>
      </w:r>
      <w:r>
        <w:t xml:space="preserve"> </w:t>
      </w:r>
      <w:r>
        <w:rPr>
          <w:rStyle w:val="VerbatimChar"/>
        </w:rPr>
        <w:t xml:space="preserve">multiple_comparisons()</w:t>
      </w:r>
      <w:r>
        <w:t xml:space="preserve">, enabling users to intuitively understand their purpose. The package is supported with comprehensive documentation available on the package website at https://biometryhub.github.io/biometryassist.</w:t>
      </w:r>
    </w:p>
    <w:bookmarkEnd w:id="26"/>
    <w:bookmarkStart w:id="27" w:name="research-impact-statement"/>
    <w:p>
      <w:pPr>
        <w:pStyle w:val="Heading1"/>
      </w:pPr>
      <w:r>
        <w:t xml:space="preserve">Research impact statement</w:t>
      </w:r>
    </w:p>
    <w:bookmarkEnd w:id="27"/>
    <w:bookmarkStart w:id="28" w:name="ai-usage-disclosure"/>
    <w:p>
      <w:pPr>
        <w:pStyle w:val="Heading1"/>
      </w:pPr>
      <w:r>
        <w:t xml:space="preserve">AI usage disclosure</w:t>
      </w:r>
    </w:p>
    <w:bookmarkEnd w:id="28"/>
    <w:bookmarkStart w:id="29" w:name="acknowledgements"/>
    <w:p>
      <w:pPr>
        <w:pStyle w:val="Heading1"/>
      </w:pPr>
      <w:r>
        <w:t xml:space="preserve">Acknowledgements</w:t>
      </w:r>
    </w:p>
    <w:bookmarkEnd w:id="29"/>
    <w:bookmarkStart w:id="32" w:name="references"/>
    <w:p>
      <w:pPr>
        <w:pStyle w:val="Heading1"/>
      </w:pPr>
      <w:r>
        <w:t xml:space="preserve">References</w:t>
      </w:r>
    </w:p>
    <w:bookmarkStart w:id="31" w:name="refs"/>
    <w:bookmarkStart w:id="30" w:name="ref-Nielsen2024"/>
    <w:p>
      <w:pPr>
        <w:pStyle w:val="Bibliography"/>
      </w:pPr>
      <w:r>
        <w:t xml:space="preserve">Nielsen, Sharon, Sam Rogers, and Annie Conway. 2024.</w:t>
      </w:r>
      <w:r>
        <w:t xml:space="preserve"> </w:t>
      </w:r>
      <w:r>
        <w:t xml:space="preserve">“Biometryassist:</w:t>
      </w:r>
      <w:r>
        <w:t xml:space="preserve"> </w:t>
      </w:r>
      <w:r>
        <w:t xml:space="preserve">Functions</w:t>
      </w:r>
      <w:r>
        <w:t xml:space="preserve"> </w:t>
      </w:r>
      <w:r>
        <w:t xml:space="preserve">to Assist Design and Analysis of Agronomic Experiments.”</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biometryhub.github.io/biometryassist" TargetMode="External" /><Relationship Type="http://schemas.openxmlformats.org/officeDocument/2006/relationships/hyperlink" Id="rId20" Target="https://biometryhub.github.io/biometryassist/" TargetMode="External" /><Relationship Type="http://schemas.openxmlformats.org/officeDocument/2006/relationships/hyperlink" Id="rId21" Target="https://github.com/biometryhub/biometryassist" TargetMode="External" /></Relationships>
</file>

<file path=word/_rels/footnotes.xml.rels><?xml version="1.0" encoding="UTF-8"?><Relationships xmlns="http://schemas.openxmlformats.org/package/2006/relationships"><Relationship Type="http://schemas.openxmlformats.org/officeDocument/2006/relationships/hyperlink" Id="rId22" Target="https://biometryhub.github.io/biometryassist" TargetMode="External" /><Relationship Type="http://schemas.openxmlformats.org/officeDocument/2006/relationships/hyperlink" Id="rId20" Target="https://biometryhub.github.io/biometryassist/" TargetMode="External" /><Relationship Type="http://schemas.openxmlformats.org/officeDocument/2006/relationships/hyperlink" Id="rId21" Target="https://github.com/biometryhub/biometryassi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biometryassist: an R package to aid the design and analysis of agronomic-style experiments</dc:title>
  <dc:creator/>
  <cp:keywords/>
  <dcterms:created xsi:type="dcterms:W3CDTF">2026-04-01T04:11:16Z</dcterms:created>
  <dcterms:modified xsi:type="dcterms:W3CDTF">2026-04-01T04:11:16Z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paper.bib</vt:lpwstr>
  </property>
  <property fmtid="{D5CDD505-2E9C-101B-9397-08002B2CF9AE}" pid="6" name="by-affiliation">
    <vt:lpwstr/>
  </property>
  <property fmtid="{D5CDD505-2E9C-101B-9397-08002B2CF9AE}" pid="7" name="by-author">
    <vt:lpwstr/>
  </property>
  <property fmtid="{D5CDD505-2E9C-101B-9397-08002B2CF9AE}" pid="8" name="date">
    <vt:lpwstr>2025-06-17</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ags">
    <vt:lpwstr/>
  </property>
  <property fmtid="{D5CDD505-2E9C-101B-9397-08002B2CF9AE}" pid="14" name="toc-title">
    <vt:lpwstr>Table of contents</vt:lpwstr>
  </property>
</Properties>
</file>