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Bioniq Trader — Cost Model</w:t>
      </w:r>
    </w:p>
    <w:p>
      <w:pPr>
        <w:spacing w:after="120"/>
      </w:pPr>
      <w:r>
        <w:rPr>
          <w:i/>
          <w:iCs/>
          <w:color w:val="555555"/>
        </w:rPr>
        <w:t xml:space="preserve">The variable cost of running the platform across three layers — Stripe, Cloudflare, and Anthropic — for the US and Canada. Rates current as of June 2026. The companion spreadsheet holds the live, adjustable version.</w:t>
      </w:r>
    </w:p>
    <w:p>
      <w:pPr>
        <w:pStyle w:val="Heading2"/>
      </w:pPr>
      <w:r>
        <w:t xml:space="preserve">The three layers</w:t>
      </w:r>
    </w:p>
    <w:p>
      <w:pPr>
        <w:spacing w:after="120"/>
      </w:pPr>
      <w:r>
        <w:t xml:space="preserve">Stripe is the payment rails: it charges cards, runs subscriptions, and handles credit top-ups inside the platform. Cloudflare's AI Gateway sits in front of the Claude calls — routing, caching, and metering — and adds essentially no variable cost while cutting the Anthropic bill through caching. Anthropic is the coaching brain and the real variable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costs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— payments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 + $0.30 (US) / +C$0.30 (CA)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monthly/PCI fees; ~6% effective on $10; chargebacks $15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— AI gateway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 variable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pass through at cost; cache hits free; ~$5/mo flat optional; 5% if unified billing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— the brain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Opus $5/$25 · Sonnet $3/$15 · Haiku $1/$5 per 1M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reads 0.1x input; batch 50% off</w:t>
            </w:r>
          </w:p>
        </w:tc>
      </w:tr>
    </w:tbl>
    <w:p>
      <w:pPr>
        <w:pStyle w:val="Heading2"/>
      </w:pPr>
      <w:r>
        <w:t xml:space="preserve">What it means: two cost lines</w:t>
      </w:r>
    </w:p>
    <w:p>
      <w:pPr>
        <w:spacing w:after="120"/>
      </w:pPr>
      <w:r>
        <w:t xml:space="preserve">Payment cost bites hardest on small charges. The fixed 30¢ dominates at low prices, so the $10 toll / $9.99 journal is about 6% effective, not 2.9%. Price the hook knowing you keep roughly 94% of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to you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$9.99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5.9%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$9.41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5.9%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$25.00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$1.03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$23.97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$50.00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$1.75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$48.25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$100.00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$96.80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3.2%</w:t>
            </w:r>
          </w:p>
        </w:tc>
      </w:tr>
    </w:tbl>
    <w:p>
      <w:pPr>
        <w:spacing w:after="120"/>
      </w:pPr>
      <w:r>
        <w:t xml:space="preserve">AI cost is where the model lives or dies, and it is manageable. A single coaching session — reading cached context plus fresh trade data and writing a coaching response — lands in single-digit cents, driven mostly by which model does the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/ session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cents / session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Opus 4.8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$0.0750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Sonnet 4.6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$0.0450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Haiku 4.5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$0.0150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</w:tbl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Figures assume ~20k cached context tokens (read at 0.1x), ~3k fresh input, and ~2k output per session; all adjustable in the spreadsheet.</w:t>
      </w:r>
    </w:p>
    <w:p>
      <w:pPr>
        <w:pStyle w:val="Heading2"/>
      </w:pPr>
      <w:r>
        <w:t xml:space="preserve">The levers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the static context (strat, dossier, rubric) — re-read at one-tenth the input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cheap tasks (intake parsing, classification, summaries) to Haiku; reserve Sonnet/Opus for coaching judgment.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the Bionic Briefing — generated once, broadcast to all subscribers, at half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 Cloudflare's dollar spend-limits cap any single student's runaway usage.</w:t>
      </w:r>
    </w:p>
    <w:p>
      <w:pPr>
        <w:pStyle w:val="Heading2"/>
      </w:pPr>
      <w:r>
        <w:t xml:space="preserve">Bottom line</w:t>
      </w:r>
    </w:p>
    <w:p>
      <w:pPr>
        <w:spacing w:after="120"/>
      </w:pPr>
      <w:r>
        <w:t xml:space="preserve">Variable cost per coaching session is dominated by Anthropic, not Stripe or Cloudflare — single-digit cents with the levers on. Set the credit price comfortably above that. The one number to respect is the ~6% payment skim on sub-$10 charges.</w:t>
      </w:r>
    </w:p>
    <w:p>
      <w:pPr>
        <w:pStyle w:val="Heading2"/>
      </w:pPr>
      <w:r>
        <w:t xml:space="preserve">Vision Board</w:t>
      </w:r>
    </w:p>
    <w:p>
      <w:pPr>
        <w:spacing w:after="120"/>
      </w:pPr>
      <w:r>
        <w:t xml:space="preserve">Bioniq Trader is a coaching and accountability brand for traders — man plus machine, Be Bioniq. It is not a journal app; it is a coaching brand that happens to include a journal. The thesis is Weight-Watchers for traders: the journal is the food diary (daily logging), and the Bionic Lab is the weigh-in — where a trader requests honest, pattern-level coaching against their own stated plan, not empty praise for a green day. Accountability is the moat. The funnel filters for committed, verified humans — a small toll, an honest verdict, a human close while volume is low — and the product scales by coaching the pattern, not every scalp. The end game is coaching the coaches: a platform where coaches teach their own students, everyone identifying as a Bioniq Trader. Built on a lean stack, the costs are understood and small per session; the value is the relationship. Be Bioniq.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Bioniq Trader · Be Bioniq · cost model ·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B3A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2026-06-07T22:31:29.773Z</dcterms:created>
  <dcterms:modified xsi:type="dcterms:W3CDTF">2026-06-07T22:31:29.773Z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