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Material: Proposed Research Plan</w:t>
      </w:r>
      <w:r>
        <w:br/>
      </w:r>
      <w:r>
        <w:t xml:space="preserve">Branch-Specific Phylogenomics to Identify Genetic Mechanisms of Dog Breed Formation</w:t>
      </w:r>
    </w:p>
    <w:p>
      <w:pPr>
        <w:pStyle w:val="Author"/>
      </w:pPr>
      <w:r>
        <w:t xml:space="preserve">Isaac N. Aguilar Rivera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supplementary document details the proposed three-aim research program to functionally validate, expand, and integrate preliminary phylogenomic discoveries from the main manuscript. The proposed research includes: (1) functional validation of neurotransmitter and developmental signaling candidates through expression profiling, structural modeling, and cell-based assays, (2) expansion of the phylogenetic framework to include grey wolf when genome resources become available, and (3) integration with Dog10K population genomic data to identify breed-specific selection patterns. Total estimated budget: $415,000–$580,000 over 3 years.</w:t>
      </w:r>
    </w:p>
    <w:bookmarkStart w:id="19" w:name="proposed-research-plan"/>
    <w:p>
      <w:pPr>
        <w:pStyle w:val="Heading1"/>
      </w:pPr>
      <w:r>
        <w:t xml:space="preserve">Proposed Research Plan</w:t>
      </w:r>
    </w:p>
    <w:p>
      <w:pPr>
        <w:pStyle w:val="FirstParagraph"/>
      </w:pPr>
      <w:r>
        <w:t xml:space="preserve">Building on these preliminary findings, we propose a three-aim research program to validate, expand, and integrate our phylogenomic discoveries.</w:t>
      </w:r>
    </w:p>
    <w:bookmarkStart w:id="9" w:name="X667fbb9d127a6b66c171e3e25786e2a9a429ea4"/>
    <w:p>
      <w:pPr>
        <w:pStyle w:val="Heading2"/>
      </w:pPr>
      <w:r>
        <w:t xml:space="preserve">Aim 1: Functional Validation of Neurotransmitter and Developmental Signaling Candidates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Preliminary data identified Tier 1 genes representing two distinct functional categories: neurotransmitter receptors (50%, 3/6:</w:t>
      </w:r>
      <w:r>
        <w:t xml:space="preserve"> </w:t>
      </w:r>
      <w:r>
        <w:rPr>
          <w:i/>
          <w:iCs/>
        </w:rPr>
        <w:t xml:space="preserve">GABRA3</w:t>
      </w:r>
      <w:r>
        <w:t xml:space="preserve">,</w:t>
      </w:r>
      <w:r>
        <w:t xml:space="preserve"> </w:t>
      </w:r>
      <w:r>
        <w:rPr>
          <w:i/>
          <w:iCs/>
        </w:rPr>
        <w:t xml:space="preserve">HTR2B</w:t>
      </w:r>
      <w:r>
        <w:t xml:space="preserve">,</w:t>
      </w:r>
      <w:r>
        <w:t xml:space="preserve"> </w:t>
      </w:r>
      <w:r>
        <w:rPr>
          <w:i/>
          <w:iCs/>
        </w:rPr>
        <w:t xml:space="preserve">HCRTR1</w:t>
      </w:r>
      <w:r>
        <w:t xml:space="preserve">) and developmental signaling genes (3/6:</w:t>
      </w:r>
      <w:r>
        <w:t xml:space="preserve"> </w:t>
      </w:r>
      <w:r>
        <w:rPr>
          <w:i/>
          <w:iCs/>
        </w:rPr>
        <w:t xml:space="preserve">FZD3</w:t>
      </w:r>
      <w:r>
        <w:t xml:space="preserve">,</w:t>
      </w:r>
      <w:r>
        <w:t xml:space="preserve"> </w:t>
      </w:r>
      <w:r>
        <w:rPr>
          <w:i/>
          <w:iCs/>
        </w:rPr>
        <w:t xml:space="preserve">FZD4</w:t>
      </w:r>
      <w:r>
        <w:t xml:space="preserve">,</w:t>
      </w:r>
      <w:r>
        <w:t xml:space="preserve"> </w:t>
      </w:r>
      <w:r>
        <w:rPr>
          <w:i/>
          <w:iCs/>
        </w:rPr>
        <w:t xml:space="preserve">EDNRB</w:t>
      </w:r>
      <w:r>
        <w:t xml:space="preserve">). Experimental validation is necessary to establish causal links between dog-specific substitutions and phenotypic outcomes in both behavioral and morphological trait dimensions. High tractability scores suggest these candidates are amenable to immediate functional investigation across multiple systems.</w:t>
      </w:r>
    </w:p>
    <w:p>
      <w:pPr>
        <w:pStyle w:val="BodyText"/>
      </w:pPr>
      <w:r>
        <w:rPr>
          <w:b/>
          <w:bCs/>
        </w:rPr>
        <w:t xml:space="preserve">Approach:</w:t>
      </w:r>
    </w:p>
    <w:p>
      <w:pPr>
        <w:pStyle w:val="BodyText"/>
      </w:pPr>
      <w:r>
        <w:rPr>
          <w:b/>
          <w:bCs/>
        </w:rPr>
        <w:t xml:space="preserve">1.1. Comparative expression profiling (RNA-seq).</w:t>
      </w:r>
      <w:r>
        <w:t xml:space="preserve"> </w:t>
      </w:r>
      <w:r>
        <w:t xml:space="preserve">We will quantify expression divergence at candidate loci across developmental stages and tissue types, with specific focus on brain region-specific analysis for neurotransmitter receptors. Tissues will include:</w:t>
      </w:r>
      <w:r>
        <w:t xml:space="preserve"> </w:t>
      </w:r>
      <w:r>
        <w:rPr>
          <w:b/>
          <w:bCs/>
        </w:rPr>
        <w:t xml:space="preserve">(a) Brain regions</w:t>
      </w:r>
      <w:r>
        <w:t xml:space="preserve"> </w:t>
      </w:r>
      <w:r>
        <w:t xml:space="preserve">for neurotransmitter candidates: amygdala (fear/aggression,</w:t>
      </w:r>
      <w:r>
        <w:t xml:space="preserve"> </w:t>
      </w:r>
      <w:r>
        <w:rPr>
          <w:i/>
          <w:iCs/>
        </w:rPr>
        <w:t xml:space="preserve">GABRA3</w:t>
      </w:r>
      <w:r>
        <w:t xml:space="preserve">), prefrontal cortex (social cognition,</w:t>
      </w:r>
      <w:r>
        <w:t xml:space="preserve"> </w:t>
      </w:r>
      <w:r>
        <w:rPr>
          <w:i/>
          <w:iCs/>
        </w:rPr>
        <w:t xml:space="preserve">HTR2B</w:t>
      </w:r>
      <w:r>
        <w:t xml:space="preserve">), hypothalamus (arousal/motivation,</w:t>
      </w:r>
      <w:r>
        <w:t xml:space="preserve"> </w:t>
      </w:r>
      <w:r>
        <w:rPr>
          <w:i/>
          <w:iCs/>
        </w:rPr>
        <w:t xml:space="preserve">HCRTR1</w:t>
      </w:r>
      <w:r>
        <w:t xml:space="preserve">);</w:t>
      </w:r>
      <w:r>
        <w:t xml:space="preserve"> </w:t>
      </w:r>
      <w:r>
        <w:rPr>
          <w:b/>
          <w:bCs/>
        </w:rPr>
        <w:t xml:space="preserve">(b) Embryonic samples</w:t>
      </w:r>
      <w:r>
        <w:t xml:space="preserve"> </w:t>
      </w:r>
      <w:r>
        <w:t xml:space="preserve">(E14-E18, critical for neural crest development,</w:t>
      </w:r>
      <w:r>
        <w:t xml:space="preserve"> </w:t>
      </w:r>
      <w:r>
        <w:rPr>
          <w:i/>
          <w:iCs/>
        </w:rPr>
        <w:t xml:space="preserve">FZD3</w:t>
      </w:r>
      <w:r>
        <w:t xml:space="preserve">,</w:t>
      </w:r>
      <w:r>
        <w:t xml:space="preserve"> </w:t>
      </w:r>
      <w:r>
        <w:rPr>
          <w:i/>
          <w:iCs/>
        </w:rPr>
        <w:t xml:space="preserve">FZD4</w:t>
      </w:r>
      <w:r>
        <w:t xml:space="preserve">,</w:t>
      </w:r>
      <w:r>
        <w:t xml:space="preserve"> </w:t>
      </w:r>
      <w:r>
        <w:rPr>
          <w:i/>
          <w:iCs/>
        </w:rPr>
        <w:t xml:space="preserve">EDNRB</w:t>
      </w:r>
      <w:r>
        <w:t xml:space="preserve">);</w:t>
      </w:r>
      <w:r>
        <w:t xml:space="preserve"> </w:t>
      </w:r>
      <w:r>
        <w:rPr>
          <w:b/>
          <w:bCs/>
        </w:rPr>
        <w:t xml:space="preserve">(c) Adult tissues</w:t>
      </w:r>
      <w:r>
        <w:t xml:space="preserve">: skin (pigmentation), craniofacial structures (morphological diversification). Comparisons will contrast 5 phenotypically diverse dog breeds (e.g., Chihuahua, Great Dane, Border Collie, Bulldog, Greyhound) against dingo and wolf (when available). RNA-seq will be performed at 30M reads/sample depth using Illumina NovaSeq. Differential expression analysis will use DESeq2, identifying genes with significant expression divergence (FDR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0.05,</w:t>
      </w:r>
      <w:r>
        <w:t xml:space="preserve"> </w:t>
      </w:r>
      <m:oMath>
        <m:r>
          <m:rPr>
            <m:sty m:val="p"/>
          </m:rPr>
          <m:t>∣</m:t>
        </m:r>
      </m:oMath>
      <w:r>
        <w:t xml:space="preserve">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FC</w:t>
      </w:r>
      <m:oMath>
        <m:r>
          <m:rPr>
            <m:sty m:val="p"/>
          </m:rPr>
          <m:t>∣</m:t>
        </m:r>
      </m:oMath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1) at candidate loci.</w:t>
      </w:r>
    </w:p>
    <w:p>
      <w:pPr>
        <w:pStyle w:val="BodyText"/>
      </w:pPr>
      <w:r>
        <w:rPr>
          <w:b/>
          <w:bCs/>
        </w:rPr>
        <w:t xml:space="preserve">1.2. Protein structure modeling.</w:t>
      </w:r>
      <w:r>
        <w:t xml:space="preserve"> </w:t>
      </w:r>
      <w:r>
        <w:t xml:space="preserve">Dog-specific substitutions at Tier 1 genes will be mapped to 3D protein structures using AlphaFold2. Predicted structures will be compared to ancestral (dingo/wolf) sequences to identify conformational changes. Molecular dynamics simulations (100 ns trajectories, GROMACS) will assess stability and functional impacts. Substitutions affecting protein-protein interaction interfaces, catalytic sites, or regulatory domains will be prioritized for experimental validation. We anticipate identifying 10-15 high-priority variants with predicted functional consequences.</w:t>
      </w:r>
    </w:p>
    <w:p>
      <w:pPr>
        <w:pStyle w:val="BodyText"/>
      </w:pPr>
      <w:r>
        <w:rPr>
          <w:b/>
          <w:bCs/>
        </w:rPr>
        <w:t xml:space="preserve">1.3. Cell-based functional assays (pilot).</w:t>
      </w:r>
      <w:r>
        <w:t xml:space="preserve"> </w:t>
      </w:r>
      <w:r>
        <w:t xml:space="preserve">To establish proof-of-concept for functional effects across both neurotransmitter and developmental pathways, we will conduct multiple assay systems:</w:t>
      </w:r>
    </w:p>
    <w:p>
      <w:pPr>
        <w:pStyle w:val="BodyText"/>
      </w:pPr>
      <w:r>
        <w:rPr>
          <w:b/>
          <w:bCs/>
        </w:rPr>
        <w:t xml:space="preserve">(a) Neurotransmitter receptor activity assays: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GABA receptor function</w:t>
      </w:r>
      <w:r>
        <w:t xml:space="preserve">: Electrophysiology (patch-clamp) or GABA-induced chloride flux measurements comparing dog vs. ancestral</w:t>
      </w:r>
      <w:r>
        <w:t xml:space="preserve"> </w:t>
      </w:r>
      <w:r>
        <w:rPr>
          <w:i/>
          <w:iCs/>
        </w:rPr>
        <w:t xml:space="preserve">GABRA3</w:t>
      </w:r>
      <w:r>
        <w:t xml:space="preserve"> </w:t>
      </w:r>
      <w:r>
        <w:t xml:space="preserve">alleles expressed in HEK293 cells or Xenopus oocytes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Serotonin receptor signaling</w:t>
      </w:r>
      <w:r>
        <w:t xml:space="preserve">: G-protein coupled receptor (GPCR) activation assays (cAMP, IP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measurements) comparing dog vs. ancestral</w:t>
      </w:r>
      <w:r>
        <w:t xml:space="preserve"> </w:t>
      </w:r>
      <w:r>
        <w:rPr>
          <w:i/>
          <w:iCs/>
        </w:rPr>
        <w:t xml:space="preserve">HTR2B</w:t>
      </w:r>
      <w:r>
        <w:t xml:space="preserve"> </w:t>
      </w:r>
      <w:r>
        <w:t xml:space="preserve">variants in mammalian cell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Orexin receptor function</w:t>
      </w:r>
      <w:r>
        <w:t xml:space="preserve">: Calcium mobilization or cAMP assays for</w:t>
      </w:r>
      <w:r>
        <w:t xml:space="preserve"> </w:t>
      </w:r>
      <w:r>
        <w:rPr>
          <w:i/>
          <w:iCs/>
        </w:rPr>
        <w:t xml:space="preserve">HCRTR1</w:t>
      </w:r>
      <w:r>
        <w:t xml:space="preserve"> </w:t>
      </w:r>
      <w:r>
        <w:t xml:space="preserve">comparing dog vs. ancestral alleles</w:t>
      </w:r>
    </w:p>
    <w:p>
      <w:pPr>
        <w:pStyle w:val="FirstParagraph"/>
      </w:pPr>
      <w:r>
        <w:rPr>
          <w:b/>
          <w:bCs/>
        </w:rPr>
        <w:t xml:space="preserve">(b) Wnt pathway activity</w:t>
      </w:r>
      <w:r>
        <w:t xml:space="preserve"> </w:t>
      </w:r>
      <w:r>
        <w:t xml:space="preserve">(retain original plan):</w:t>
      </w:r>
    </w:p>
    <w:p>
      <w:pPr>
        <w:numPr>
          <w:ilvl w:val="0"/>
          <w:numId w:val="1002"/>
        </w:numPr>
      </w:pPr>
      <w:r>
        <w:t xml:space="preserve">TOPFlash/FOPFlash reporter assays comparing dog vs. ancestral alleles of</w:t>
      </w:r>
      <w:r>
        <w:t xml:space="preserve"> </w:t>
      </w:r>
      <w:r>
        <w:rPr>
          <w:i/>
          <w:iCs/>
        </w:rPr>
        <w:t xml:space="preserve">FZD3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FZD4</w:t>
      </w:r>
    </w:p>
    <w:p>
      <w:pPr>
        <w:numPr>
          <w:ilvl w:val="0"/>
          <w:numId w:val="1002"/>
        </w:numPr>
      </w:pPr>
      <w:r>
        <w:t xml:space="preserve">Transfection into HEK293 cells, quantification via dual-luciferase assay</w:t>
      </w:r>
    </w:p>
    <w:p>
      <w:pPr>
        <w:pStyle w:val="FirstParagraph"/>
      </w:pPr>
      <w:r>
        <w:t xml:space="preserve">Significant activity differences (</w:t>
      </w:r>
      <m:oMath>
        <m:r>
          <m:rPr>
            <m:sty m:val="p"/>
          </m:rPr>
          <m:t>&gt;</m:t>
        </m:r>
      </m:oMath>
      <w:r>
        <w:t xml:space="preserve">20% change,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0.01) will support functional impacts of dog-specific substitutions.</w:t>
      </w:r>
    </w:p>
    <w:p>
      <w:pPr>
        <w:pStyle w:val="BodyText"/>
      </w:pPr>
      <w:r>
        <w:rPr>
          <w:b/>
          <w:bCs/>
        </w:rPr>
        <w:t xml:space="preserve">Expected Outcomes:</w:t>
      </w:r>
    </w:p>
    <w:p>
      <w:pPr>
        <w:numPr>
          <w:ilvl w:val="0"/>
          <w:numId w:val="1003"/>
        </w:numPr>
      </w:pPr>
      <w:r>
        <w:t xml:space="preserve">Expression signatures for</w:t>
      </w:r>
      <w:r>
        <w:t xml:space="preserve"> </w:t>
      </w:r>
      <w:r>
        <w:rPr>
          <w:b/>
          <w:bCs/>
        </w:rPr>
        <w:t xml:space="preserve">both neurotransmitter and developmental genes</w:t>
      </w:r>
      <w:r>
        <w:t xml:space="preserve"> </w:t>
      </w:r>
      <w:r>
        <w:t xml:space="preserve">across brain regions and developmental stages</w:t>
      </w:r>
    </w:p>
    <w:p>
      <w:pPr>
        <w:numPr>
          <w:ilvl w:val="0"/>
          <w:numId w:val="1003"/>
        </w:numPr>
      </w:pPr>
      <w:r>
        <w:t xml:space="preserve">Structural predictions for 10-15 high-priority substitutions across neurotransmitter receptors and developmental signaling genes</w:t>
      </w:r>
    </w:p>
    <w:p>
      <w:pPr>
        <w:numPr>
          <w:ilvl w:val="0"/>
          <w:numId w:val="1003"/>
        </w:numPr>
      </w:pPr>
      <w:r>
        <w:t xml:space="preserve">Pilot functional data demonstrating altered receptor activity for neurotransmitter genes (GABA, serotonin, orexin) and Wnt pathway modulation for developmental genes</w:t>
      </w:r>
    </w:p>
    <w:p>
      <w:pPr>
        <w:numPr>
          <w:ilvl w:val="0"/>
          <w:numId w:val="1003"/>
        </w:numPr>
      </w:pPr>
      <w:r>
        <w:t xml:space="preserve">Comparative evidence for</w:t>
      </w:r>
      <w:r>
        <w:t xml:space="preserve"> </w:t>
      </w:r>
      <w:r>
        <w:rPr>
          <w:b/>
          <w:bCs/>
        </w:rPr>
        <w:t xml:space="preserve">parallel selection on behavioral AND morphological pathways</w:t>
      </w:r>
    </w:p>
    <w:p>
      <w:pPr>
        <w:numPr>
          <w:ilvl w:val="0"/>
          <w:numId w:val="1003"/>
        </w:numPr>
      </w:pPr>
      <w:r>
        <w:t xml:space="preserve">Manuscript: "Multi-pathway validation reveals neurotransmitter and developmental targets of dog breed formation"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18-24 months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$150,000-$200,000 (RNA-seq library prep and sequencing, computational resources for AlphaFold2/MD, cell culture reagents, reporter assays)</w:t>
      </w:r>
    </w:p>
    <w:bookmarkEnd w:id="9"/>
    <w:bookmarkStart w:id="10" w:name="X53bb1bfbb3432ad536a736375e2ba7558909361"/>
    <w:p>
      <w:pPr>
        <w:pStyle w:val="Heading2"/>
      </w:pPr>
      <w:r>
        <w:t xml:space="preserve">Aim 2: Expanded Phylogenetic Framework with Wolf Genome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Greenland wolf genome (</w:t>
      </w:r>
      <w:r>
        <w:rPr>
          <w:i/>
          <w:iCs/>
        </w:rPr>
        <w:t xml:space="preserve">Canis lupus orion</w:t>
      </w:r>
      <w:r>
        <w:t xml:space="preserve">) is undergoing annotation via the Ensembl pipeline at EBI, with anticipated public release in 2025-2026. Addition of the wolf genome will enable a four-species framework: (((</w:t>
      </w:r>
      <w:r>
        <w:rPr>
          <w:i/>
          <w:iCs/>
        </w:rPr>
        <w:t xml:space="preserve">Dog</w:t>
      </w:r>
      <w:r>
        <w:t xml:space="preserve">,</w:t>
      </w:r>
      <w:r>
        <w:t xml:space="preserve"> </w:t>
      </w:r>
      <w:r>
        <w:rPr>
          <w:i/>
          <w:iCs/>
        </w:rPr>
        <w:t xml:space="preserve">Dingo</w:t>
      </w:r>
      <w:r>
        <w:t xml:space="preserve">),</w:t>
      </w:r>
      <w:r>
        <w:t xml:space="preserve"> </w:t>
      </w:r>
      <w:r>
        <w:rPr>
          <w:i/>
          <w:iCs/>
        </w:rPr>
        <w:t xml:space="preserve">Wolf</w:t>
      </w:r>
      <w:r>
        <w:t xml:space="preserve">),</w:t>
      </w:r>
      <w:r>
        <w:t xml:space="preserve"> </w:t>
      </w:r>
      <w:r>
        <w:rPr>
          <w:i/>
          <w:iCs/>
        </w:rPr>
        <w:t xml:space="preserve">Fox</w:t>
      </w:r>
      <w:r>
        <w:t xml:space="preserve">), providing temporal layering of selection signals.</w:t>
      </w:r>
    </w:p>
    <w:p>
      <w:pPr>
        <w:pStyle w:val="BodyText"/>
      </w:pPr>
      <w:r>
        <w:rPr>
          <w:b/>
          <w:bCs/>
        </w:rPr>
        <w:t xml:space="preserve">Approach:</w:t>
      </w:r>
    </w:p>
    <w:p>
      <w:pPr>
        <w:pStyle w:val="BodyText"/>
      </w:pPr>
      <w:r>
        <w:rPr>
          <w:b/>
          <w:bCs/>
        </w:rPr>
        <w:t xml:space="preserve">2.1. Re-analysis with 4-species phylogeny.</w:t>
      </w:r>
      <w:r>
        <w:t xml:space="preserve"> </w:t>
      </w:r>
      <w:r>
        <w:t xml:space="preserve">Upon wolf genome availability, we will apply the same aBSREL pipeline to identify: (a) breed formation signals (dog branch only, expected to refine current 401 genes), (b) early domestication signals (dog+dingo clade vs. wolf, expected 50-100 genes), and (c) wild canid evolution (wolf branch, serving as control). Expected dataset: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17,000 genes with 4-way orthologs based on current Ensembl Compara coverage.</w:t>
      </w:r>
    </w:p>
    <w:p>
      <w:pPr>
        <w:pStyle w:val="BodyText"/>
      </w:pPr>
      <w:r>
        <w:rPr>
          <w:b/>
          <w:bCs/>
        </w:rPr>
        <w:t xml:space="preserve">2.2. Temporal partitioning of selection signals.</w:t>
      </w:r>
      <w:r>
        <w:t xml:space="preserve"> </w:t>
      </w:r>
      <w:r>
        <w:t xml:space="preserve">We will classify genes by temporal layer: (1) breed-specific (dog only), (2) domestication-associated (dog+dingo shared), (3) lineage-specific background (wolf). Functional enrichment analysis will be performed separately for each category to identify pathway-level themes specific to evolutionary stages.</w:t>
      </w:r>
    </w:p>
    <w:p>
      <w:pPr>
        <w:pStyle w:val="BodyText"/>
      </w:pPr>
      <w:r>
        <w:rPr>
          <w:b/>
          <w:bCs/>
        </w:rPr>
        <w:t xml:space="preserve">2.3. Validation of 3-species findings.</w:t>
      </w:r>
      <w:r>
        <w:t xml:space="preserve"> </w:t>
      </w:r>
      <w:r>
        <w:t xml:space="preserve">Current 401 candidates will be cross-validated with 4-species results. We expect a subset (estimated 250-300 genes) to retain strong dog-specific signal, while others may reclassify as shared domestication signatures. This refinement will increase confidence in breed-specific candidates.</w:t>
      </w:r>
    </w:p>
    <w:p>
      <w:pPr>
        <w:pStyle w:val="BodyText"/>
      </w:pPr>
      <w:r>
        <w:rPr>
          <w:b/>
          <w:bCs/>
        </w:rPr>
        <w:t xml:space="preserve">2.4. Power analysis and simulation.</w:t>
      </w:r>
      <w:r>
        <w:t xml:space="preserve"> </w:t>
      </w:r>
      <w:r>
        <w:t xml:space="preserve">We will perform statistical power analysis to assess detection sensitivity for the wolf branch given estimated divergence time (</w:t>
      </w:r>
      <m:oMath>
        <m:r>
          <m:rPr>
            <m:sty m:val="p"/>
          </m:rPr>
          <m:t>∼</m:t>
        </m:r>
      </m:oMath>
      <w:r>
        <w:t xml:space="preserve">15-40 KYA) and expected sequence divergence. Simulations will quantify false positive/negative rates under various selection scenarios (</w:t>
      </w:r>
      <m:oMath>
        <m:r>
          <m:t>ω</m:t>
        </m:r>
      </m:oMath>
      <w:r>
        <w:t xml:space="preserve"> </w:t>
      </w:r>
      <w:r>
        <w:t xml:space="preserve">= 1.5-5, 5-20% sites under selection).</w:t>
      </w:r>
    </w:p>
    <w:p>
      <w:pPr>
        <w:pStyle w:val="BodyText"/>
      </w:pPr>
      <w:r>
        <w:rPr>
          <w:b/>
          <w:bCs/>
        </w:rPr>
        <w:t xml:space="preserve">Expected Outcomes:</w:t>
      </w:r>
    </w:p>
    <w:p>
      <w:pPr>
        <w:numPr>
          <w:ilvl w:val="0"/>
          <w:numId w:val="1004"/>
        </w:numPr>
      </w:pPr>
      <w:r>
        <w:t xml:space="preserve">Refined set of 250-300 high-confidence breed-specific candidates</w:t>
      </w:r>
    </w:p>
    <w:p>
      <w:pPr>
        <w:numPr>
          <w:ilvl w:val="0"/>
          <w:numId w:val="1004"/>
        </w:numPr>
      </w:pPr>
      <w:r>
        <w:t xml:space="preserve">Identification of 50-100 early domestication genes (dog+dingo branch)</w:t>
      </w:r>
    </w:p>
    <w:p>
      <w:pPr>
        <w:numPr>
          <w:ilvl w:val="0"/>
          <w:numId w:val="1004"/>
        </w:numPr>
      </w:pPr>
      <w:r>
        <w:t xml:space="preserve">Partitioned functional themes by evolutionary layer (Wnt enrichment specific to breed formation vs. shared with domestication)</w:t>
      </w:r>
    </w:p>
    <w:p>
      <w:pPr>
        <w:numPr>
          <w:ilvl w:val="0"/>
          <w:numId w:val="1004"/>
        </w:numPr>
      </w:pPr>
      <w:r>
        <w:t xml:space="preserve">Power analysis framework applicable to other domestication systems</w:t>
      </w:r>
    </w:p>
    <w:p>
      <w:pPr>
        <w:numPr>
          <w:ilvl w:val="0"/>
          <w:numId w:val="1004"/>
        </w:numPr>
      </w:pPr>
      <w:r>
        <w:t xml:space="preserve">Manuscript: "Temporal layering of selection during dog domestication: insights from four-species phylogenomics"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12-18 months (contingent on wolf genome release, estimated mid-2025 to early-2026)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$75,000-$100,000 (computational resources for 17,000-gene aBSREL analysis, data storage, validation bioinformatics, personnel)</w:t>
      </w:r>
    </w:p>
    <w:bookmarkEnd w:id="10"/>
    <w:bookmarkStart w:id="11" w:name="X6614f17edd70742edf5b9a6f67a56c5a74f8a03"/>
    <w:p>
      <w:pPr>
        <w:pStyle w:val="Heading2"/>
      </w:pPr>
      <w:r>
        <w:t xml:space="preserve">Aim 3: Integration with Dog10K Population Genomic Data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Dog10K Consortium has generated whole-genome sequences for 2,000+ canids including 1,611 dogs across 321 breeds</w:t>
      </w:r>
      <w:r>
        <w:t xml:space="preserve"> </w:t>
      </w:r>
      <w:r>
        <w:t xml:space="preserve">(Consortium 2023;</w:t>
      </w:r>
      <w:r>
        <w:t xml:space="preserve"> </w:t>
      </w:r>
      <w:r>
        <w:t xml:space="preserve">Wang et al.</w:t>
      </w:r>
      <w:r>
        <w:t xml:space="preserve"> </w:t>
      </w:r>
      <w:r>
        <w:t xml:space="preserve">2024)</w:t>
      </w:r>
      <w:r>
        <w:t xml:space="preserve">. Integration of our phylogenetic candidates (401 genes) with population-level data will reveal breed-specific vs. pan-breed selection patterns and enable genotype-phenotype associations.</w:t>
      </w:r>
    </w:p>
    <w:p>
      <w:pPr>
        <w:pStyle w:val="BodyText"/>
      </w:pPr>
      <w:r>
        <w:rPr>
          <w:b/>
          <w:bCs/>
        </w:rPr>
        <w:t xml:space="preserve">Approach:</w:t>
      </w:r>
    </w:p>
    <w:p>
      <w:pPr>
        <w:pStyle w:val="BodyText"/>
      </w:pPr>
      <w:r>
        <w:rPr>
          <w:b/>
          <w:bCs/>
        </w:rPr>
        <w:t xml:space="preserve">3.1. Retrieve Dog10K haplotype data for candidate genes.</w:t>
      </w:r>
      <w:r>
        <w:t xml:space="preserve"> </w:t>
      </w:r>
      <w:r>
        <w:t xml:space="preserve">We will download VCF files for the 401 gene regions from the Dog10K database (https://dog10k.kiz.ac.cn/). Haplotype phasing will be performed using SHAPEIT4, and allele frequencies will be calculated for each breed.</w:t>
      </w:r>
    </w:p>
    <w:p>
      <w:pPr>
        <w:pStyle w:val="BodyText"/>
      </w:pPr>
      <w:r>
        <w:rPr>
          <w:b/>
          <w:bCs/>
        </w:rPr>
        <w:t xml:space="preserve">3.2. Haplotype-based selection scans.</w:t>
      </w:r>
      <w:r>
        <w:t xml:space="preserve"> </w:t>
      </w:r>
      <w:r>
        <w:t xml:space="preserve">Using Dog10K integrated tools, we will perform selection scans using multiple methods: integrated haplotype score (iHS), cross-population extended haplotype homozygosity (XP-EHH), and number of segregating sites by length (nSL). These methods detect recent selective sweeps via extended haplotype homozygosity. Candidates with significant signals (top 1% genome-wide) in multiple breeds will be classified as pan-breed targets, while breed-specific signals will identify lineage-restricted selection.</w:t>
      </w:r>
    </w:p>
    <w:p>
      <w:pPr>
        <w:pStyle w:val="BodyText"/>
      </w:pPr>
      <w:r>
        <w:rPr>
          <w:b/>
          <w:bCs/>
        </w:rPr>
        <w:t xml:space="preserve">3.3. Genotype-phenotype association.</w:t>
      </w:r>
      <w:r>
        <w:t xml:space="preserve"> </w:t>
      </w:r>
      <w:r>
        <w:t xml:space="preserve">We will cross-reference candidate genes with AKC breed standard phenotypes (size, coat color/texture, craniofacial morphology, behavioral traits). For Wnt pathway genes, we will focus on craniofacial and pigmentation traits given known pathway roles. Association tests will use breed-level trait scores regressed against haplotype frequencies, controlling for population structure via principal components.</w:t>
      </w:r>
    </w:p>
    <w:p>
      <w:pPr>
        <w:pStyle w:val="BodyText"/>
      </w:pPr>
      <w:r>
        <w:rPr>
          <w:b/>
          <w:bCs/>
        </w:rPr>
        <w:t xml:space="preserve">3.4. Concordance analysis.</w:t>
      </w:r>
      <w:r>
        <w:t xml:space="preserve"> </w:t>
      </w:r>
      <w:r>
        <w:t xml:space="preserve">We will assess concordance between phylogenetic aBSREL signals and population-level sweep signals. Genes with strong support from both methods (estimated 50-100 genes) will represent high-confidence candidates with convergent evolutionary evidence. Discordant cases will be investigated to understand different evolutionary modes (e.g., soft vs. hard sweeps, standing variation vs. new mutations).</w:t>
      </w:r>
    </w:p>
    <w:p>
      <w:pPr>
        <w:pStyle w:val="BodyText"/>
      </w:pPr>
      <w:r>
        <w:rPr>
          <w:b/>
          <w:bCs/>
        </w:rPr>
        <w:t xml:space="preserve">Expected Outcomes:</w:t>
      </w:r>
    </w:p>
    <w:p>
      <w:pPr>
        <w:numPr>
          <w:ilvl w:val="0"/>
          <w:numId w:val="1005"/>
        </w:numPr>
      </w:pPr>
      <w:r>
        <w:t xml:space="preserve">Breed-specific sweep map for 401 phylogenetic candidates across 321 breeds</w:t>
      </w:r>
    </w:p>
    <w:p>
      <w:pPr>
        <w:numPr>
          <w:ilvl w:val="0"/>
          <w:numId w:val="1005"/>
        </w:numPr>
      </w:pPr>
      <w:r>
        <w:t xml:space="preserve">Subset of 50-100 genes with convergent phylogenetic + population evidence</w:t>
      </w:r>
    </w:p>
    <w:p>
      <w:pPr>
        <w:numPr>
          <w:ilvl w:val="0"/>
          <w:numId w:val="1005"/>
        </w:numPr>
      </w:pPr>
      <w:r>
        <w:t xml:space="preserve">Genotype-phenotype associations for Wnt pathway genes (focus on craniofacial/pigmentation)</w:t>
      </w:r>
    </w:p>
    <w:p>
      <w:pPr>
        <w:numPr>
          <w:ilvl w:val="0"/>
          <w:numId w:val="1005"/>
        </w:numPr>
      </w:pPr>
      <w:r>
        <w:t xml:space="preserve">Integrated candidate ranking system combining phylogenetic, population, and phenotypic data</w:t>
      </w:r>
    </w:p>
    <w:p>
      <w:pPr>
        <w:numPr>
          <w:ilvl w:val="0"/>
          <w:numId w:val="1005"/>
        </w:numPr>
      </w:pPr>
      <w:r>
        <w:t xml:space="preserve">Manuscript: "Integration of phylogenomic and population genomic approaches reveals convergent selection during dog breed formation"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12 months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$50,000-$75,000 (Dog10K data access and storage, computational analysis for 321 breeds, population genetics software, phenotype database compilation)</w:t>
      </w:r>
    </w:p>
    <w:bookmarkEnd w:id="11"/>
    <w:bookmarkStart w:id="12" w:name="timeline-and-milestones"/>
    <w:p>
      <w:pPr>
        <w:pStyle w:val="Heading2"/>
      </w:pPr>
      <w:r>
        <w:t xml:space="preserve">Timeline and Milestones</w:t>
      </w:r>
    </w:p>
    <w:p>
      <w:pPr>
        <w:pStyle w:val="FirstParagraph"/>
      </w:pPr>
      <w:r>
        <w:rPr>
          <w:b/>
          <w:bCs/>
        </w:rPr>
        <w:t xml:space="preserve">Year 1 (Months 1-12):</w:t>
      </w:r>
    </w:p>
    <w:p>
      <w:pPr>
        <w:numPr>
          <w:ilvl w:val="0"/>
          <w:numId w:val="1006"/>
        </w:numPr>
      </w:pPr>
      <w:r>
        <w:t xml:space="preserve">Aim 1: RNA-seq sample collection, library prep, sequencing (Months 1-6)</w:t>
      </w:r>
    </w:p>
    <w:p>
      <w:pPr>
        <w:numPr>
          <w:ilvl w:val="0"/>
          <w:numId w:val="1006"/>
        </w:numPr>
      </w:pPr>
      <w:r>
        <w:t xml:space="preserve">Aim 1: Expression analysis and initial structural modeling (Months 6-9)</w:t>
      </w:r>
    </w:p>
    <w:p>
      <w:pPr>
        <w:numPr>
          <w:ilvl w:val="0"/>
          <w:numId w:val="1006"/>
        </w:numPr>
      </w:pPr>
      <w:r>
        <w:t xml:space="preserve">Aim 3: Dog10K data retrieval and haplotype-based scans (Months 3-9)</w:t>
      </w:r>
    </w:p>
    <w:p>
      <w:pPr>
        <w:numPr>
          <w:ilvl w:val="0"/>
          <w:numId w:val="1006"/>
        </w:numPr>
      </w:pPr>
      <w:r>
        <w:t xml:space="preserve">Aim 3: Genotype-phenotype associations (Months 9-12)</w:t>
      </w:r>
    </w:p>
    <w:p>
      <w:pPr>
        <w:numPr>
          <w:ilvl w:val="0"/>
          <w:numId w:val="1006"/>
        </w:numPr>
      </w:pPr>
      <w:r>
        <w:t xml:space="preserve">Milestone: First manuscript submission (Aim 3, Month 12)</w:t>
      </w:r>
    </w:p>
    <w:p>
      <w:pPr>
        <w:pStyle w:val="FirstParagraph"/>
      </w:pPr>
      <w:r>
        <w:rPr>
          <w:b/>
          <w:bCs/>
        </w:rPr>
        <w:t xml:space="preserve">Year 2 (Months 13-24):</w:t>
      </w:r>
    </w:p>
    <w:p>
      <w:pPr>
        <w:numPr>
          <w:ilvl w:val="0"/>
          <w:numId w:val="1007"/>
        </w:numPr>
      </w:pPr>
      <w:r>
        <w:t xml:space="preserve">Aim 1: Complete structural predictions and MD simulations (Months 13-18)</w:t>
      </w:r>
    </w:p>
    <w:p>
      <w:pPr>
        <w:numPr>
          <w:ilvl w:val="0"/>
          <w:numId w:val="1007"/>
        </w:numPr>
      </w:pPr>
      <w:r>
        <w:t xml:space="preserve">Aim 1: Wnt reporter assays (pilot functional validation) (Months 18-21)</w:t>
      </w:r>
    </w:p>
    <w:p>
      <w:pPr>
        <w:numPr>
          <w:ilvl w:val="0"/>
          <w:numId w:val="1007"/>
        </w:numPr>
      </w:pPr>
      <w:r>
        <w:t xml:space="preserve">Aim 2: Wolf genome monitoring, pipeline preparation (Months 13-24)</w:t>
      </w:r>
    </w:p>
    <w:p>
      <w:pPr>
        <w:numPr>
          <w:ilvl w:val="0"/>
          <w:numId w:val="1007"/>
        </w:numPr>
      </w:pPr>
      <w:r>
        <w:t xml:space="preserve">Aim 2: 4-species aBSREL analysis upon wolf release (Months 18-24, contingent)</w:t>
      </w:r>
    </w:p>
    <w:p>
      <w:pPr>
        <w:numPr>
          <w:ilvl w:val="0"/>
          <w:numId w:val="1007"/>
        </w:numPr>
      </w:pPr>
      <w:r>
        <w:t xml:space="preserve">Milestone: Second manuscript submission (Aim 1, Month 21)</w:t>
      </w:r>
    </w:p>
    <w:p>
      <w:pPr>
        <w:pStyle w:val="FirstParagraph"/>
      </w:pPr>
      <w:r>
        <w:rPr>
          <w:b/>
          <w:bCs/>
        </w:rPr>
        <w:t xml:space="preserve">Year 3 (Months 25-36):</w:t>
      </w:r>
    </w:p>
    <w:p>
      <w:pPr>
        <w:numPr>
          <w:ilvl w:val="0"/>
          <w:numId w:val="1008"/>
        </w:numPr>
      </w:pPr>
      <w:r>
        <w:t xml:space="preserve">Aim 2: Complete 4-species analysis and temporal partitioning (Months 25-30)</w:t>
      </w:r>
    </w:p>
    <w:p>
      <w:pPr>
        <w:numPr>
          <w:ilvl w:val="0"/>
          <w:numId w:val="1008"/>
        </w:numPr>
      </w:pPr>
      <w:r>
        <w:t xml:space="preserve">Integration: Synthesis across all three aims (Months 30-33)</w:t>
      </w:r>
    </w:p>
    <w:p>
      <w:pPr>
        <w:numPr>
          <w:ilvl w:val="0"/>
          <w:numId w:val="1008"/>
        </w:numPr>
      </w:pPr>
      <w:r>
        <w:t xml:space="preserve">Manuscript preparation: Aim 2 + integrated synthesis papers (Months 30-36)</w:t>
      </w:r>
    </w:p>
    <w:p>
      <w:pPr>
        <w:numPr>
          <w:ilvl w:val="0"/>
          <w:numId w:val="1008"/>
        </w:numPr>
      </w:pPr>
      <w:r>
        <w:t xml:space="preserve">Milestone: Final manuscripts submitted (Months 33-36)</w:t>
      </w:r>
    </w:p>
    <w:bookmarkEnd w:id="12"/>
    <w:bookmarkStart w:id="18" w:name="budget-summary"/>
    <w:p>
      <w:pPr>
        <w:pStyle w:val="Heading2"/>
      </w:pPr>
      <w:r>
        <w:t xml:space="preserve">Budget Summary</w:t>
      </w:r>
    </w:p>
    <w:p>
      <w:pPr>
        <w:pStyle w:val="TableCaption"/>
      </w:pPr>
      <w:r>
        <w:t xml:space="preserve">Estimated budget for proposed research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budget for proposed research progra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$180,000-$240,000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Graduate student or postdoc (1.0 FTE, 3 years)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$15,000-$20,000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Undergraduate research assistants (summers)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$10,000-$15,000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HPC cluster time (4-way aBSREL analysis)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$5,000-$10,000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 storage (Dog10K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$75,000-$100,000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RNA-seq (tissue collection, library prep, sequencing)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$10,000-$15,000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Protein structural modeling (AlphaFold2, MD)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$25,000-$35,000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Cell-based assays (Wnt reporters, reagents)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$10,000-$15,000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Conference presentations (3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$5,000-$10,000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Open-access fees (4-5 manuscripts)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$335,000-$460,000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Indirect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$80,000-$120,000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University overhead (varies by institution)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$415,000-$580,000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3-year program</w:t>
            </w:r>
          </w:p>
        </w:tc>
      </w:tr>
    </w:tbl>
    <w:bookmarkStart w:id="17" w:name="refs"/>
    <w:bookmarkStart w:id="14" w:name="ref-Dog10K2023"/>
    <w:p>
      <w:pPr>
        <w:pStyle w:val="Bibliography"/>
      </w:pPr>
      <w:r>
        <w:t xml:space="preserve">Consortium, Dog10K. 2023.</w:t>
      </w:r>
      <w:r>
        <w:t xml:space="preserve"> </w:t>
      </w:r>
      <w:r>
        <w:t xml:space="preserve">“Genome Sequencing of 2000 Canids by the Dog10K Consortium Advances the Understanding of Demography, Genome Function and Architecture.”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24: 187.</w:t>
      </w:r>
      <w:r>
        <w:t xml:space="preserve"> </w:t>
      </w:r>
      <w:hyperlink r:id="rId13">
        <w:r>
          <w:rPr>
            <w:rStyle w:val="Hyperlink"/>
          </w:rPr>
          <w:t xml:space="preserve">https://doi.org/10.1186/s13059-023-03023-7</w:t>
        </w:r>
      </w:hyperlink>
      <w:r>
        <w:t xml:space="preserve">.</w:t>
      </w:r>
    </w:p>
    <w:bookmarkEnd w:id="14"/>
    <w:bookmarkStart w:id="16" w:name="ref-Dog10K2024"/>
    <w:p>
      <w:pPr>
        <w:pStyle w:val="Bibliography"/>
      </w:pPr>
      <w:r>
        <w:t xml:space="preserve">Wang, Chao et al.</w:t>
      </w:r>
      <w:r>
        <w:t xml:space="preserve"> 2024.</w:t>
      </w:r>
      <w:r>
        <w:t xml:space="preserve"> </w:t>
      </w:r>
      <w:r>
        <w:t xml:space="preserve">“Dog10K: An Integrated Dog10K Database Summarizing Canine Multi-Omics.”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53 (D1): D939–50.</w:t>
      </w:r>
      <w:r>
        <w:t xml:space="preserve"> </w:t>
      </w:r>
      <w:hyperlink r:id="rId15">
        <w:r>
          <w:rPr>
            <w:rStyle w:val="Hyperlink"/>
          </w:rPr>
          <w:t xml:space="preserve">https://doi.org/10.1093/nar/gkae869</w:t>
        </w:r>
      </w:hyperlink>
      <w:r>
        <w:t xml:space="preserve">.</w:t>
      </w:r>
    </w:p>
    <w:bookmarkEnd w:id="16"/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doi.org/10.1093/nar/gkae869" TargetMode="External" /><Relationship Type="http://schemas.openxmlformats.org/officeDocument/2006/relationships/hyperlink" Id="rId13" Target="https://doi.org/10.1186/s13059-023-03023-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doi.org/10.1093/nar/gkae869" TargetMode="External" /><Relationship Type="http://schemas.openxmlformats.org/officeDocument/2006/relationships/hyperlink" Id="rId13" Target="https://doi.org/10.1186/s13059-023-03023-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Proposed Research Plan Branch-Specific Phylogenomics to Identify Genetic Mechanisms of Dog Breed Formation</dc:title>
  <dc:creator>Isaac N. Aguilar Rivera</dc:creator>
  <cp:keywords/>
  <dcterms:created xsi:type="dcterms:W3CDTF">2025-12-02T01:13:53Z</dcterms:created>
  <dcterms:modified xsi:type="dcterms:W3CDTF">2025-12-02T01:13:53Z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supplementary document details the proposed three-aim research program to functionally validate, expand, and integrate preliminary phylogenomic discoveries from the main manuscript. The proposed research includes: (1) functional validation of neurotransmitter and developmental signaling candidates through expression profiling, structural modeling, and cell-based assays, (2) expansion of the phylogenetic framework to include grey wolf when genome resources become available, and (3) integration with Dog10K population genomic data to identify breed-specific selection patterns. Total estimated budget: $415,000–$580,000 over 3 years.</vt:lpwstr>
  </property>
  <property fmtid="{D5CDD505-2E9C-101B-9397-08002B2CF9AE}" pid="3" name="bibliography">
    <vt:lpwstr>references.bib</vt:lpwstr>
  </property>
</Properties>
</file>