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6FA6B" w14:textId="21A526B1" w:rsidR="006779E5" w:rsidRPr="000D50C8" w:rsidRDefault="006A3628" w:rsidP="003F17D2">
      <w:pPr>
        <w:spacing w:after="0" w:line="240" w:lineRule="auto"/>
        <w:jc w:val="both"/>
        <w:rPr>
          <w:rFonts w:ascii="Calibri" w:hAnsi="Calibri" w:cs="Calibri"/>
          <w:b/>
          <w:bCs/>
        </w:rPr>
      </w:pPr>
      <w:r w:rsidRPr="000D50C8">
        <w:rPr>
          <w:rFonts w:ascii="Calibri" w:hAnsi="Calibri" w:cs="Calibri"/>
          <w:b/>
          <w:bCs/>
        </w:rPr>
        <w:t xml:space="preserve">Rapid detection of </w:t>
      </w:r>
      <w:r w:rsidR="008A26CB" w:rsidRPr="000D50C8">
        <w:rPr>
          <w:rFonts w:ascii="Calibri" w:hAnsi="Calibri" w:cs="Calibri"/>
          <w:b/>
          <w:bCs/>
        </w:rPr>
        <w:t>metal</w:t>
      </w:r>
      <w:r w:rsidR="000D50C8" w:rsidRPr="000D50C8">
        <w:rPr>
          <w:rFonts w:ascii="Calibri" w:hAnsi="Calibri" w:cs="Calibri"/>
          <w:b/>
          <w:bCs/>
        </w:rPr>
        <w:t xml:space="preserve">s </w:t>
      </w:r>
      <w:r w:rsidRPr="000D50C8">
        <w:rPr>
          <w:rFonts w:ascii="Calibri" w:hAnsi="Calibri" w:cs="Calibri"/>
          <w:b/>
          <w:bCs/>
        </w:rPr>
        <w:t xml:space="preserve">in </w:t>
      </w:r>
      <w:r w:rsidR="000D50C8" w:rsidRPr="000D50C8">
        <w:rPr>
          <w:rFonts w:ascii="Calibri" w:hAnsi="Calibri" w:cs="Calibri"/>
          <w:b/>
          <w:bCs/>
        </w:rPr>
        <w:t xml:space="preserve">ash on </w:t>
      </w:r>
      <w:r w:rsidRPr="000D50C8">
        <w:rPr>
          <w:rFonts w:ascii="Calibri" w:hAnsi="Calibri" w:cs="Calibri"/>
          <w:b/>
          <w:bCs/>
        </w:rPr>
        <w:t xml:space="preserve">outdoor </w:t>
      </w:r>
      <w:r w:rsidR="000D50C8" w:rsidRPr="000D50C8">
        <w:rPr>
          <w:rFonts w:ascii="Calibri" w:hAnsi="Calibri" w:cs="Calibri"/>
          <w:b/>
          <w:bCs/>
        </w:rPr>
        <w:t>surfaces</w:t>
      </w:r>
      <w:r w:rsidRPr="000D50C8">
        <w:rPr>
          <w:rFonts w:ascii="Calibri" w:hAnsi="Calibri" w:cs="Calibri"/>
          <w:b/>
          <w:bCs/>
        </w:rPr>
        <w:t xml:space="preserve"> after </w:t>
      </w:r>
      <w:r w:rsidR="00437750" w:rsidRPr="000D50C8">
        <w:rPr>
          <w:rFonts w:ascii="Calibri" w:hAnsi="Calibri" w:cs="Calibri"/>
          <w:b/>
          <w:bCs/>
        </w:rPr>
        <w:t>fires in the Wildland-Urban Interface</w:t>
      </w:r>
    </w:p>
    <w:p w14:paraId="7F9AF4A1" w14:textId="68E884B4" w:rsidR="006A3628" w:rsidRPr="009512DE" w:rsidRDefault="006A3628" w:rsidP="003F17D2">
      <w:pPr>
        <w:spacing w:line="240" w:lineRule="auto"/>
        <w:jc w:val="both"/>
        <w:rPr>
          <w:rFonts w:ascii="Calibri" w:hAnsi="Calibri" w:cs="Calibri"/>
          <w:vertAlign w:val="superscript"/>
        </w:rPr>
      </w:pPr>
      <w:r w:rsidRPr="009512DE">
        <w:rPr>
          <w:rFonts w:ascii="Calibri" w:hAnsi="Calibri" w:cs="Calibri"/>
        </w:rPr>
        <w:t>Isaac N. Aguilar</w:t>
      </w:r>
      <w:r w:rsidRPr="009512DE">
        <w:rPr>
          <w:rFonts w:ascii="Calibri" w:hAnsi="Calibri" w:cs="Calibri"/>
          <w:vertAlign w:val="superscript"/>
        </w:rPr>
        <w:t>1</w:t>
      </w:r>
      <w:r w:rsidRPr="009512DE">
        <w:rPr>
          <w:rFonts w:ascii="Calibri" w:hAnsi="Calibri" w:cs="Calibri"/>
        </w:rPr>
        <w:t>, Theo Tacail</w:t>
      </w:r>
      <w:r w:rsidRPr="009512DE">
        <w:rPr>
          <w:rFonts w:ascii="Calibri" w:hAnsi="Calibri" w:cs="Calibri"/>
          <w:vertAlign w:val="superscript"/>
        </w:rPr>
        <w:t>1</w:t>
      </w:r>
      <w:r w:rsidRPr="009512DE">
        <w:rPr>
          <w:rFonts w:ascii="Calibri" w:hAnsi="Calibri" w:cs="Calibri"/>
        </w:rPr>
        <w:t>, Merritt McDowell</w:t>
      </w:r>
      <w:r w:rsidRPr="009512DE">
        <w:rPr>
          <w:rFonts w:ascii="Calibri" w:hAnsi="Calibri" w:cs="Calibri"/>
          <w:vertAlign w:val="superscript"/>
        </w:rPr>
        <w:t>1</w:t>
      </w:r>
      <w:r w:rsidRPr="009512DE">
        <w:rPr>
          <w:rFonts w:ascii="Calibri" w:hAnsi="Calibri" w:cs="Calibri"/>
        </w:rPr>
        <w:t>,</w:t>
      </w:r>
      <w:r w:rsidR="001A69F7" w:rsidRPr="009512DE">
        <w:rPr>
          <w:rFonts w:ascii="Calibri" w:hAnsi="Calibri" w:cs="Calibri"/>
        </w:rPr>
        <w:t xml:space="preserve"> </w:t>
      </w:r>
      <w:r w:rsidR="007B129E" w:rsidRPr="007B129E">
        <w:rPr>
          <w:rFonts w:ascii="Calibri" w:hAnsi="Calibri" w:cs="Calibri"/>
          <w:color w:val="EE0000"/>
        </w:rPr>
        <w:t>(?)</w:t>
      </w:r>
      <w:r w:rsidR="001A69F7" w:rsidRPr="007B129E">
        <w:rPr>
          <w:rFonts w:ascii="Calibri" w:hAnsi="Calibri" w:cs="Calibri"/>
          <w:color w:val="EE0000"/>
        </w:rPr>
        <w:t>Hayward Melton</w:t>
      </w:r>
      <w:r w:rsidR="001A69F7" w:rsidRPr="007B129E">
        <w:rPr>
          <w:rFonts w:ascii="Calibri" w:hAnsi="Calibri" w:cs="Calibri"/>
          <w:color w:val="EE0000"/>
          <w:vertAlign w:val="superscript"/>
        </w:rPr>
        <w:t>1</w:t>
      </w:r>
      <w:r w:rsidR="001A69F7" w:rsidRPr="007B129E">
        <w:rPr>
          <w:rFonts w:ascii="Calibri" w:hAnsi="Calibri" w:cs="Calibri"/>
          <w:color w:val="EE0000"/>
        </w:rPr>
        <w:t xml:space="preserve">, </w:t>
      </w:r>
      <w:r w:rsidR="007B129E" w:rsidRPr="007B129E">
        <w:rPr>
          <w:rFonts w:ascii="Calibri" w:hAnsi="Calibri" w:cs="Calibri"/>
          <w:color w:val="EE0000"/>
        </w:rPr>
        <w:t>(?)</w:t>
      </w:r>
      <w:r w:rsidR="001A69F7" w:rsidRPr="007B129E">
        <w:rPr>
          <w:rFonts w:ascii="Calibri" w:hAnsi="Calibri" w:cs="Calibri"/>
          <w:color w:val="EE0000"/>
        </w:rPr>
        <w:t>Tristan Caro</w:t>
      </w:r>
      <w:r w:rsidR="001A69F7" w:rsidRPr="007B129E">
        <w:rPr>
          <w:rFonts w:ascii="Calibri" w:hAnsi="Calibri" w:cs="Calibri"/>
          <w:color w:val="EE0000"/>
          <w:vertAlign w:val="superscript"/>
        </w:rPr>
        <w:t>1</w:t>
      </w:r>
      <w:r w:rsidR="001A69F7" w:rsidRPr="007B129E">
        <w:rPr>
          <w:rFonts w:ascii="Calibri" w:hAnsi="Calibri" w:cs="Calibri"/>
          <w:color w:val="EE0000"/>
        </w:rPr>
        <w:t xml:space="preserve">, </w:t>
      </w:r>
      <w:r w:rsidR="007B129E" w:rsidRPr="007B129E">
        <w:rPr>
          <w:rFonts w:ascii="Calibri" w:hAnsi="Calibri" w:cs="Calibri"/>
          <w:color w:val="EE0000"/>
        </w:rPr>
        <w:t>(?)</w:t>
      </w:r>
      <w:r w:rsidR="001A69F7" w:rsidRPr="007B129E">
        <w:rPr>
          <w:rFonts w:ascii="Calibri" w:hAnsi="Calibri" w:cs="Calibri"/>
          <w:color w:val="EE0000"/>
        </w:rPr>
        <w:t>Haroula Baliaka</w:t>
      </w:r>
      <w:r w:rsidR="001A69F7" w:rsidRPr="007B129E">
        <w:rPr>
          <w:rFonts w:ascii="Calibri" w:hAnsi="Calibri" w:cs="Calibri"/>
          <w:color w:val="EE0000"/>
          <w:vertAlign w:val="superscript"/>
        </w:rPr>
        <w:t>1</w:t>
      </w:r>
      <w:r w:rsidR="001A69F7" w:rsidRPr="009512DE">
        <w:rPr>
          <w:rFonts w:ascii="Calibri" w:hAnsi="Calibri" w:cs="Calibri"/>
        </w:rPr>
        <w:t>,</w:t>
      </w:r>
      <w:r w:rsidRPr="009512DE">
        <w:rPr>
          <w:rFonts w:ascii="Calibri" w:hAnsi="Calibri" w:cs="Calibri"/>
        </w:rPr>
        <w:t xml:space="preserve"> Mark Wronckiewicz</w:t>
      </w:r>
      <w:r w:rsidRPr="009512DE">
        <w:rPr>
          <w:rFonts w:ascii="Calibri" w:hAnsi="Calibri" w:cs="Calibri"/>
          <w:vertAlign w:val="superscript"/>
        </w:rPr>
        <w:t>2</w:t>
      </w:r>
      <w:r w:rsidRPr="009512DE">
        <w:rPr>
          <w:rFonts w:ascii="Calibri" w:hAnsi="Calibri" w:cs="Calibri"/>
        </w:rPr>
        <w:t>, Ceth Parker</w:t>
      </w:r>
      <w:r w:rsidRPr="009512DE">
        <w:rPr>
          <w:rFonts w:ascii="Calibri" w:hAnsi="Calibri" w:cs="Calibri"/>
          <w:vertAlign w:val="superscript"/>
        </w:rPr>
        <w:t>2</w:t>
      </w:r>
      <w:r w:rsidRPr="009512DE">
        <w:rPr>
          <w:rFonts w:ascii="Calibri" w:hAnsi="Calibri" w:cs="Calibri"/>
        </w:rPr>
        <w:t xml:space="preserve">, </w:t>
      </w:r>
      <w:r w:rsidR="001A69F7" w:rsidRPr="009512DE">
        <w:rPr>
          <w:rFonts w:ascii="Calibri" w:hAnsi="Calibri" w:cs="Calibri"/>
        </w:rPr>
        <w:t>Julia Tejada</w:t>
      </w:r>
      <w:r w:rsidR="001A69F7" w:rsidRPr="009512DE">
        <w:rPr>
          <w:rFonts w:ascii="Calibri" w:hAnsi="Calibri" w:cs="Calibri"/>
          <w:vertAlign w:val="superscript"/>
        </w:rPr>
        <w:t>1</w:t>
      </w:r>
      <w:r w:rsidR="001A69F7" w:rsidRPr="009512DE">
        <w:rPr>
          <w:rFonts w:ascii="Calibri" w:hAnsi="Calibri" w:cs="Calibri"/>
        </w:rPr>
        <w:t>,</w:t>
      </w:r>
      <w:r w:rsidR="007B129E">
        <w:rPr>
          <w:rFonts w:ascii="Calibri" w:hAnsi="Calibri" w:cs="Calibri"/>
        </w:rPr>
        <w:t xml:space="preserve"> George Rossman</w:t>
      </w:r>
      <w:r w:rsidR="007B129E">
        <w:rPr>
          <w:rFonts w:ascii="Calibri" w:hAnsi="Calibri" w:cs="Calibri"/>
          <w:vertAlign w:val="superscript"/>
        </w:rPr>
        <w:t>1</w:t>
      </w:r>
      <w:r w:rsidR="007B129E">
        <w:rPr>
          <w:rFonts w:ascii="Calibri" w:hAnsi="Calibri" w:cs="Calibri"/>
        </w:rPr>
        <w:t>,</w:t>
      </w:r>
      <w:r w:rsidR="001A69F7" w:rsidRPr="009512DE">
        <w:rPr>
          <w:rFonts w:ascii="Calibri" w:hAnsi="Calibri" w:cs="Calibri"/>
        </w:rPr>
        <w:t xml:space="preserve"> and </w:t>
      </w:r>
      <w:r w:rsidRPr="009512DE">
        <w:rPr>
          <w:rFonts w:ascii="Calibri" w:hAnsi="Calibri" w:cs="Calibri"/>
        </w:rPr>
        <w:t>Francois Tissot</w:t>
      </w:r>
      <w:r w:rsidRPr="009512DE">
        <w:rPr>
          <w:rFonts w:ascii="Calibri" w:hAnsi="Calibri" w:cs="Calibri"/>
          <w:vertAlign w:val="superscript"/>
        </w:rPr>
        <w:t>1</w:t>
      </w:r>
    </w:p>
    <w:p w14:paraId="7D1F9E41" w14:textId="77777777" w:rsidR="003E20F0" w:rsidRDefault="003E20F0" w:rsidP="003F17D2">
      <w:pPr>
        <w:spacing w:line="240" w:lineRule="auto"/>
        <w:jc w:val="both"/>
        <w:rPr>
          <w:rFonts w:ascii="Calibri" w:hAnsi="Calibri" w:cs="Calibri"/>
          <w:b/>
          <w:bCs/>
        </w:rPr>
        <w:sectPr w:rsidR="003E20F0" w:rsidSect="003F17D2">
          <w:pgSz w:w="12240" w:h="15840"/>
          <w:pgMar w:top="1440" w:right="1440" w:bottom="1440" w:left="1440" w:header="720" w:footer="720" w:gutter="0"/>
          <w:cols w:space="720"/>
          <w:docGrid w:linePitch="360"/>
        </w:sectPr>
      </w:pPr>
    </w:p>
    <w:p w14:paraId="01BD732C" w14:textId="0AA3CAAD" w:rsidR="004C40FB" w:rsidRPr="003E20F0" w:rsidRDefault="006A3628" w:rsidP="003F17D2">
      <w:pPr>
        <w:spacing w:line="240" w:lineRule="auto"/>
        <w:jc w:val="both"/>
        <w:rPr>
          <w:rFonts w:ascii="Calibri" w:hAnsi="Calibri" w:cs="Calibri"/>
          <w:b/>
          <w:bCs/>
        </w:rPr>
      </w:pPr>
      <w:r>
        <w:rPr>
          <w:rFonts w:ascii="Calibri" w:hAnsi="Calibri" w:cs="Calibri"/>
          <w:b/>
          <w:bCs/>
        </w:rPr>
        <w:t>Introduction</w:t>
      </w:r>
    </w:p>
    <w:p w14:paraId="2D71C06D" w14:textId="6B93EB39" w:rsidR="003E20F0" w:rsidRDefault="00437750" w:rsidP="003F17D2">
      <w:pPr>
        <w:spacing w:line="240" w:lineRule="auto"/>
        <w:jc w:val="both"/>
        <w:rPr>
          <w:rFonts w:ascii="Calibri" w:hAnsi="Calibri" w:cs="Calibri"/>
        </w:rPr>
      </w:pPr>
      <w:r>
        <w:rPr>
          <w:rFonts w:ascii="Calibri" w:hAnsi="Calibri" w:cs="Calibri"/>
        </w:rPr>
        <w:t>The Wildland-Urban Interface (WUI) is a discreet or gradual transition</w:t>
      </w:r>
      <w:r w:rsidR="001E0D71">
        <w:rPr>
          <w:rFonts w:ascii="Calibri" w:hAnsi="Calibri" w:cs="Calibri"/>
        </w:rPr>
        <w:t xml:space="preserve"> </w:t>
      </w:r>
      <w:r w:rsidR="00662478">
        <w:rPr>
          <w:rFonts w:ascii="Calibri" w:hAnsi="Calibri" w:cs="Calibri"/>
        </w:rPr>
        <w:t xml:space="preserve">in </w:t>
      </w:r>
      <w:r w:rsidR="0056253E">
        <w:rPr>
          <w:rFonts w:ascii="Calibri" w:hAnsi="Calibri" w:cs="Calibri"/>
        </w:rPr>
        <w:t>land cover and land use</w:t>
      </w:r>
      <w:r w:rsidR="00662478">
        <w:rPr>
          <w:rFonts w:ascii="Calibri" w:hAnsi="Calibri" w:cs="Calibri"/>
        </w:rPr>
        <w:t xml:space="preserve"> </w:t>
      </w:r>
      <w:r w:rsidR="001E0D71">
        <w:rPr>
          <w:rFonts w:ascii="Calibri" w:hAnsi="Calibri" w:cs="Calibri"/>
        </w:rPr>
        <w:t>from wildland vegetation</w:t>
      </w:r>
      <w:r>
        <w:rPr>
          <w:rFonts w:ascii="Calibri" w:hAnsi="Calibri" w:cs="Calibri"/>
        </w:rPr>
        <w:t xml:space="preserve"> </w:t>
      </w:r>
      <w:r w:rsidR="001E0D71">
        <w:rPr>
          <w:rFonts w:ascii="Calibri" w:hAnsi="Calibri" w:cs="Calibri"/>
        </w:rPr>
        <w:t xml:space="preserve">to </w:t>
      </w:r>
      <w:r>
        <w:rPr>
          <w:rFonts w:ascii="Calibri" w:hAnsi="Calibri" w:cs="Calibri"/>
        </w:rPr>
        <w:t>the urban</w:t>
      </w:r>
      <w:r w:rsidR="001E0D71">
        <w:rPr>
          <w:rFonts w:ascii="Calibri" w:hAnsi="Calibri" w:cs="Calibri"/>
        </w:rPr>
        <w:t xml:space="preserve"> </w:t>
      </w:r>
      <w:r>
        <w:rPr>
          <w:rFonts w:ascii="Calibri" w:hAnsi="Calibri" w:cs="Calibri"/>
        </w:rPr>
        <w:t>built environment</w:t>
      </w:r>
      <w:r w:rsidR="007C1A38">
        <w:rPr>
          <w:rFonts w:ascii="Calibri" w:hAnsi="Calibri" w:cs="Calibri"/>
        </w:rPr>
        <w:t xml:space="preserve"> </w:t>
      </w:r>
      <w:r w:rsidR="007C1A38">
        <w:rPr>
          <w:rFonts w:ascii="Calibri" w:hAnsi="Calibri" w:cs="Calibri"/>
        </w:rPr>
        <w:fldChar w:fldCharType="begin"/>
      </w:r>
      <w:r w:rsidR="00937AC5">
        <w:rPr>
          <w:rFonts w:ascii="Calibri" w:hAnsi="Calibri" w:cs="Calibri"/>
        </w:rPr>
        <w:instrText xml:space="preserve"> ADDIN ZOTERO_ITEM CSL_CITATION {"citationID":"gCKL8x8u","properties":{"formattedCitation":"\\super 1\\nosupersub{}","plainCitation":"1","noteIndex":0},"citationItems":[{"id":2219,"uris":["http://zotero.org/users/15329994/items/4NJ2KPHJ"],"itemData":{"id":2219,"type":"article-journal","abstract":"The wildland-urban interface (WUI) is the area where houses and wildland vegetation meet or intermingle, and where wildfire problems are most pronounced. Here we report that the WUI in the United States grew rapidly from 1990 to 2010 in terms of both number of new houses (from 30.8 to 43.4 million; 41% growth) and land area (from 581,000 to 770,000 km2; 33% growth), making it the fastest-growing land use type in the conterminous United States. The vast majority of new WUI areas were the result of new housing (97%), not related to an increase in wildland vegetation. Within the perimeter of recent wildfires (1990–2015), there were 286,000 houses in 2010, compared with 177,000 in 1990. Furthermore, WUI growth often results in more wildfire ignitions, putting more lives and houses at risk. Wildfire problems will not abate if recent housing growth trends continue.","container-title":"Proceedings of the National Academy of Sciences","DOI":"10.1073/pnas.1718850115","issue":"13","page":"3314-3319","publisher":"Proceedings of the National Academy of Sciences","source":"pnas.org (Atypon)","title":"Rapid growth of the US wildland-urban interface raises wildfire risk","volume":"115","author":[{"family":"Radeloff","given":"Volker C."},{"family":"Helmers","given":"David P."},{"family":"Kramer","given":"H. Anu"},{"family":"Mockrin","given":"Miranda H."},{"family":"Alexandre","given":"Patricia M."},{"family":"Bar-Massada","given":"Avi"},{"family":"Butsic","given":"Van"},{"family":"Hawbaker","given":"Todd J."},{"family":"Martinuzzi","given":"Sebastián"},{"family":"Syphard","given":"Alexandra D."},{"family":"Stewart","given":"Susan I."}],"issued":{"date-parts":[["2018",3,27]]}}}],"schema":"https://github.com/citation-style-language/schema/raw/master/csl-citation.json"} </w:instrText>
      </w:r>
      <w:r w:rsidR="007C1A38">
        <w:rPr>
          <w:rFonts w:ascii="Calibri" w:hAnsi="Calibri" w:cs="Calibri"/>
        </w:rPr>
        <w:fldChar w:fldCharType="separate"/>
      </w:r>
      <w:r w:rsidR="00937AC5" w:rsidRPr="00937AC5">
        <w:rPr>
          <w:rFonts w:ascii="Calibri" w:hAnsi="Calibri" w:cs="Calibri"/>
          <w:kern w:val="0"/>
          <w:vertAlign w:val="superscript"/>
        </w:rPr>
        <w:t>1</w:t>
      </w:r>
      <w:r w:rsidR="007C1A38">
        <w:rPr>
          <w:rFonts w:ascii="Calibri" w:hAnsi="Calibri" w:cs="Calibri"/>
        </w:rPr>
        <w:fldChar w:fldCharType="end"/>
      </w:r>
      <w:r w:rsidR="001E0D71">
        <w:rPr>
          <w:rFonts w:ascii="Calibri" w:hAnsi="Calibri" w:cs="Calibri"/>
        </w:rPr>
        <w:t xml:space="preserve">. </w:t>
      </w:r>
      <w:r w:rsidR="00BB5B56" w:rsidRPr="00BB5B56">
        <w:rPr>
          <w:rFonts w:ascii="Calibri" w:hAnsi="Calibri" w:cs="Calibri"/>
        </w:rPr>
        <w:t xml:space="preserve">Fires in the WUI are fueled by </w:t>
      </w:r>
      <w:r w:rsidR="003C2A8F">
        <w:rPr>
          <w:rFonts w:ascii="Calibri" w:hAnsi="Calibri" w:cs="Calibri"/>
        </w:rPr>
        <w:t>a</w:t>
      </w:r>
      <w:r w:rsidR="00BB5B56" w:rsidRPr="00BB5B56">
        <w:rPr>
          <w:rFonts w:ascii="Calibri" w:hAnsi="Calibri" w:cs="Calibri"/>
        </w:rPr>
        <w:t xml:space="preserve"> heterogeneous pre-fire mosaic </w:t>
      </w:r>
      <w:r w:rsidR="00A74AC8" w:rsidRPr="00BB5B56">
        <w:rPr>
          <w:rFonts w:ascii="Calibri" w:hAnsi="Calibri" w:cs="Calibri"/>
        </w:rPr>
        <w:t>varying</w:t>
      </w:r>
      <w:r w:rsidR="00BB5B56" w:rsidRPr="00BB5B56">
        <w:rPr>
          <w:rFonts w:ascii="Calibri" w:hAnsi="Calibri" w:cs="Calibri"/>
        </w:rPr>
        <w:t xml:space="preserve"> from evergreen </w:t>
      </w:r>
      <w:r w:rsidR="0056253E">
        <w:rPr>
          <w:rFonts w:ascii="Calibri" w:hAnsi="Calibri" w:cs="Calibri"/>
        </w:rPr>
        <w:t>trees</w:t>
      </w:r>
      <w:r w:rsidR="00BB5B56" w:rsidRPr="00BB5B56">
        <w:rPr>
          <w:rFonts w:ascii="Calibri" w:hAnsi="Calibri" w:cs="Calibri"/>
        </w:rPr>
        <w:t xml:space="preserve"> and chaparral </w:t>
      </w:r>
      <w:r w:rsidR="0056253E">
        <w:rPr>
          <w:rFonts w:ascii="Calibri" w:hAnsi="Calibri" w:cs="Calibri"/>
        </w:rPr>
        <w:t xml:space="preserve">shrub </w:t>
      </w:r>
      <w:r w:rsidR="00BB5B56" w:rsidRPr="00BB5B56">
        <w:rPr>
          <w:rFonts w:ascii="Calibri" w:hAnsi="Calibri" w:cs="Calibri"/>
        </w:rPr>
        <w:t xml:space="preserve">vegetation </w:t>
      </w:r>
      <w:r w:rsidR="0056253E">
        <w:rPr>
          <w:rFonts w:ascii="Calibri" w:hAnsi="Calibri" w:cs="Calibri"/>
        </w:rPr>
        <w:t>land cover types</w:t>
      </w:r>
      <w:r w:rsidR="00BB5B56" w:rsidRPr="00BB5B56">
        <w:rPr>
          <w:rFonts w:ascii="Calibri" w:hAnsi="Calibri" w:cs="Calibri"/>
        </w:rPr>
        <w:t xml:space="preserve"> to manufactured </w:t>
      </w:r>
      <w:r w:rsidR="00BB5B56">
        <w:rPr>
          <w:rFonts w:ascii="Calibri" w:hAnsi="Calibri" w:cs="Calibri"/>
        </w:rPr>
        <w:t xml:space="preserve">wood and other </w:t>
      </w:r>
      <w:r w:rsidR="0056253E">
        <w:rPr>
          <w:rFonts w:ascii="Calibri" w:hAnsi="Calibri" w:cs="Calibri"/>
        </w:rPr>
        <w:t xml:space="preserve">materials in housing </w:t>
      </w:r>
      <w:r w:rsidR="00BB5B56" w:rsidRPr="00BB5B56">
        <w:rPr>
          <w:rFonts w:ascii="Calibri" w:hAnsi="Calibri" w:cs="Calibri"/>
        </w:rPr>
        <w:t>and electronic infrastructure</w:t>
      </w:r>
      <w:r w:rsidR="0056253E">
        <w:rPr>
          <w:rFonts w:ascii="Calibri" w:hAnsi="Calibri" w:cs="Calibri"/>
        </w:rPr>
        <w:t xml:space="preserve"> in urban landscapes</w:t>
      </w:r>
      <w:r w:rsidR="00BB5B56" w:rsidRPr="00BB5B56">
        <w:rPr>
          <w:rFonts w:ascii="Calibri" w:hAnsi="Calibri" w:cs="Calibri"/>
        </w:rPr>
        <w:t>.</w:t>
      </w:r>
      <w:r w:rsidR="003C2A8F">
        <w:rPr>
          <w:rFonts w:ascii="Calibri" w:hAnsi="Calibri" w:cs="Calibri"/>
        </w:rPr>
        <w:t xml:space="preserve"> While non-WUI wildfires are typically fueled only by vegetation combustion, WUI fires can also be fueled by the partial or complete combustion of structures, vehicles, and other anthropogenic fuels that can release toxic compounds like heavy metals into the environment after a fire</w:t>
      </w:r>
      <w:r w:rsidR="004B167B">
        <w:rPr>
          <w:rFonts w:ascii="Calibri" w:hAnsi="Calibri" w:cs="Calibri"/>
        </w:rPr>
        <w:t xml:space="preserve"> </w:t>
      </w:r>
      <w:r w:rsidR="003C2A8F">
        <w:rPr>
          <w:rFonts w:ascii="Calibri" w:hAnsi="Calibri" w:cs="Calibri"/>
        </w:rPr>
        <w:fldChar w:fldCharType="begin"/>
      </w:r>
      <w:r w:rsidR="00937AC5">
        <w:rPr>
          <w:rFonts w:ascii="Calibri" w:hAnsi="Calibri" w:cs="Calibri"/>
        </w:rPr>
        <w:instrText xml:space="preserve"> ADDIN ZOTERO_ITEM CSL_CITATION {"citationID":"E8A2plCh","properties":{"formattedCitation":"\\super 2\\uc0\\u8211{}10\\nosupersub{}","plainCitation":"2–10","noteIndex":0},"citationItems":[{"id":3833,"uris":["http://zotero.org/users/15329994/items/IALBS98U"],"itemData":{"id":3833,"type":"article-journal","abstract":"Natural disasters may be powerful and prominent mechanisms of direct and indirect hazardous material (hazmat) releases. Hazardous materials that are released as the result of a technologic malfunction precipitated by a natural event are referred to as natural-technologic or na-tech events. Na-tech events pose unique environmental and human hazards. Disaster-associated hazardous material releases are of concern, given increases in population density and accelerating industrial development in areas subject to natural disasters. These trends increase the probability of catastrophic future disasters and the potential for mass human exposure to hazardous materials released during disasters. This systematic review summarizes direct and indirect disaster-associated releases, as well as environmental contamination and adverse human health effects that have resulted from natural disaster-related hazmat incidents. Thorough examination of historic disaster-related hazmat releases can be used to identify future threats and improve mitigation and prevention efforts.","container-title":"Science of The Total Environment","DOI":"10.1016/S0048-9697(03)00446-7","ISSN":"0048-9697","issue":"1","journalAbbreviation":"Science of The Total Environment","page":"3-20","source":"ScienceDirect","title":"Natural and technologic hazardous material releases during and after natural disasters: a review","title-short":"Natural and technologic hazardous material releases during and after natural disasters","volume":"322","author":[{"family":"Young","given":"Stacy"},{"family":"Balluz","given":"Lina"},{"family":"Malilay","given":"Josephine"}],"issued":{"date-parts":[["2004",4,25]]}}},{"id":717,"uris":["http://zotero.org/users/15329994/items/SE52464L"],"itemData":{"id":717,"type":"article-journal","abstract":"Wildfires at the wildland-urban interface (WUI) are increasingly common. The impacts of such events are likely distinct from those that occur strictly in wildland areas, as we would expect an elevated likelihood of soil contamination due to the combustion of anthropogenic materials. We evaluated the impacts of a wildfire at the WUI on soil contamination, sampling soils from residential and nonresidential areas located inside and outside the perimeter of the 2021 Marshall Fire in Colorado, USA. We found that fire-affected residential properties had elevated concentrations of some heavy metals (including Zn, Cu, Cr, and Pb), but the concentrations were still below levels of likely concern, and we observed no corresponding increases in concentrations of polycyclic aromatic hydrocarbons (PAHs). The postfire increases in metal concentrations were not generally observed in the nonresidential soils, highlighting the importance of combustion of anthropogenic materials for potential soil contamination from wildfires at the WUI. While soil contamination from the 2021 Marshall Fire was lower than expected, and likely below the threshold of concern for human health, our study highlights some of the challenges that need to be considered when assessing soil contamination after such fires.","container-title":"Environmental Science &amp; Technology","DOI":"10.1021/acs.est.3c08508","ISSN":"0013-936X","issue":"9","journalAbbreviation":"Environ. Sci. Technol.","page":"4326-4333","publisher":"American Chemical Society","source":"ACS Publications","title":"Determination of Soil Contamination at the Wildland-Urban Interface after the 2021 Marshall Fire in Colorado, USA","volume":"58","author":[{"family":"Jech","given":"Sierra"},{"family":"Adamchak","given":"Clifford"},{"family":"Stokes","given":"Sean C."},{"family":"Wiltse","given":"Marin E."},{"family":"Callen","given":"Jessica"},{"family":"VanderRoest","given":"Jacob"},{"family":"Kelly","given":"Eugene F."},{"family":"Hinckley","given":"Eve-Lyn S."},{"family":"Stein","given":"Holly J."},{"family":"Borch","given":"Thomas"},{"family":"Fierer","given":"Noah"}],"issued":{"date-parts":[["2024",3,5]]}}},{"id":780,"uris":["http://zotero.org/users/15329994/items/VKUYLSJQ"],"itemData":{"id":780,"type":"article-journal","abstract":"Wildfires at the wildland–urban interface (WUI) are increasing in frequency and intensity, driven by climate change and anthropogenic ignitions. Few studies have characterized the variability in the metal content in ash generated from burned structures in order to determine the potential risk to human and environmental health. Using inductively coupled plasma optical emission spectroscopy (ICP-OES) and inductively coupled plasma mass spectrometry (ICP-MS), we analyzed leachable trace metal concentration in soils and ash from structures burned by the Marshall Fire, a WUI fire that destroyed over 1000 structures in Boulder County, Colorado. Acid digestion revealed that ash derived from structures contained 22 times more Cu and 3 times more Pb on average than surrounding soils on a mg/kg basis. Ash liberated 12 times more Ni (mg/kg) and twice as much Cr (mg/kg) as soils in a water leach. By comparing the amount of acid-extractable metals to that released by water and simulated epithelial lung fluid (SELF), we estimated their potential for environmental mobility and human bioaccessibility. The SELF leach showed that Cu and Ni were more bioaccessible (mg of leachable metal/mg of acid-extractable metal) in ash than in soils. These results suggest that structure ash is an important source of trace metals that can negatively impact the health of both humans and the environment.","container-title":"Environmental Science &amp; Technology","DOI":"10.1021/acs.est.3c08446","ISSN":"0013-936X","issue":"5","journalAbbreviation":"Environ. Sci. Technol.","page":"2502-2513","source":"ACS Publications","title":"Quantification of Bioaccessible and Environmentally Relevant Trace Metals in Structure Ash from a Wildland–Urban Interface Fire","volume":"58","author":[{"family":"Villarruel","given":"Carmen M."},{"family":"Figueroa","given":"Linda A."},{"family":"Ranville","given":"James F."}],"issued":{"date-parts":[["2024",2,6]]}}},{"id":3797,"uris":["http://zotero.org/users/15329994/items/CFANVQMX"],"itemData":{"id":3797,"type":"article-journal","abstract":"Heavy Metals (HM) in great amounts in soil and water resources can cause coercive effects in the environment and human health. Ash contains high quantities of HM that depend on combusted species, type and part burned and soil characteristics. After a fire, the HM released from ash can lead to a soil solution and water resources contamination. This liberation of HM in solution can be highly variable across the affected area. This work pretends to study the spatial variation of the HM – Aluminium (Al3+), Manganese (Mn2+), Iron (Fe2+) and Zinc (Zn2+) – in a Quercus suber&amp;nbsp;and&amp;nbsp;Pinus pinaster&amp;nbsp;stand affected by a wildfire in Portugal, applying some interpolation methods. The results showed that on average across the plot, Al3+&amp;nbsp;was the HM released in higher quantities and Zn2+&amp;nbsp;in lower. The higher variability was observed in Zn2+&amp;nbsp;and in Fe2+. The interpolation methods assessed showed that polynomial regression (PR) method was the more accurate to predict the distribution of the HM across the plot. Al3+&amp;nbsp;and Mn2+&amp;nbsp;showed a rise in their concentration from south towards north section of the plot, and Fe2+&amp;nbsp;and Zn2+&amp;nbsp;a decrease from northwest to southeast section of the plot. The liberation of Al3+and Mn2+&amp;nbsp;is related with species burning severity, and Fe2+&amp;nbsp;and Zn2+&amp;nbsp;with plot topography. The fire evolution across the plot and the consequent rising temperatures can have higher impacts than burned species in HM spatial variability. Over time, with the decreasing ash pH, HM will become more mobile and will be released in soil solution, with potential coercive effects in the environment.\nPo gaisro iš pelenų išsiskiriančių sunkiųjų metalų erdvinis pasiskirstymas\nSantrauka.&amp;nbsp;Didelės sunkiųjų metalų (SM) koncentracijos dirvožemyje ir vandenyje gali sukelti pavojų aplinkai ir žmogaus sveikatai. Pelenuose aptinkamos didelės SM koncentracijos, kurios priklauso nuo sudegusio medžio rūšies, tipo, sudegusios medžio dalies ir dirvožemio savybių. Po gaisro iš pelenu pasišalinantys SM patenka į dirvožemio tirpalą ir gali sukelti vandens išteklių taršą. SM išsiskyrimas iš pelenu teritorijos plote gali kisti. Darbe taikant interpoliacinius metodus tiriama SM — aliuminio (Al3+), mangano (Mn2+), geležies (Fe2+) ir cinko (Zn2+) ‐ pasiskirstymas teritorijoje po&amp;nbsp;Quercus suber&amp;nbsp;ir&amp;nbsp;Pinus pinaster miško gaisro Portugalijoje. Iš rezultatų matyti, kad nagrinėjamoje teritorijoje vidutiniškai didžiausios koncentracijos pasiskirste Al3+, o mažiausios – Zn2+. Didžiausi koncentracijų pokyčiai buvo būdingi Zn2+&amp;nbsp;ir Fe2+. Iš taikytų interpoliacinių metodų, prognozuojant SM pasiskirstymą teritorijoje, tikslesnis buvo polinominės regresijos metodas. Al3+&amp;nbsp;ir Mn2+ koncentracijų padidėjimas nustatytas iš pietinės teritorijos dalies šiaurinės link, o Fe2+&amp;nbsp;ir Zn2+ – sumažėjimas iš šiaures vakaru dalies pietrytines teritorijos dalies link. Al3+&amp;nbsp;ir Mn2+ išsiskyrimas iš pelenų priklausė nuo gaisro intensyvumo, o Fe2+&amp;nbsp;ir Zn2+ – nuo teritorijos topografijos. Gaisro intensyvumo pokyčiai teritorijoje ir su tuo susijęs temperatūros kilimas gali turėti didesnės įtakos SM pasiskirstymui teritorijoje negu sudegusių medžių rūšys. Laikui begant ir kintant pelenų pH, SM tampa judresni, tad gali patekti į dirvožemio tirpalą, sukelti pavojų aplinkai.\nReikšminiai žodžiai: sunkieji metalai, pelenai, Quercus suber, Pinus pinaster, erdvinė variacija, interpoliacijos metodai.\nРезюме.&amp;nbsp;Большие концентрации тяжелых металлов (ТМ) в почве и воде могут быть oпасны для окружающей среды и здоровья людей. Большие концентрации ТМ, выделяемые после пожара из золы, зависят от вида, типа, части сгоревшего дерева и свойств почвы. ТМ попадают в почву и могут вызвать загрязнение подземных вод. Выделение ТМ из золы на площади территории может меняться. В статье рассматривалось распределение после пожара на территории в Португалии таких тяжелых металлов, как алюминий (Al3+), марганец (Mn2+), железо (Fe2+) ir цинк (Zn2+). С этой целью применялись методы интерполяции. Из результатов анализа видно, что на исследуемой территории в среднем наибольшими были концентрации Al3+, а наименьшими Zn2+. Наибольшим изменениям подвергались концентрации Zn2+ и Fe2+. Из применявшихся методов интерполяции метод полиноминальной регрессии был наиболее точным для прогноза распределения ТМ на территории. Для Al3+ и Mn2+ было характерно увеличение концентраций с южной территории в сторону северной части, а для Fe2+ ir Zn2+ – уменьшение концентраций с северо-западной части в сторону юго-восточной территории. Выделение Al3+ и Mn2+ из золы после пожара зависело от интенсивности пожара, а в случае с Fe2+ и Zn2+ – от топографии территории. Изменение интенсивности пожара на территории и в связи с этим изменение температуры может оказывать бόльшее влияние на распределение ТМ на территории, чем вид сгоревших деревьев. С течением времени и изменением pH золы ТМ становятся более подвижными, могут попадать в подземные воды и тем самым создавать угрозу для окружающей среды.\nКлючевые слова: тяжелые металлы, зола, Quercus suber, Pinus pinaster, пространственная вариация, методы интерполяции.\nFirst Published Online: 14 Oct 2010","container-title":"Journal of Environmental Engineering and Landscape Management","DOI":"10.3846/jeelm.2010.02","ISSN":"1822-4199","issue":"1","language":"en","license":"Copyright (c) 2010 The Author(s). Published by Vilnius Gediminas Technical University.","page":"13-22","source":"journals.vilniustech.lt","title":"Spatial distribution of heavy metals released from ashes after a wildfire","volume":"18","author":[{"family":"Pereira","given":"Paulo"},{"family":"Úbeda","given":"Xavier"}],"issued":{"date-parts":[["2010",3,31]]}}},{"id":3831,"uris":["http://zotero.org/users/15329994/items/YKCT249V"],"itemData":{"id":3831,"type":"article-journal","abstract":"The presence of toxic substances is one of the major causes of degradation of soil quality. Wildfires, besides affecting various chemical, physical, and biological soil properties, produce a mixture of potentially toxic substances which can reach the soil and water bodies and cause harm to these media. This review intends to summarise the current knowledge on the generation by wildfires of potentially toxic substances, their effects on soil organisms, and other associated risks, addressing the effects of fire on metal mobilisation, the pyrolytic production of potentially toxic compounds, and the detoxifying effect of charcoal. Numerous studies ascertained inhibitory effects of ash on seed germination and seedling growth as well as its toxicity to soil and aquatic organisms. Abundant publications addressed the mobilisation of heavy metals and trace elements by fire, including analyses of total concentrations, speciation, availability, and risk of exportation to water bodies. Many publications studied the presence of polycyclic aromatic hydrocarbons (PAH) and other organic pollutants in soils after fire, their composition, decline over time, the risk of contamination of surface and ground waters, and their toxicity to plants, soil, and water organisms. Finally, the review addresses the possible detoxifying role of charcoal in soils affected by fire.","container-title":"Toxics","DOI":"10.3390/toxics10010031","ISSN":"2305-6304","issue":"1","language":"en","license":"http://creativecommons.org/licenses/by/3.0/","page":"31","publisher":"Multidisciplinary Digital Publishing Institute","source":"www.mdpi.com","title":"Potentially Toxic Substances and Associated Risks in Soils Affected by Wildfires: A Review","title-short":"Potentially Toxic Substances and Associated Risks in Soils Affected by Wildfires","volume":"10","author":[{"family":"Fernandez-Marcos","given":"Maria Luisa"}],"issued":{"date-parts":[["2022",1]]}}},{"id":3829,"uris":["http://zotero.org/users/15329994/items/KQ8TGN2D"],"itemData":{"id":3829,"type":"article-journal","abstract":"In the last years, uncontrolled fires are frequently occurring in forest and agricultural areas as an indirect effect of the rising aridity and global warming or caused by intentional illegal burnings. In addition, controlled burning is still largely used by farmers as an agricultural practice in many parts of the world. During fire events, soil can reach very high temperatures at the soil surface, causing dramatic changes of soil properties and elements biogeochemistry. Among soil elements, also potentially toxic elements (PTEs) can be affected by fires, becoming more or less mobile and bioavailable, depending on fire severity and soil characteristics. Such transformations could be particularly relevant in agricultural soils used for crop productions since fire events could modify PTEs speciation and uptake by plants and associated (micro)organisms thus endangering the whole food-chain. In this review, after describing the effects of fire on soil minerals and organic matter, the impact of fires on PTEs distribution and speciation in soils is presented, as well as their influence on soil microorganisms and plants uptake. The most common experimental methods used to simulate fires at the laboratory and field scale are briefly illustrated, and finally the impact that traditional and innovative agricultural practices can have on PTEs availability in burned agricultural soils is discussed in a future research perspective.","container-title":"Chemosphere","DOI":"10.1016/j.chemosphere.2021.130752","ISSN":"0045-6535","journalAbbreviation":"Chemosphere","page":"130752","source":"ScienceDirect","title":"Fire effects on the distribution and bioavailability of potentially toxic elements (PTEs) in agricultural soils","volume":"281","author":[{"family":"Terzano","given":"Roberto"},{"family":"Rascio","given":"Ida"},{"family":"Allegretta","given":"Ignazio"},{"family":"Porfido","given":"Carlo"},{"family":"Spagnuolo","given":"Matteo"},{"family":"Khanghahi","given":"Mohammad Yaghoubi"},{"family":"Crecchio","given":"Carmine"},{"family":"Sakellariadou","given":"Fani"},{"family":"Gattullo","given":"Concetta Eliana"}],"issued":{"date-parts":[["2021",10,1]]}}},{"id":3803,"uris":["http://zotero.org/users/15329994/items/F75E2ITT"],"itemData":{"id":3803,"type":"article-journal","abstract":"Forest fire is a natural disturbance that occurs in many terrestrial ecosystems specifically in the semi-arid environments and is considered to be an important cause of environmental change. Though many causes of fire are identified, including lightning, volcanic eruption, power line sparks, etc., human involvement is the most significant factor. Fire events are able to alter the physical, chemical and biogeochemical properties of the soil and surface materials and are able to release major and trace metals into the environment. This may be more significant in mining-affected and industrial landscapes, where elevated concentrations of metals present in the soil. After the fire event, metals become more mobile due to the increase in soil surface exposure and the mobility associated with ash dispersal. This mobility may increase the bioavailability of the metals, which may generate water quality issues and may contribute to human and environmental health concerns. Even though, the influences of fire on many soil properties are well established, the behaviour of metals with respect to fire is not well investigated. However, a few studies report that major and trace metals include Cd, Cr, Co, Cu, Hg, Mn, Ni, Pb, Zn and As are mobilized after fire with increased concentrations in soil and water resources and this might pose a risk to human health and ecosystems. Climate change may increase the intensity, frequency and areal extend of fire events and hence increase the metal concentrations and their potential health impacts. This paper reviews post-fire (wild fire) mobility of metals in soil common in contaminated forest ecosystems. The human and ecological health risks of these metals are also considered.","container-title":"Water, Air, &amp; Soil Pollution","DOI":"10.1007/s11270-017-3338-0","ISSN":"1573-2932","issue":"5","journalAbbreviation":"Water Air Soil Pollut","language":"en","page":"175","source":"Springer Link","title":"The Unquantified Risk of Post-Fire Metal Concentration in Soil: a Review","title-short":"The Unquantified Risk of Post-Fire Metal Concentration in Soil","volume":"228","author":[{"family":"Abraham","given":"Joji"},{"family":"Dowling","given":"Kim"},{"family":"Florentine","given":"Singarayer"}],"issued":{"date-parts":[["2017",4,11]]}}},{"id":3819,"uris":["http://zotero.org/users/15329994/items/LUTL3A7D"],"itemData":{"id":3819,"type":"article-journal","abstract":"Although metal and metalloid concentrations in wildfire ashes have been documented, the nature and concentrations of incidental nanomaterials (INMs) in wildland-urban interface (WUI) fire ashes have received considerably less attention. In this study, the total metal and metalloid concentrations of 57 vegetation, structural, and vehicle ashes and underlying soils collected at the WUI following the 2020 fire season in northern California — North Complex Fire and LNU Lightning Complex Fire — were determined using inductively coupled plasma-time of flight-mass spectrometry after microwave-assisted acid digestion. The concentrations of Ti, Zn, Cu, Ni, Pb, Sn, Sb, Co, Bi, Cr, Ba, As, Rb, and W are generally higher in structural/vehicle-derived ashes than in vegetation-derived ashes and soils. The concentrations of Ca, Sr, Rb, and Ag increased with increased combustion completeness (e.g., black ash &lt; gray ash &lt; white ash), whereas those of C, N, Zn, Pb, and In decreased with increased combustion completeness. The concentration of anthropogenic Ti — determined by mass balance calculations and shifts in Ti/Nb above the natural background ratios — was highest in vehicle ash (median: 30.8 g kg−1, range: 4.5–41.0 g kg−1) followed by structural ash (median: 5.5 g kg−1, range: of 0–77.4 g kg−1). Various types of carbonaceous INM (e.g., amorphous carbon, turbostratic-like carbon, and carbon associated with zinc oxides) and metal-bearing INMs (e.g., Ti, Cu, Fe, Zn, Mn, Pb, and Cr) with sizes between few nanometers to few hundreds of nanometers were evidenced in ashes using transmission electron microscopy, including energy dispersive X-ray spectroscopy. Overall, this study demonstrates the abundance of a variety of metals and metalloids in the form of INMs in WUI fire ashes. This study also highlights the need for further research into the formation, transformation, reactivity, fate, and effects of INMs during and following fires at the WUI.","container-title":"Journal of Hazardous Materials","DOI":"10.1016/j.jhazmat.2022.130311","ISSN":"0304-3894","journalAbbreviation":"Journal of Hazardous Materials","page":"130311","source":"ScienceDirect","title":"Wildland-urban interface fire ashes as a major source of incidental nanomaterials","volume":"443","author":[{"family":"Alshehri","given":"Talal"},{"family":"Wang","given":"Jingjing"},{"family":"Singerling","given":"Sheryl A."},{"family":"Gigault","given":"Julien"},{"family":"Webster","given":"Jackson P."},{"family":"Matiasek","given":"Sandrine J."},{"family":"Alpers","given":"Charles N."},{"family":"Baalousha","given":"Mohammed"}],"issued":{"date-parts":[["2023",2,5]]}}},{"id":3822,"uris":["http://zotero.org/users/15329994/items/A7LAA5TJ"],"itemData":{"id":3822,"type":"article-journal","abstract":"The results of the assessment of burned residential and wildland areas associated with the July 2018 western Attica wildfire are summarised. The dispersion of major and trace elements in a fire impacted suburban landscape which is adjacent in the north with a Natura 2000 area is evaluated. The dataset includes 35 elements and 27 sampling sites spatially distributed in wildland and residential areas. Field observations and a macroscopic method were applied for investigating the wildfire severity. Statistical and spatial analysis tools were used for data treatment. Major and trace element contents were compared to levels and criteria provided by the United States Environmental Protection Agency, Canadian Council of Ministers of the Environment and Australian Department of Environment and Conservation. Aluminum, As, Co, Fe, Mn, Ni, Sb and Zn concentrations observed in wildfire ash pose potential risk to human health. Median ash concentrations for Al, As, B, Ba, Cd, Cu, Fe, Mn, Ni, Pb, S, Sb, and Zn exceeds the plant–avian–mammalian screening levels in wildland and residential areas. Geogenic or anthropogenic origin of the elements is discussed. The associated health risk on human health and terrestrial ecological receptors (plant, avian, mammalian) is assessed.","container-title":"Environmental Research","DOI":"10.1016/j.envres.2020.109153","ISSN":"0013-9351","journalAbbreviation":"Environmental Research","page":"109153","source":"ScienceDirect","title":"Suburban areas in flames: Dispersion of potentially toxic elements from burned vegetation and buildings. Estimation of the associated ecological and human health risk","title-short":"Suburban areas in flames","volume":"183","author":[{"family":"Alexakis","given":"Dimitrios E."}],"issued":{"date-parts":[["2020",4,1]]}}}],"schema":"https://github.com/citation-style-language/schema/raw/master/csl-citation.json"} </w:instrText>
      </w:r>
      <w:r w:rsidR="003C2A8F">
        <w:rPr>
          <w:rFonts w:ascii="Calibri" w:hAnsi="Calibri" w:cs="Calibri"/>
        </w:rPr>
        <w:fldChar w:fldCharType="separate"/>
      </w:r>
      <w:r w:rsidR="00937AC5" w:rsidRPr="00937AC5">
        <w:rPr>
          <w:rFonts w:ascii="Calibri" w:hAnsi="Calibri" w:cs="Calibri"/>
          <w:kern w:val="0"/>
          <w:vertAlign w:val="superscript"/>
        </w:rPr>
        <w:t>2–10</w:t>
      </w:r>
      <w:r w:rsidR="003C2A8F">
        <w:rPr>
          <w:rFonts w:ascii="Calibri" w:hAnsi="Calibri" w:cs="Calibri"/>
        </w:rPr>
        <w:fldChar w:fldCharType="end"/>
      </w:r>
      <w:r w:rsidR="003C2A8F">
        <w:rPr>
          <w:rFonts w:ascii="Calibri" w:hAnsi="Calibri" w:cs="Calibri"/>
        </w:rPr>
        <w:t>.</w:t>
      </w:r>
      <w:r w:rsidR="00BB5B56">
        <w:rPr>
          <w:rFonts w:ascii="Calibri" w:hAnsi="Calibri" w:cs="Calibri"/>
        </w:rPr>
        <w:t xml:space="preserve"> </w:t>
      </w:r>
      <w:r w:rsidR="00396991">
        <w:rPr>
          <w:rFonts w:ascii="Calibri" w:hAnsi="Calibri" w:cs="Calibri"/>
        </w:rPr>
        <w:t>A recent U.S. National Academies report</w:t>
      </w:r>
      <w:r w:rsidR="0056253E">
        <w:rPr>
          <w:rFonts w:ascii="Calibri" w:hAnsi="Calibri" w:cs="Calibri"/>
        </w:rPr>
        <w:t xml:space="preserve"> highlights the lack of research on the environmental impact of wildfires that occur at the WUI </w:t>
      </w:r>
      <w:r w:rsidR="0056253E">
        <w:rPr>
          <w:rFonts w:ascii="Calibri" w:hAnsi="Calibri" w:cs="Calibri"/>
        </w:rPr>
        <w:fldChar w:fldCharType="begin"/>
      </w:r>
      <w:r w:rsidR="00937AC5">
        <w:rPr>
          <w:rFonts w:ascii="Calibri" w:hAnsi="Calibri" w:cs="Calibri"/>
        </w:rPr>
        <w:instrText xml:space="preserve"> ADDIN ZOTERO_ITEM CSL_CITATION {"citationID":"htYIFevG","properties":{"formattedCitation":"\\super 11\\nosupersub{}","plainCitation":"11","noteIndex":0},"citationItems":[{"id":3639,"uris":["http://zotero.org/users/15329994/items/VPH7JXQB"],"itemData":{"id":3639,"type":"book","DOI":"10.17226/26460","ISBN":"978-0-309-27705-1","language":"en","note":"page: 26460","publisher":"National Academies Press","publisher-place":"Washington, D.C.","source":"DOI.org (Crossref)","title":"The Chemistry of Fires at the Wildland-Urban Interface","URL":"https://www.nationalacademies.org/publications/26460","author":[{"literal":"Committee on the Chemistry of Urban Wildfires"},{"literal":"Board on Chemical Sciences and Technology"},{"literal":"Division on Earth and Life Studies"},{"literal":"National Academies of Sciences, Engineering, and Medicine"}],"accessed":{"date-parts":[["2026",2,12]]},"issued":{"date-parts":[["2022",12,23]]}}}],"schema":"https://github.com/citation-style-language/schema/raw/master/csl-citation.json"} </w:instrText>
      </w:r>
      <w:r w:rsidR="0056253E">
        <w:rPr>
          <w:rFonts w:ascii="Calibri" w:hAnsi="Calibri" w:cs="Calibri"/>
        </w:rPr>
        <w:fldChar w:fldCharType="separate"/>
      </w:r>
      <w:r w:rsidR="00937AC5" w:rsidRPr="00937AC5">
        <w:rPr>
          <w:rFonts w:ascii="Calibri" w:hAnsi="Calibri" w:cs="Calibri"/>
          <w:kern w:val="0"/>
          <w:vertAlign w:val="superscript"/>
        </w:rPr>
        <w:t>11</w:t>
      </w:r>
      <w:r w:rsidR="0056253E">
        <w:rPr>
          <w:rFonts w:ascii="Calibri" w:hAnsi="Calibri" w:cs="Calibri"/>
        </w:rPr>
        <w:fldChar w:fldCharType="end"/>
      </w:r>
      <w:r w:rsidR="0056253E">
        <w:rPr>
          <w:rFonts w:ascii="Calibri" w:hAnsi="Calibri" w:cs="Calibri"/>
        </w:rPr>
        <w:t>.</w:t>
      </w:r>
      <w:r w:rsidR="00396991">
        <w:rPr>
          <w:rFonts w:ascii="Calibri" w:hAnsi="Calibri" w:cs="Calibri"/>
        </w:rPr>
        <w:t xml:space="preserve"> </w:t>
      </w:r>
      <w:r w:rsidR="004F18BF">
        <w:rPr>
          <w:rFonts w:ascii="Calibri" w:hAnsi="Calibri" w:cs="Calibri"/>
        </w:rPr>
        <w:t>Metals concentrated in the pre-fire WUI landscape can become volatilized from combustion at high temperatures, and then condense while adsorbing to ash surfaces during cooling</w:t>
      </w:r>
      <w:r w:rsidR="002A58D7">
        <w:rPr>
          <w:rFonts w:ascii="Calibri" w:hAnsi="Calibri" w:cs="Calibri"/>
        </w:rPr>
        <w:t xml:space="preserve"> </w:t>
      </w:r>
      <w:r w:rsidR="002A58D7">
        <w:rPr>
          <w:rFonts w:ascii="Calibri" w:hAnsi="Calibri" w:cs="Calibri"/>
        </w:rPr>
        <w:fldChar w:fldCharType="begin"/>
      </w:r>
      <w:r w:rsidR="00937AC5">
        <w:rPr>
          <w:rFonts w:ascii="Calibri" w:hAnsi="Calibri" w:cs="Calibri"/>
        </w:rPr>
        <w:instrText xml:space="preserve"> ADDIN ZOTERO_ITEM CSL_CITATION {"citationID":"Kt152gR1","properties":{"formattedCitation":"\\super 12\\nosupersub{}","plainCitation":"12","noteIndex":0},"citationItems":[{"id":3793,"uris":["http://zotero.org/users/15329994/items/8CXRGQB7"],"itemData":{"id":3793,"type":"article-journal","abstract":"Trace metal emissions from coal-fired power plants are largely associated with the fly ash. The work reported here is part of a larger effort to develop a fundamental model for transformation of trace metals in coal to air toxic emissions from coal-fired power plants. Because the time-temperature history of the combustion gases determines the condensation behavior of gaseous species, experimental study of these phenomena require a realistic post-combustion environment. Pilot-scale combustion of a Powder River Basin coal was conducted using realistic post-combustion conditions. Trace element distributions were measured in the submicron fly ash at the inlet to an electrostatic precipitator. Flame temperature had a dramatic impact on the amount of certain trace elements such as As and Se in the submicron ash, indicating that these elements vaporize during the combustion process. The amount of vaporization was not sensitive to coal grind. There is evidence for the reaction of As and Se vapors with the large (supermicron) ash in the post-combustion flue gas via a surface reaction. The correlation between arsenic and calcium in the ash suggests the formation of calcium arsenate. No such correlation was observed between selenium and calcium.","container-title":"Fuel Processing Technology","DOI":"10.1016/S0378-3820(99)00094-6","ISSN":"0378-3820","issue":"2","journalAbbreviation":"Fuel Processing Technology","page":"149-165","source":"ScienceDirect","title":"Pilot scale study of trace element vaporization and condensation during combustion of a pulverized sub-bituminous coal","volume":"63","author":[{"family":"Senior","given":"Constance L."},{"family":"Bool","given":"Lawrence E."},{"family":"Srinivasachar","given":"Srivats"},{"family":"Pease","given":"Benjamin R."},{"family":"Porle","given":"Kjell"}],"issued":{"date-parts":[["2000",4,1]]}}}],"schema":"https://github.com/citation-style-language/schema/raw/master/csl-citation.json"} </w:instrText>
      </w:r>
      <w:r w:rsidR="002A58D7">
        <w:rPr>
          <w:rFonts w:ascii="Calibri" w:hAnsi="Calibri" w:cs="Calibri"/>
        </w:rPr>
        <w:fldChar w:fldCharType="separate"/>
      </w:r>
      <w:r w:rsidR="00937AC5" w:rsidRPr="00937AC5">
        <w:rPr>
          <w:rFonts w:ascii="Calibri" w:hAnsi="Calibri" w:cs="Calibri"/>
          <w:kern w:val="0"/>
          <w:vertAlign w:val="superscript"/>
        </w:rPr>
        <w:t>12</w:t>
      </w:r>
      <w:r w:rsidR="002A58D7">
        <w:rPr>
          <w:rFonts w:ascii="Calibri" w:hAnsi="Calibri" w:cs="Calibri"/>
        </w:rPr>
        <w:fldChar w:fldCharType="end"/>
      </w:r>
      <w:r w:rsidR="002A58D7">
        <w:rPr>
          <w:rFonts w:ascii="Calibri" w:hAnsi="Calibri" w:cs="Calibri"/>
        </w:rPr>
        <w:t xml:space="preserve">. </w:t>
      </w:r>
      <w:r w:rsidR="007140B4">
        <w:rPr>
          <w:rFonts w:ascii="Calibri" w:hAnsi="Calibri" w:cs="Calibri"/>
        </w:rPr>
        <w:t xml:space="preserve">The determining factors of the final contamination potential of wildfire ash include burn severity, fuel type and ash load, along with other factors controlling ash dispersal like post-fire climatic conditions, hydrological surface processes, and the physical characteristics of ash </w:t>
      </w:r>
      <w:r w:rsidR="007140B4">
        <w:rPr>
          <w:rFonts w:ascii="Calibri" w:hAnsi="Calibri" w:cs="Calibri"/>
        </w:rPr>
        <w:fldChar w:fldCharType="begin"/>
      </w:r>
      <w:r w:rsidR="00937AC5">
        <w:rPr>
          <w:rFonts w:ascii="Calibri" w:hAnsi="Calibri" w:cs="Calibri"/>
        </w:rPr>
        <w:instrText xml:space="preserve"> ADDIN ZOTERO_ITEM CSL_CITATION {"citationID":"Gg2pHu4s","properties":{"formattedCitation":"\\super 13\\nosupersub{}","plainCitation":"13","noteIndex":0},"citationItems":[{"id":2894,"uris":["http://zotero.org/users/15329994/items/2CV4EU3V"],"itemData":{"id":2894,"type":"article-journal","abstract":"The mobilisation of potentially harmful chemical constituents in wildfire ash can be a major consequence of wildfires, posing widespread societal risks. Knowledge of wildfire ash chemical composition is crucial to anticipate and mitigate these risks.","container-title":"Environment International","DOI":"10.1016/j.envint.2023.108065","ISSN":"01604120","journalAbbreviation":"Environment International","language":"en","page":"108065","source":"DOI.org (Crossref)","title":"Chemical characteristics of wildfire ash across the globe and their environmental and socio-economic implications","volume":"178","author":[{"family":"Sánchez-García","given":"C."},{"family":"Santín","given":"C."},{"family":"Neris","given":"J."},{"family":"Sigmund","given":"G."},{"family":"Otero","given":"X.L."},{"family":"Manley","given":"J."},{"family":"González-Rodríguez","given":"G."},{"family":"Belcher","given":"C.M."},{"family":"Cerdà","given":"A."},{"family":"Marcotte","given":"A.L."},{"family":"Murphy","given":"S.F."},{"family":"Rhoades","given":"C.C."},{"family":"Sheridan","given":"G."},{"family":"Strydom","given":"T."},{"family":"Robichaud","given":"P.R."},{"family":"Doerr","given":"S.H."}],"issued":{"date-parts":[["2023",8]]}}}],"schema":"https://github.com/citation-style-language/schema/raw/master/csl-citation.json"} </w:instrText>
      </w:r>
      <w:r w:rsidR="007140B4">
        <w:rPr>
          <w:rFonts w:ascii="Calibri" w:hAnsi="Calibri" w:cs="Calibri"/>
        </w:rPr>
        <w:fldChar w:fldCharType="separate"/>
      </w:r>
      <w:r w:rsidR="00937AC5" w:rsidRPr="00937AC5">
        <w:rPr>
          <w:rFonts w:ascii="Calibri" w:hAnsi="Calibri" w:cs="Calibri"/>
          <w:kern w:val="0"/>
          <w:vertAlign w:val="superscript"/>
        </w:rPr>
        <w:t>13</w:t>
      </w:r>
      <w:r w:rsidR="007140B4">
        <w:rPr>
          <w:rFonts w:ascii="Calibri" w:hAnsi="Calibri" w:cs="Calibri"/>
        </w:rPr>
        <w:fldChar w:fldCharType="end"/>
      </w:r>
      <w:r w:rsidR="007140B4">
        <w:rPr>
          <w:rFonts w:ascii="Calibri" w:hAnsi="Calibri" w:cs="Calibri"/>
        </w:rPr>
        <w:t xml:space="preserve">. </w:t>
      </w:r>
      <w:r w:rsidR="002A58D7">
        <w:rPr>
          <w:rFonts w:ascii="Calibri" w:hAnsi="Calibri" w:cs="Calibri"/>
        </w:rPr>
        <w:t>Trace metal concentration in ash is highly dependent on the metal content and overall composition of the burned materials</w:t>
      </w:r>
      <w:r w:rsidR="008A6A1B">
        <w:rPr>
          <w:rFonts w:ascii="Calibri" w:hAnsi="Calibri" w:cs="Calibri"/>
        </w:rPr>
        <w:t xml:space="preserve"> </w:t>
      </w:r>
      <w:r w:rsidR="008A6A1B">
        <w:rPr>
          <w:rFonts w:ascii="Calibri" w:hAnsi="Calibri" w:cs="Calibri"/>
        </w:rPr>
        <w:fldChar w:fldCharType="begin"/>
      </w:r>
      <w:r w:rsidR="00937AC5">
        <w:rPr>
          <w:rFonts w:ascii="Calibri" w:hAnsi="Calibri" w:cs="Calibri"/>
        </w:rPr>
        <w:instrText xml:space="preserve"> ADDIN ZOTERO_ITEM CSL_CITATION {"citationID":"S4g1yVp7","properties":{"formattedCitation":"\\super 5,8,14,15\\nosupersub{}","plainCitation":"5,8,14,15","noteIndex":0},"citationItems":[{"id":3797,"uris":["http://zotero.org/users/15329994/items/CFANVQMX"],"itemData":{"id":3797,"type":"article-journal","abstract":"Heavy Metals (HM) in great amounts in soil and water resources can cause coercive effects in the environment and human health. Ash contains high quantities of HM that depend on combusted species, type and part burned and soil characteristics. After a fire, the HM released from ash can lead to a soil solution and water resources contamination. This liberation of HM in solution can be highly variable across the affected area. This work pretends to study the spatial variation of the HM – Aluminium (Al3+), Manganese (Mn2+), Iron (Fe2+) and Zinc (Zn2+) – in a Quercus suber&amp;nbsp;and&amp;nbsp;Pinus pinaster&amp;nbsp;stand affected by a wildfire in Portugal, applying some interpolation methods. The results showed that on average across the plot, Al3+&amp;nbsp;was the HM released in higher quantities and Zn2+&amp;nbsp;in lower. The higher variability was observed in Zn2+&amp;nbsp;and in Fe2+. The interpolation methods assessed showed that polynomial regression (PR) method was the more accurate to predict the distribution of the HM across the plot. Al3+&amp;nbsp;and Mn2+&amp;nbsp;showed a rise in their concentration from south towards north section of the plot, and Fe2+&amp;nbsp;and Zn2+&amp;nbsp;a decrease from northwest to southeast section of the plot. The liberation of Al3+and Mn2+&amp;nbsp;is related with species burning severity, and Fe2+&amp;nbsp;and Zn2+&amp;nbsp;with plot topography. The fire evolution across the plot and the consequent rising temperatures can have higher impacts than burned species in HM spatial variability. Over time, with the decreasing ash pH, HM will become more mobile and will be released in soil solution, with potential coercive effects in the environment.\nPo gaisro iš pelenų išsiskiriančių sunkiųjų metalų erdvinis pasiskirstymas\nSantrauka.&amp;nbsp;Didelės sunkiųjų metalų (SM) koncentracijos dirvožemyje ir vandenyje gali sukelti pavojų aplinkai ir žmogaus sveikatai. Pelenuose aptinkamos didelės SM koncentracijos, kurios priklauso nuo sudegusio medžio rūšies, tipo, sudegusios medžio dalies ir dirvožemio savybių. Po gaisro iš pelenu pasišalinantys SM patenka į dirvožemio tirpalą ir gali sukelti vandens išteklių taršą. SM išsiskyrimas iš pelenu teritorijos plote gali kisti. Darbe taikant interpoliacinius metodus tiriama SM — aliuminio (Al3+), mangano (Mn2+), geležies (Fe2+) ir cinko (Zn2+) ‐ pasiskirstymas teritorijoje po&amp;nbsp;Quercus suber&amp;nbsp;ir&amp;nbsp;Pinus pinaster miško gaisro Portugalijoje. Iš rezultatų matyti, kad nagrinėjamoje teritorijoje vidutiniškai didžiausios koncentracijos pasiskirste Al3+, o mažiausios – Zn2+. Didžiausi koncentracijų pokyčiai buvo būdingi Zn2+&amp;nbsp;ir Fe2+. Iš taikytų interpoliacinių metodų, prognozuojant SM pasiskirstymą teritorijoje, tikslesnis buvo polinominės regresijos metodas. Al3+&amp;nbsp;ir Mn2+ koncentracijų padidėjimas nustatytas iš pietinės teritorijos dalies šiaurinės link, o Fe2+&amp;nbsp;ir Zn2+ – sumažėjimas iš šiaures vakaru dalies pietrytines teritorijos dalies link. Al3+&amp;nbsp;ir Mn2+ išsiskyrimas iš pelenų priklausė nuo gaisro intensyvumo, o Fe2+&amp;nbsp;ir Zn2+ – nuo teritorijos topografijos. Gaisro intensyvumo pokyčiai teritorijoje ir su tuo susijęs temperatūros kilimas gali turėti didesnės įtakos SM pasiskirstymui teritorijoje negu sudegusių medžių rūšys. Laikui begant ir kintant pelenų pH, SM tampa judresni, tad gali patekti į dirvožemio tirpalą, sukelti pavojų aplinkai.\nReikšminiai žodžiai: sunkieji metalai, pelenai, Quercus suber, Pinus pinaster, erdvinė variacija, interpoliacijos metodai.\nРезюме.&amp;nbsp;Большие концентрации тяжелых металлов (ТМ) в почве и воде могут быть oпасны для окружающей среды и здоровья людей. Большие концентрации ТМ, выделяемые после пожара из золы, зависят от вида, типа, части сгоревшего дерева и свойств почвы. ТМ попадают в почву и могут вызвать загрязнение подземных вод. Выделение ТМ из золы на площади территории может меняться. В статье рассматривалось распределение после пожара на территории в Португалии таких тяжелых металлов, как алюминий (Al3+), марганец (Mn2+), железо (Fe2+) ir цинк (Zn2+). С этой целью применялись методы интерполяции. Из результатов анализа видно, что на исследуемой территории в среднем наибольшими были концентрации Al3+, а наименьшими Zn2+. Наибольшим изменениям подвергались концентрации Zn2+ и Fe2+. Из применявшихся методов интерполяции метод полиноминальной регрессии был наиболее точным для прогноза распределения ТМ на территории. Для Al3+ и Mn2+ было характерно увеличение концентраций с южной территории в сторону северной части, а для Fe2+ ir Zn2+ – уменьшение концентраций с северо-западной части в сторону юго-восточной территории. Выделение Al3+ и Mn2+ из золы после пожара зависело от интенсивности пожара, а в случае с Fe2+ и Zn2+ – от топографии территории. Изменение интенсивности пожара на территории и в связи с этим изменение температуры может оказывать бόльшее влияние на распределение ТМ на территории, чем вид сгоревших деревьев. С течением времени и изменением pH золы ТМ становятся более подвижными, могут попадать в подземные воды и тем самым создавать угрозу для окружающей среды.\nКлючевые слова: тяжелые металлы, зола, Quercus suber, Pinus pinaster, пространственная вариация, методы интерполяции.\nFirst Published Online: 14 Oct 2010","container-title":"Journal of Environmental Engineering and Landscape Management","DOI":"10.3846/jeelm.2010.02","ISSN":"1822-4199","issue":"1","language":"en","license":"Copyright (c) 2010 The Author(s). Published by Vilnius Gediminas Technical University.","page":"13-22","source":"journals.vilniustech.lt","title":"Spatial distribution of heavy metals released from ashes after a wildfire","volume":"18","author":[{"family":"Pereira","given":"Paulo"},{"family":"Úbeda","given":"Xavier"}],"issued":{"date-parts":[["2010",3,31]]}}},{"id":3801,"uris":["http://zotero.org/users/15329994/items/ZI9IG6YB"],"itemData":{"id":3801,"type":"article-journal","abstract":"Chemical and physical properties are important in the development of processes for the disposal and utilization of wood ash. Ash yield was seen to decrease by approximately 45% as the combustion temperature increased from 538 to 1093°C. Potassium, sodium, zinc and carbonate content decreased with temperature, whereas other metal ions remained constant or increased. Wood ash leachate contained 92% hydroxide and 8% carbonate. The rate of ash leaching was rapid in an orbital shaker, and approximately 60% of the total potassium and sodium dissolved. The total dissolved solids increased by 500% as the pH decreased from 13 to 5. The ash had an average particle size of 230 μm. Scanning electron micrographs showed large porous carbon particles and inorganic particles which reacted with water to form clusters of rosettes. X-ray diffraction patterns suggested that calcium silicate hydrate may be responsible for some of the swelling that occurs when ash and water react.","container-title":"Bioresource Technology","DOI":"10.1016/0960-8524(91)90207-Z","ISSN":"0960-8524","issue":"2","journalAbbreviation":"Bioresource Technology","page":"173-178","source":"ScienceDirect","title":"Physical and chemical characteristics of wood ash","volume":"37","author":[{"family":"Etiégni","given":"L."},{"family":"Campbell","given":"A. G."}],"issued":{"date-parts":[["1991",1,1]]}}},{"id":3803,"uris":["http://zotero.org/users/15329994/items/F75E2ITT"],"itemData":{"id":3803,"type":"article-journal","abstract":"Forest fire is a natural disturbance that occurs in many terrestrial ecosystems specifically in the semi-arid environments and is considered to be an important cause of environmental change. Though many causes of fire are identified, including lightning, volcanic eruption, power line sparks, etc., human involvement is the most significant factor. Fire events are able to alter the physical, chemical and biogeochemical properties of the soil and surface materials and are able to release major and trace metals into the environment. This may be more significant in mining-affected and industrial landscapes, where elevated concentrations of metals present in the soil. After the fire event, metals become more mobile due to the increase in soil surface exposure and the mobility associated with ash dispersal. This mobility may increase the bioavailability of the metals, which may generate water quality issues and may contribute to human and environmental health concerns. Even though, the influences of fire on many soil properties are well established, the behaviour of metals with respect to fire is not well investigated. However, a few studies report that major and trace metals include Cd, Cr, Co, Cu, Hg, Mn, Ni, Pb, Zn and As are mobilized after fire with increased concentrations in soil and water resources and this might pose a risk to human health and ecosystems. Climate change may increase the intensity, frequency and areal extend of fire events and hence increase the metal concentrations and their potential health impacts. This paper reviews post-fire (wild fire) mobility of metals in soil common in contaminated forest ecosystems. The human and ecological health risks of these metals are also considered.","container-title":"Water, Air, &amp; Soil Pollution","DOI":"10.1007/s11270-017-3338-0","ISSN":"1573-2932","issue":"5","journalAbbreviation":"Water Air Soil Pollut","language":"en","page":"175","source":"Springer Link","title":"The Unquantified Risk of Post-Fire Metal Concentration in Soil: a Review","title-short":"The Unquantified Risk of Post-Fire Metal Concentration in Soil","volume":"228","author":[{"family":"Abraham","given":"Joji"},{"family":"Dowling","given":"Kim"},{"family":"Florentine","given":"Singarayer"}],"issued":{"date-parts":[["2017",4,11]]}}},{"id":3804,"uris":["http://zotero.org/users/15329994/items/WNTWFVNA"],"itemData":{"id":3804,"type":"article-journal","abstract":"Wildfires can play an important role in the environmental distribution of major and trace elements, including through their mobilization by fire-induced runoff and associated transport of soil and ash particles. In particular, fire-induced inputs of these elements into the environment are relevant due to their toxicity and environmental persistence. This study aimed to evaluate the role of wildfire and time-since-fire on the redistribution of major and trace elements, which is a topic poorly documented. To this end, levels of V, Mn, Co, Ni, Cu, Cd and Pb were assessed in soil and ash samples collected immediately following a wildfire in north-central Portugal as well as 4 (after the first post-fire rainfall events), 8 and 15months later. The role of forest type was determined by sampling burnt eucalypt and pine plantations. The main findings of this study were the following: (1) levels of V, Mn, Ni, Cd and Pb were consistently higher in the burnt than unburnt soils, while levels of Co and Cu revealed no differences; (2) time-since-fire affected major and trace elements in three different ways: concentrations of Mn and Cd declined abruptly after the first rainfall events while levels of V, Co and Ni increased during the first 8months and levels of Cu and Pb hardly changed during the study period; (3) all studied elements revealed peak concentrations in the ashes immediately after the fire, which then declined sharply four months later; (4) levels of Co and Ni soils and ashes were higher at the pine plantations than at the eucalypt plantations. This study highlighted the role of wildfire in enhancing levels of major and trace elements in ashes and topsoil of forest plantations and their mobilization within the first year after fire, pointing towards recently burnt forest areas as a potential source of environmental contamination.","container-title":"Science of The Total Environment","DOI":"10.1016/j.scitotenv.2016.01.190","ISSN":"0048-9697","journalAbbreviation":"Science of The Total Environment","page":"1363-1376","source":"ScienceDirect","title":"Major and trace elements in soils and ashes of eucalypt and pine forest plantations in Portugal following a wildfire","volume":"572","author":[{"family":"Campos","given":"Isabel"},{"family":"Abrantes","given":"Nelson"},{"family":"Keizer","given":"Jan Jacob"},{"family":"Vale","given":"Carlos"},{"family":"Pereira","given":"Patrícia"}],"issued":{"date-parts":[["2016",12,1]]}}}],"schema":"https://github.com/citation-style-language/schema/raw/master/csl-citation.json"} </w:instrText>
      </w:r>
      <w:r w:rsidR="008A6A1B">
        <w:rPr>
          <w:rFonts w:ascii="Calibri" w:hAnsi="Calibri" w:cs="Calibri"/>
        </w:rPr>
        <w:fldChar w:fldCharType="separate"/>
      </w:r>
      <w:r w:rsidR="00937AC5" w:rsidRPr="00937AC5">
        <w:rPr>
          <w:rFonts w:ascii="Calibri" w:hAnsi="Calibri" w:cs="Calibri"/>
          <w:kern w:val="0"/>
          <w:vertAlign w:val="superscript"/>
        </w:rPr>
        <w:t>5,8,14,15</w:t>
      </w:r>
      <w:r w:rsidR="008A6A1B">
        <w:rPr>
          <w:rFonts w:ascii="Calibri" w:hAnsi="Calibri" w:cs="Calibri"/>
        </w:rPr>
        <w:fldChar w:fldCharType="end"/>
      </w:r>
      <w:r w:rsidR="002A58D7">
        <w:rPr>
          <w:rFonts w:ascii="Calibri" w:hAnsi="Calibri" w:cs="Calibri"/>
        </w:rPr>
        <w:t xml:space="preserve">. </w:t>
      </w:r>
      <w:r w:rsidR="008C2E10">
        <w:rPr>
          <w:rFonts w:ascii="Calibri" w:hAnsi="Calibri" w:cs="Calibri"/>
        </w:rPr>
        <w:t>For example, the</w:t>
      </w:r>
      <w:r w:rsidR="00B31919">
        <w:rPr>
          <w:rFonts w:ascii="Calibri" w:hAnsi="Calibri" w:cs="Calibri"/>
        </w:rPr>
        <w:t xml:space="preserve"> pre-1978</w:t>
      </w:r>
      <w:r w:rsidR="008C2E10">
        <w:rPr>
          <w:rFonts w:ascii="Calibri" w:hAnsi="Calibri" w:cs="Calibri"/>
        </w:rPr>
        <w:t xml:space="preserve"> </w:t>
      </w:r>
      <w:r w:rsidR="00B31919">
        <w:rPr>
          <w:rFonts w:ascii="Calibri" w:hAnsi="Calibri" w:cs="Calibri"/>
        </w:rPr>
        <w:t>legacy of lead-based paint increases the risk of older structures</w:t>
      </w:r>
      <w:r w:rsidR="007140B4">
        <w:rPr>
          <w:rFonts w:ascii="Calibri" w:hAnsi="Calibri" w:cs="Calibri"/>
        </w:rPr>
        <w:t xml:space="preserve"> in a pre-fire WUI</w:t>
      </w:r>
      <w:r w:rsidR="00B31919">
        <w:rPr>
          <w:rFonts w:ascii="Calibri" w:hAnsi="Calibri" w:cs="Calibri"/>
        </w:rPr>
        <w:t xml:space="preserve"> to </w:t>
      </w:r>
      <w:r w:rsidR="00C509A3">
        <w:rPr>
          <w:rFonts w:ascii="Calibri" w:hAnsi="Calibri" w:cs="Calibri"/>
        </w:rPr>
        <w:t>increase</w:t>
      </w:r>
      <w:r w:rsidR="005E7A4C">
        <w:rPr>
          <w:rFonts w:ascii="Calibri" w:hAnsi="Calibri" w:cs="Calibri"/>
        </w:rPr>
        <w:t xml:space="preserve"> the total emissions and spatial distribution of those emissions</w:t>
      </w:r>
      <w:r w:rsidR="00C509A3">
        <w:rPr>
          <w:rFonts w:ascii="Calibri" w:hAnsi="Calibri" w:cs="Calibri"/>
        </w:rPr>
        <w:t xml:space="preserve"> after a fire</w:t>
      </w:r>
      <w:r w:rsidR="005E7A4C">
        <w:rPr>
          <w:rFonts w:ascii="Calibri" w:hAnsi="Calibri" w:cs="Calibri"/>
        </w:rPr>
        <w:t xml:space="preserve"> </w:t>
      </w:r>
      <w:r w:rsidR="005E7A4C">
        <w:rPr>
          <w:rFonts w:ascii="Calibri" w:hAnsi="Calibri" w:cs="Calibri"/>
        </w:rPr>
        <w:fldChar w:fldCharType="begin"/>
      </w:r>
      <w:r w:rsidR="00937AC5">
        <w:rPr>
          <w:rFonts w:ascii="Calibri" w:hAnsi="Calibri" w:cs="Calibri"/>
        </w:rPr>
        <w:instrText xml:space="preserve"> ADDIN ZOTERO_ITEM CSL_CITATION {"citationID":"OZ92qRp6","properties":{"formattedCitation":"\\super 16\\nosupersub{}","plainCitation":"16","noteIndex":0},"citationItems":[{"id":3527,"uris":["http://zotero.org/users/15329994/items/4J3I6ZFS"],"itemData":{"id":3527,"type":"article-journal","abstract":"The Eaton and Palisades fires in the Los Angeles area in January 2025 occurred at the Wildland Urban Interface (WUI) consuming structures, vehicles and vegetation. Structures and vehicles accounted for 67% and 62% of the estimated fuel loadings (1.60 × 108 kg and 2.65 × 108 kg), and vegetation accounted for 33% and 38% of the fuel loadings (8.00 × 107 kg and 1.63 × 108 kg) in the Eaton and Palisades burn zones, respectively. Fuel loading inventories were aggregated into 100 m × 100 m grid cells throughout the burn regions, with fuel loadings in individual grid cells ranging from 0 to 2.85 × 104 kg for vegetation and 0 to 1.4 × 106 kg for structures and vehicles. Temporal allocations of the fuel consumed were derived from initiation and duration estimates of the fires based on satellite data, augmented by local reporting. Emissions from the combustion of the fuels were estimated based on multiple emission factor approaches. A base case emission inventory was constructed using average emission factors for structures and vehicles and a widely used tool (Bluesky) for estimating emissions from combustion of vegetation in wildland fires. Alternative emission inventories can be constructed based on more detailed emission factors. As a case study, structures constructed before and after 1978 were given different emission factors for Pb, reflecting different estimated loadings of lead paint based on structure age.","container-title":"ACS ES&amp;T Air","DOI":"10.1021/acsestair.5c00287","journalAbbreviation":"ACS EST Air","publisher":"American Chemical Society","source":"ACS Publications","title":"Fine Spatial and Temporal Scale Fuel and Emissions Inventories for the Eaton and Palisades Wildland Urban Interface (WUI) Fires","URL":"https://doi.org/10.1021/acsestair.5c00287","author":[{"family":"Schissel","given":"Colette"},{"family":"Meyer","given":"Morgan"},{"family":"Thompson","given":"Emanuel"},{"family":"Kimura","given":"Yosuke"},{"family":"Stokes","given":"Shannon"},{"family":"Kleeman","given":"Michael J."},{"family":"Raffuse","given":"Sean"},{"family":"Allen","given":"David T."}],"accessed":{"date-parts":[["2025",12,11]]},"issued":{"date-parts":[["2025",12,5]]}}}],"schema":"https://github.com/citation-style-language/schema/raw/master/csl-citation.json"} </w:instrText>
      </w:r>
      <w:r w:rsidR="005E7A4C">
        <w:rPr>
          <w:rFonts w:ascii="Calibri" w:hAnsi="Calibri" w:cs="Calibri"/>
        </w:rPr>
        <w:fldChar w:fldCharType="separate"/>
      </w:r>
      <w:r w:rsidR="00937AC5" w:rsidRPr="00937AC5">
        <w:rPr>
          <w:rFonts w:ascii="Calibri" w:hAnsi="Calibri" w:cs="Calibri"/>
          <w:kern w:val="0"/>
          <w:vertAlign w:val="superscript"/>
        </w:rPr>
        <w:t>16</w:t>
      </w:r>
      <w:r w:rsidR="005E7A4C">
        <w:rPr>
          <w:rFonts w:ascii="Calibri" w:hAnsi="Calibri" w:cs="Calibri"/>
        </w:rPr>
        <w:fldChar w:fldCharType="end"/>
      </w:r>
      <w:r w:rsidR="005E7A4C">
        <w:rPr>
          <w:rFonts w:ascii="Calibri" w:hAnsi="Calibri" w:cs="Calibri"/>
        </w:rPr>
        <w:t xml:space="preserve">. Few studies have focused on metal concentrations in </w:t>
      </w:r>
      <w:r w:rsidR="007140B4">
        <w:rPr>
          <w:rFonts w:ascii="Calibri" w:hAnsi="Calibri" w:cs="Calibri"/>
        </w:rPr>
        <w:t xml:space="preserve">outdoor </w:t>
      </w:r>
      <w:r w:rsidR="005E7A4C">
        <w:rPr>
          <w:rFonts w:ascii="Calibri" w:hAnsi="Calibri" w:cs="Calibri"/>
        </w:rPr>
        <w:t>ash from WUI fires, which often burn older structure</w:t>
      </w:r>
      <w:r w:rsidR="00C623AE">
        <w:rPr>
          <w:rFonts w:ascii="Calibri" w:hAnsi="Calibri" w:cs="Calibri"/>
        </w:rPr>
        <w:t>s</w:t>
      </w:r>
      <w:r w:rsidR="005E7A4C">
        <w:rPr>
          <w:rFonts w:ascii="Calibri" w:hAnsi="Calibri" w:cs="Calibri"/>
        </w:rPr>
        <w:t>.</w:t>
      </w:r>
    </w:p>
    <w:p w14:paraId="00953E19" w14:textId="34D471E4" w:rsidR="003F17D2" w:rsidRDefault="00C623AE" w:rsidP="0013469A">
      <w:pPr>
        <w:spacing w:line="240" w:lineRule="auto"/>
        <w:ind w:firstLine="720"/>
        <w:jc w:val="both"/>
        <w:rPr>
          <w:rFonts w:ascii="Calibri" w:hAnsi="Calibri" w:cs="Calibri"/>
        </w:rPr>
      </w:pPr>
      <w:r>
        <w:rPr>
          <w:rFonts w:ascii="Calibri" w:hAnsi="Calibri" w:cs="Calibri"/>
        </w:rPr>
        <w:t xml:space="preserve">The Eaton Fire, a WUI fire in Los Angeles County, was the second most destructive fire in California’s history and destroyed over 9,000 structures in the foothill communities of the San Gabriel Mountains including Altadena, Kinneloa Mesa, and Sierra Madre. The fire </w:t>
      </w:r>
      <w:r w:rsidR="00A83889">
        <w:rPr>
          <w:rFonts w:ascii="Calibri" w:hAnsi="Calibri" w:cs="Calibri"/>
        </w:rPr>
        <w:t>ignited on the evening of January 7, 2025, and exploded to more than 10,600 acres by the next day with most of the catastrophic damage occurring in the first 36 hours</w:t>
      </w:r>
      <w:r w:rsidR="007140B4">
        <w:rPr>
          <w:rFonts w:ascii="Calibri" w:hAnsi="Calibri" w:cs="Calibri"/>
        </w:rPr>
        <w:t xml:space="preserve"> </w:t>
      </w:r>
      <w:r w:rsidR="007140B4">
        <w:rPr>
          <w:rFonts w:ascii="Calibri" w:hAnsi="Calibri" w:cs="Calibri"/>
        </w:rPr>
        <w:fldChar w:fldCharType="begin"/>
      </w:r>
      <w:r w:rsidR="00937AC5">
        <w:rPr>
          <w:rFonts w:ascii="Calibri" w:hAnsi="Calibri" w:cs="Calibri"/>
        </w:rPr>
        <w:instrText xml:space="preserve"> ADDIN ZOTERO_ITEM CSL_CITATION {"citationID":"2kEksRr5","properties":{"formattedCitation":"\\super 17\\nosupersub{}","plainCitation":"17","noteIndex":0},"citationItems":[{"id":3835,"uris":["http://zotero.org/users/15329994/items/MPPQTA2R"],"itemData":{"id":3835,"type":"report","title":"Eaton Fire Incident Report","author":[{"literal":"CAL FIRE"}],"issued":{"date-parts":[["2025"]]}}}],"schema":"https://github.com/citation-style-language/schema/raw/master/csl-citation.json"} </w:instrText>
      </w:r>
      <w:r w:rsidR="007140B4">
        <w:rPr>
          <w:rFonts w:ascii="Calibri" w:hAnsi="Calibri" w:cs="Calibri"/>
        </w:rPr>
        <w:fldChar w:fldCharType="separate"/>
      </w:r>
      <w:r w:rsidR="00937AC5" w:rsidRPr="00937AC5">
        <w:rPr>
          <w:rFonts w:ascii="Calibri" w:hAnsi="Calibri" w:cs="Calibri"/>
          <w:kern w:val="0"/>
          <w:vertAlign w:val="superscript"/>
        </w:rPr>
        <w:t>17</w:t>
      </w:r>
      <w:r w:rsidR="007140B4">
        <w:rPr>
          <w:rFonts w:ascii="Calibri" w:hAnsi="Calibri" w:cs="Calibri"/>
        </w:rPr>
        <w:fldChar w:fldCharType="end"/>
      </w:r>
      <w:r w:rsidR="00A83889">
        <w:rPr>
          <w:rFonts w:ascii="Calibri" w:hAnsi="Calibri" w:cs="Calibri"/>
        </w:rPr>
        <w:t>. An unusually extreme Santa Ana wind event forecasted by the National Weather Society realized sustained winds above 90 MPH and wind gusts over 110 MPH descending from the canyons</w:t>
      </w:r>
      <w:r w:rsidR="00CB644D">
        <w:rPr>
          <w:rFonts w:ascii="Calibri" w:hAnsi="Calibri" w:cs="Calibri"/>
        </w:rPr>
        <w:fldChar w:fldCharType="begin"/>
      </w:r>
      <w:r w:rsidR="00937AC5">
        <w:rPr>
          <w:rFonts w:ascii="Calibri" w:hAnsi="Calibri" w:cs="Calibri"/>
        </w:rPr>
        <w:instrText xml:space="preserve"> ADDIN ZOTERO_ITEM CSL_CITATION {"citationID":"ATHxXbMK","properties":{"formattedCitation":"\\super 18\\nosupersub{}","plainCitation":"18","noteIndex":0},"citationItems":[{"id":3836,"uris":["http://zotero.org/users/15329994/items/YVUDYT44"],"itemData":{"id":3836,"type":"report","title":"Wind Event Advisory","author":[{"literal":"National Weather Service"}],"issued":{"date-parts":[["2025"]]}}}],"schema":"https://github.com/citation-style-language/schema/raw/master/csl-citation.json"} </w:instrText>
      </w:r>
      <w:r w:rsidR="00CB644D">
        <w:rPr>
          <w:rFonts w:ascii="Calibri" w:hAnsi="Calibri" w:cs="Calibri"/>
        </w:rPr>
        <w:fldChar w:fldCharType="separate"/>
      </w:r>
      <w:r w:rsidR="00937AC5" w:rsidRPr="00937AC5">
        <w:rPr>
          <w:rFonts w:ascii="Calibri" w:hAnsi="Calibri" w:cs="Calibri"/>
          <w:kern w:val="0"/>
          <w:vertAlign w:val="superscript"/>
        </w:rPr>
        <w:t>18</w:t>
      </w:r>
      <w:r w:rsidR="00CB644D">
        <w:rPr>
          <w:rFonts w:ascii="Calibri" w:hAnsi="Calibri" w:cs="Calibri"/>
        </w:rPr>
        <w:fldChar w:fldCharType="end"/>
      </w:r>
      <w:r w:rsidR="00A83889">
        <w:rPr>
          <w:rFonts w:ascii="Calibri" w:hAnsi="Calibri" w:cs="Calibri"/>
        </w:rPr>
        <w:t xml:space="preserve">. No progress on containment was reported until January 12 as the fire perimeter expanded northward into the San Gabriel Mountains. The Eaton Fire </w:t>
      </w:r>
      <w:r>
        <w:rPr>
          <w:rFonts w:ascii="Calibri" w:hAnsi="Calibri" w:cs="Calibri"/>
        </w:rPr>
        <w:t xml:space="preserve">lasted 24 days (January 7-31, 2025) </w:t>
      </w:r>
      <w:r w:rsidR="000D0291">
        <w:rPr>
          <w:rFonts w:ascii="Calibri" w:hAnsi="Calibri" w:cs="Calibri"/>
        </w:rPr>
        <w:t xml:space="preserve">and burned </w:t>
      </w:r>
      <w:r w:rsidR="00BD0EC8">
        <w:rPr>
          <w:rFonts w:ascii="Calibri" w:hAnsi="Calibri" w:cs="Calibri"/>
        </w:rPr>
        <w:t>an area larger than</w:t>
      </w:r>
      <w:r w:rsidR="000D0291">
        <w:rPr>
          <w:rFonts w:ascii="Calibri" w:hAnsi="Calibri" w:cs="Calibri"/>
        </w:rPr>
        <w:t xml:space="preserve"> 14,000 acres</w:t>
      </w:r>
      <w:r w:rsidR="00A83889">
        <w:rPr>
          <w:rFonts w:ascii="Calibri" w:hAnsi="Calibri" w:cs="Calibri"/>
        </w:rPr>
        <w:t xml:space="preserve"> leading to an estimated $27.5 billion USD in damages</w:t>
      </w:r>
      <w:r w:rsidR="000D0291">
        <w:rPr>
          <w:rFonts w:ascii="Calibri" w:hAnsi="Calibri" w:cs="Calibri"/>
        </w:rPr>
        <w:t xml:space="preserve">. </w:t>
      </w:r>
      <w:r w:rsidR="003F17D2">
        <w:rPr>
          <w:rFonts w:ascii="Calibri" w:hAnsi="Calibri" w:cs="Calibri"/>
        </w:rPr>
        <w:t xml:space="preserve"> </w:t>
      </w:r>
    </w:p>
    <w:p w14:paraId="484018B4" w14:textId="5E007C2B" w:rsidR="003F17D2" w:rsidRDefault="005F5ED8" w:rsidP="003F17D2">
      <w:pPr>
        <w:spacing w:line="240" w:lineRule="auto"/>
        <w:ind w:firstLine="720"/>
        <w:jc w:val="both"/>
        <w:rPr>
          <w:rFonts w:ascii="Calibri" w:hAnsi="Calibri" w:cs="Calibri"/>
        </w:rPr>
      </w:pPr>
      <w:r>
        <w:rPr>
          <w:rFonts w:ascii="Calibri" w:hAnsi="Calibri" w:cs="Calibri"/>
        </w:rPr>
        <w:t>The smoke plume from the Eaton Fire travelled South-</w:t>
      </w:r>
      <w:r w:rsidR="0092481E">
        <w:rPr>
          <w:rFonts w:ascii="Calibri" w:hAnsi="Calibri" w:cs="Calibri"/>
        </w:rPr>
        <w:t>West</w:t>
      </w:r>
      <w:r>
        <w:rPr>
          <w:rFonts w:ascii="Calibri" w:hAnsi="Calibri" w:cs="Calibri"/>
        </w:rPr>
        <w:t xml:space="preserve"> and deposited </w:t>
      </w:r>
      <w:r w:rsidR="0092481E">
        <w:rPr>
          <w:rFonts w:ascii="Calibri" w:hAnsi="Calibri" w:cs="Calibri"/>
        </w:rPr>
        <w:t xml:space="preserve">coarse, residual ashes for miles over </w:t>
      </w:r>
      <w:r w:rsidR="00662478">
        <w:rPr>
          <w:rFonts w:ascii="Calibri" w:hAnsi="Calibri" w:cs="Calibri"/>
        </w:rPr>
        <w:t>the western coastline</w:t>
      </w:r>
      <w:r w:rsidR="0092481E">
        <w:rPr>
          <w:rFonts w:ascii="Calibri" w:hAnsi="Calibri" w:cs="Calibri"/>
        </w:rPr>
        <w:t>. Similar WUI fires have</w:t>
      </w:r>
      <w:r w:rsidR="00CE5E72">
        <w:rPr>
          <w:rFonts w:ascii="Calibri" w:hAnsi="Calibri" w:cs="Calibri"/>
        </w:rPr>
        <w:t xml:space="preserve"> been</w:t>
      </w:r>
      <w:r w:rsidR="0092481E">
        <w:rPr>
          <w:rFonts w:ascii="Calibri" w:hAnsi="Calibri" w:cs="Calibri"/>
        </w:rPr>
        <w:t xml:space="preserve"> studied </w:t>
      </w:r>
      <w:r w:rsidR="00CE5E72">
        <w:rPr>
          <w:rFonts w:ascii="Calibri" w:hAnsi="Calibri" w:cs="Calibri"/>
        </w:rPr>
        <w:t xml:space="preserve">to understand </w:t>
      </w:r>
      <w:r w:rsidR="0092481E">
        <w:rPr>
          <w:rFonts w:ascii="Calibri" w:hAnsi="Calibri" w:cs="Calibri"/>
        </w:rPr>
        <w:t>the</w:t>
      </w:r>
      <w:r w:rsidR="00CE5E72">
        <w:rPr>
          <w:rFonts w:ascii="Calibri" w:hAnsi="Calibri" w:cs="Calibri"/>
        </w:rPr>
        <w:t xml:space="preserve"> post-fire environmental contamination of ash and soil with toxic concentrations of metals</w:t>
      </w:r>
      <w:r w:rsidR="00662478">
        <w:rPr>
          <w:rFonts w:ascii="Calibri" w:hAnsi="Calibri" w:cs="Calibri"/>
        </w:rPr>
        <w:t xml:space="preserve"> </w:t>
      </w:r>
      <w:r w:rsidR="00CE5E72">
        <w:rPr>
          <w:rFonts w:ascii="Calibri" w:hAnsi="Calibri" w:cs="Calibri"/>
        </w:rPr>
        <w:fldChar w:fldCharType="begin"/>
      </w:r>
      <w:r w:rsidR="00937AC5">
        <w:rPr>
          <w:rFonts w:ascii="Calibri" w:hAnsi="Calibri" w:cs="Calibri"/>
        </w:rPr>
        <w:instrText xml:space="preserve"> ADDIN ZOTERO_ITEM CSL_CITATION {"citationID":"he4oeI4I","properties":{"formattedCitation":"\\super 3,4\\nosupersub{}","plainCitation":"3,4","noteIndex":0},"citationItems":[{"id":780,"uris":["http://zotero.org/users/15329994/items/VKUYLSJQ"],"itemData":{"id":780,"type":"article-journal","abstract":"Wildfires at the wildland–urban interface (WUI) are increasing in frequency and intensity, driven by climate change and anthropogenic ignitions. Few studies have characterized the variability in the metal content in ash generated from burned structures in order to determine the potential risk to human and environmental health. Using inductively coupled plasma optical emission spectroscopy (ICP-OES) and inductively coupled plasma mass spectrometry (ICP-MS), we analyzed leachable trace metal concentration in soils and ash from structures burned by the Marshall Fire, a WUI fire that destroyed over 1000 structures in Boulder County, Colorado. Acid digestion revealed that ash derived from structures contained 22 times more Cu and 3 times more Pb on average than surrounding soils on a mg/kg basis. Ash liberated 12 times more Ni (mg/kg) and twice as much Cr (mg/kg) as soils in a water leach. By comparing the amount of acid-extractable metals to that released by water and simulated epithelial lung fluid (SELF), we estimated their potential for environmental mobility and human bioaccessibility. The SELF leach showed that Cu and Ni were more bioaccessible (mg of leachable metal/mg of acid-extractable metal) in ash than in soils. These results suggest that structure ash is an important source of trace metals that can negatively impact the health of both humans and the environment.","container-title":"Environmental Science &amp; Technology","DOI":"10.1021/acs.est.3c08446","ISSN":"0013-936X","issue":"5","journalAbbreviation":"Environ. Sci. Technol.","page":"2502-2513","source":"ACS Publications","title":"Quantification of Bioaccessible and Environmentally Relevant Trace Metals in Structure Ash from a Wildland–Urban Interface Fire","volume":"58","author":[{"family":"Villarruel","given":"Carmen M."},{"family":"Figueroa","given":"Linda A."},{"family":"Ranville","given":"James F."}],"issued":{"date-parts":[["2024",2,6]]}}},{"id":717,"uris":["http://zotero.org/users/15329994/items/SE52464L"],"itemData":{"id":717,"type":"article-journal","abstract":"Wildfires at the wildland-urban interface (WUI) are increasingly common. The impacts of such events are likely distinct from those that occur strictly in wildland areas, as we would expect an elevated likelihood of soil contamination due to the combustion of anthropogenic materials. We evaluated the impacts of a wildfire at the WUI on soil contamination, sampling soils from residential and nonresidential areas located inside and outside the perimeter of the 2021 Marshall Fire in Colorado, USA. We found that fire-affected residential properties had elevated concentrations of some heavy metals (including Zn, Cu, Cr, and Pb), but the concentrations were still below levels of likely concern, and we observed no corresponding increases in concentrations of polycyclic aromatic hydrocarbons (PAHs). The postfire increases in metal concentrations were not generally observed in the nonresidential soils, highlighting the importance of combustion of anthropogenic materials for potential soil contamination from wildfires at the WUI. While soil contamination from the 2021 Marshall Fire was lower than expected, and likely below the threshold of concern for human health, our study highlights some of the challenges that need to be considered when assessing soil contamination after such fires.","container-title":"Environmental Science &amp; Technology","DOI":"10.1021/acs.est.3c08508","ISSN":"0013-936X","issue":"9","journalAbbreviation":"Environ. Sci. Technol.","page":"4326-4333","publisher":"American Chemical Society","source":"ACS Publications","title":"Determination of Soil Contamination at the Wildland-Urban Interface after the 2021 Marshall Fire in Colorado, USA","volume":"58","author":[{"family":"Jech","given":"Sierra"},{"family":"Adamchak","given":"Clifford"},{"family":"Stokes","given":"Sean C."},{"family":"Wiltse","given":"Marin E."},{"family":"Callen","given":"Jessica"},{"family":"VanderRoest","given":"Jacob"},{"family":"Kelly","given":"Eugene F."},{"family":"Hinckley","given":"Eve-Lyn S."},{"family":"Stein","given":"Holly J."},{"family":"Borch","given":"Thomas"},{"family":"Fierer","given":"Noah"}],"issued":{"date-parts":[["2024",3,5]]}}}],"schema":"https://github.com/citation-style-language/schema/raw/master/csl-citation.json"} </w:instrText>
      </w:r>
      <w:r w:rsidR="00CE5E72">
        <w:rPr>
          <w:rFonts w:ascii="Calibri" w:hAnsi="Calibri" w:cs="Calibri"/>
        </w:rPr>
        <w:fldChar w:fldCharType="separate"/>
      </w:r>
      <w:r w:rsidR="00937AC5" w:rsidRPr="00937AC5">
        <w:rPr>
          <w:rFonts w:ascii="Calibri" w:hAnsi="Calibri" w:cs="Calibri"/>
          <w:kern w:val="0"/>
          <w:vertAlign w:val="superscript"/>
        </w:rPr>
        <w:t>3,4</w:t>
      </w:r>
      <w:r w:rsidR="00CE5E72">
        <w:rPr>
          <w:rFonts w:ascii="Calibri" w:hAnsi="Calibri" w:cs="Calibri"/>
        </w:rPr>
        <w:fldChar w:fldCharType="end"/>
      </w:r>
      <w:r w:rsidR="00CE5E72">
        <w:rPr>
          <w:rFonts w:ascii="Calibri" w:hAnsi="Calibri" w:cs="Calibri"/>
        </w:rPr>
        <w:t xml:space="preserve">. </w:t>
      </w:r>
      <w:r w:rsidR="00C509A3">
        <w:rPr>
          <w:rFonts w:ascii="Calibri" w:hAnsi="Calibri" w:cs="Calibri"/>
        </w:rPr>
        <w:t>During the 2025 Los Angeles Fires</w:t>
      </w:r>
      <w:r w:rsidR="00CE5E72">
        <w:rPr>
          <w:rFonts w:ascii="Calibri" w:hAnsi="Calibri" w:cs="Calibri"/>
        </w:rPr>
        <w:t xml:space="preserve">, </w:t>
      </w:r>
      <w:r w:rsidR="00BD0EC8">
        <w:rPr>
          <w:rFonts w:ascii="Calibri" w:hAnsi="Calibri" w:cs="Calibri"/>
        </w:rPr>
        <w:t>air</w:t>
      </w:r>
      <w:r w:rsidR="00CE5E72">
        <w:rPr>
          <w:rFonts w:ascii="Calibri" w:hAnsi="Calibri" w:cs="Calibri"/>
        </w:rPr>
        <w:t xml:space="preserve"> quality monitors</w:t>
      </w:r>
      <w:r w:rsidR="00BD0EC8">
        <w:rPr>
          <w:rFonts w:ascii="Calibri" w:hAnsi="Calibri" w:cs="Calibri"/>
        </w:rPr>
        <w:t xml:space="preserve"> positioned</w:t>
      </w:r>
      <w:r w:rsidR="00CE5E72">
        <w:rPr>
          <w:rFonts w:ascii="Calibri" w:hAnsi="Calibri" w:cs="Calibri"/>
        </w:rPr>
        <w:t xml:space="preserve"> miles away</w:t>
      </w:r>
      <w:r w:rsidR="00C509A3">
        <w:rPr>
          <w:rFonts w:ascii="Calibri" w:hAnsi="Calibri" w:cs="Calibri"/>
        </w:rPr>
        <w:t xml:space="preserve"> from the Eaton fire</w:t>
      </w:r>
      <w:r w:rsidR="00CE5E72">
        <w:rPr>
          <w:rFonts w:ascii="Calibri" w:hAnsi="Calibri" w:cs="Calibri"/>
        </w:rPr>
        <w:t xml:space="preserve"> </w:t>
      </w:r>
      <w:r w:rsidR="00C509A3">
        <w:rPr>
          <w:rFonts w:ascii="Calibri" w:hAnsi="Calibri" w:cs="Calibri"/>
        </w:rPr>
        <w:t>recorded</w:t>
      </w:r>
      <w:r w:rsidR="00CE5E72">
        <w:rPr>
          <w:rFonts w:ascii="Calibri" w:hAnsi="Calibri" w:cs="Calibri"/>
        </w:rPr>
        <w:t xml:space="preserve"> </w:t>
      </w:r>
      <w:r w:rsidR="00C509A3">
        <w:rPr>
          <w:rFonts w:ascii="Calibri" w:hAnsi="Calibri" w:cs="Calibri"/>
        </w:rPr>
        <w:t xml:space="preserve">a 110-fold increase </w:t>
      </w:r>
      <w:r w:rsidR="00CE5E72">
        <w:rPr>
          <w:rFonts w:ascii="Calibri" w:hAnsi="Calibri" w:cs="Calibri"/>
        </w:rPr>
        <w:t xml:space="preserve">in the hourly lead (Pb) concentrations of </w:t>
      </w:r>
      <w:r w:rsidR="00CE5E72">
        <w:rPr>
          <w:rFonts w:ascii="Calibri" w:hAnsi="Calibri" w:cs="Calibri"/>
        </w:rPr>
        <w:t xml:space="preserve">particulate </w:t>
      </w:r>
      <w:r w:rsidR="00CE5E72">
        <w:rPr>
          <w:rFonts w:ascii="Calibri" w:hAnsi="Calibri" w:cs="Calibri"/>
        </w:rPr>
        <w:t xml:space="preserve">matter particles &lt;2.5 um (PM2.5) </w:t>
      </w:r>
      <w:r w:rsidR="00C509A3">
        <w:rPr>
          <w:rFonts w:ascii="Calibri" w:hAnsi="Calibri" w:cs="Calibri"/>
        </w:rPr>
        <w:t xml:space="preserve">compared to pre-fire days </w:t>
      </w:r>
      <w:r w:rsidR="00CE5E72">
        <w:rPr>
          <w:rFonts w:ascii="Calibri" w:hAnsi="Calibri" w:cs="Calibri"/>
        </w:rPr>
        <w:fldChar w:fldCharType="begin"/>
      </w:r>
      <w:r w:rsidR="00937AC5">
        <w:rPr>
          <w:rFonts w:ascii="Calibri" w:hAnsi="Calibri" w:cs="Calibri"/>
        </w:rPr>
        <w:instrText xml:space="preserve"> ADDIN ZOTERO_ITEM CSL_CITATION {"citationID":"N3F3ZvWE","properties":{"formattedCitation":"\\super 19\\nosupersub{}","plainCitation":"19","noteIndex":0},"citationItems":[{"id":3807,"uris":["http://zotero.org/users/15329994/items/CTYNA39H"],"itemData":{"id":3807,"type":"article-journal","abstract":"This report describes an increase in particulate matter lead levels in Los Angeles, California during the January 2025 fires.","container-title":"MMWR. Morbidity and Mortality Weekly Report","DOI":"10.15585/mmwr.mm7405a4","ISSN":"0149-21951545-861X","journalAbbreviation":"MMWR Morb Mortal Wkly Rep","language":"en-us","source":"www.cdc.gov","title":"Notes from the Field: Elevated Atmospheric Lead Levels During the Los Angeles Urban Fires — California, January 2025","title-short":"Notes from the Field","URL":"https://www.cdc.gov/mmwr/volumes/74/wr/mm7405a4.htm","volume":"74","author":[{"family":"Baliaka","given":"Haroula D."}],"accessed":{"date-parts":[["2026",3,25]]},"issued":{"date-parts":[["2025"]]}}}],"schema":"https://github.com/citation-style-language/schema/raw/master/csl-citation.json"} </w:instrText>
      </w:r>
      <w:r w:rsidR="00CE5E72">
        <w:rPr>
          <w:rFonts w:ascii="Calibri" w:hAnsi="Calibri" w:cs="Calibri"/>
        </w:rPr>
        <w:fldChar w:fldCharType="separate"/>
      </w:r>
      <w:r w:rsidR="00937AC5" w:rsidRPr="00937AC5">
        <w:rPr>
          <w:rFonts w:ascii="Calibri" w:hAnsi="Calibri" w:cs="Calibri"/>
          <w:kern w:val="0"/>
          <w:vertAlign w:val="superscript"/>
        </w:rPr>
        <w:t>19</w:t>
      </w:r>
      <w:r w:rsidR="00CE5E72">
        <w:rPr>
          <w:rFonts w:ascii="Calibri" w:hAnsi="Calibri" w:cs="Calibri"/>
        </w:rPr>
        <w:fldChar w:fldCharType="end"/>
      </w:r>
      <w:r w:rsidR="00CE5E72">
        <w:rPr>
          <w:rFonts w:ascii="Calibri" w:hAnsi="Calibri" w:cs="Calibri"/>
        </w:rPr>
        <w:t xml:space="preserve">. </w:t>
      </w:r>
      <w:r w:rsidR="00D5204E">
        <w:rPr>
          <w:rFonts w:ascii="Calibri" w:hAnsi="Calibri" w:cs="Calibri"/>
        </w:rPr>
        <w:t>This</w:t>
      </w:r>
      <w:r w:rsidR="007F4FD9">
        <w:rPr>
          <w:rFonts w:ascii="Calibri" w:hAnsi="Calibri" w:cs="Calibri"/>
        </w:rPr>
        <w:t xml:space="preserve"> collaborative effort emerged to respond to a gap in our knowledge about </w:t>
      </w:r>
      <w:r w:rsidR="00D5204E">
        <w:rPr>
          <w:rFonts w:ascii="Calibri" w:hAnsi="Calibri" w:cs="Calibri"/>
        </w:rPr>
        <w:t xml:space="preserve">the composition and distribution of metals in the coarse ash fraction remaining on outdoor surfaces of the post-fire landscape. </w:t>
      </w:r>
    </w:p>
    <w:p w14:paraId="2E846456" w14:textId="566B6488" w:rsidR="005F5ED8" w:rsidRPr="00437750" w:rsidRDefault="00D5204E" w:rsidP="003F17D2">
      <w:pPr>
        <w:spacing w:line="240" w:lineRule="auto"/>
        <w:ind w:firstLine="720"/>
        <w:jc w:val="both"/>
        <w:rPr>
          <w:rFonts w:ascii="Calibri" w:hAnsi="Calibri" w:cs="Calibri"/>
        </w:rPr>
      </w:pPr>
      <w:r>
        <w:rPr>
          <w:rFonts w:ascii="Calibri" w:hAnsi="Calibri" w:cs="Calibri"/>
        </w:rPr>
        <w:lastRenderedPageBreak/>
        <w:t xml:space="preserve">We conducted an extensive and systematic sampling of </w:t>
      </w:r>
      <w:r w:rsidR="00450515">
        <w:rPr>
          <w:rFonts w:ascii="Calibri" w:hAnsi="Calibri" w:cs="Calibri"/>
        </w:rPr>
        <w:t xml:space="preserve">outdoor </w:t>
      </w:r>
      <w:r>
        <w:rPr>
          <w:rFonts w:ascii="Calibri" w:hAnsi="Calibri" w:cs="Calibri"/>
        </w:rPr>
        <w:t xml:space="preserve">ashes that had accumulated on impervious surfaces like street curbs both within </w:t>
      </w:r>
      <w:r w:rsidR="00450515">
        <w:rPr>
          <w:rFonts w:ascii="Calibri" w:hAnsi="Calibri" w:cs="Calibri"/>
        </w:rPr>
        <w:t xml:space="preserve">the burn perimeter </w:t>
      </w:r>
      <w:r>
        <w:rPr>
          <w:rFonts w:ascii="Calibri" w:hAnsi="Calibri" w:cs="Calibri"/>
        </w:rPr>
        <w:t>and downwind</w:t>
      </w:r>
      <w:r w:rsidR="00450515">
        <w:rPr>
          <w:rFonts w:ascii="Calibri" w:hAnsi="Calibri" w:cs="Calibri"/>
        </w:rPr>
        <w:t xml:space="preserve"> </w:t>
      </w:r>
      <w:r w:rsidR="00A7504B">
        <w:rPr>
          <w:rFonts w:ascii="Calibri" w:hAnsi="Calibri" w:cs="Calibri"/>
        </w:rPr>
        <w:t>where no structures were destroyed by the fire. We hypothesized that</w:t>
      </w:r>
      <w:r w:rsidR="00450515">
        <w:rPr>
          <w:rFonts w:ascii="Calibri" w:hAnsi="Calibri" w:cs="Calibri"/>
        </w:rPr>
        <w:t xml:space="preserve"> the ash samples collected within the burned perimeter would have higher concentrations of Pb and other metals due to their proximity to combusted urban infrastructure.</w:t>
      </w:r>
      <w:r w:rsidR="009849AA">
        <w:rPr>
          <w:rFonts w:ascii="Calibri" w:hAnsi="Calibri" w:cs="Calibri"/>
        </w:rPr>
        <w:t xml:space="preserve"> The friable nature of ash samples in the field motivated a swift response to avoid areas where clean-up efforts had started</w:t>
      </w:r>
      <w:r w:rsidR="0081556E">
        <w:rPr>
          <w:rFonts w:ascii="Calibri" w:hAnsi="Calibri" w:cs="Calibri"/>
        </w:rPr>
        <w:t>,</w:t>
      </w:r>
      <w:r w:rsidR="009849AA">
        <w:rPr>
          <w:rFonts w:ascii="Calibri" w:hAnsi="Calibri" w:cs="Calibri"/>
        </w:rPr>
        <w:t xml:space="preserve"> and </w:t>
      </w:r>
      <w:r w:rsidR="00BD0EC8">
        <w:rPr>
          <w:rFonts w:ascii="Calibri" w:hAnsi="Calibri" w:cs="Calibri"/>
        </w:rPr>
        <w:t xml:space="preserve">to </w:t>
      </w:r>
      <w:r w:rsidR="00FE22B0">
        <w:rPr>
          <w:rFonts w:ascii="Calibri" w:hAnsi="Calibri" w:cs="Calibri"/>
        </w:rPr>
        <w:t>complete sampling before any rainfall.</w:t>
      </w:r>
      <w:r w:rsidR="00450515">
        <w:rPr>
          <w:rFonts w:ascii="Calibri" w:hAnsi="Calibri" w:cs="Calibri"/>
        </w:rPr>
        <w:t xml:space="preserve"> </w:t>
      </w:r>
      <w:r w:rsidR="00A7504B">
        <w:rPr>
          <w:rFonts w:ascii="Calibri" w:hAnsi="Calibri" w:cs="Calibri"/>
        </w:rPr>
        <w:t xml:space="preserve">Ultimately, we sought to use this study of the 2025 Eaton Fire </w:t>
      </w:r>
      <w:r w:rsidR="00876994">
        <w:rPr>
          <w:rFonts w:ascii="Calibri" w:hAnsi="Calibri" w:cs="Calibri"/>
        </w:rPr>
        <w:t xml:space="preserve">to </w:t>
      </w:r>
      <w:r w:rsidR="00A7504B">
        <w:rPr>
          <w:rFonts w:ascii="Calibri" w:hAnsi="Calibri" w:cs="Calibri"/>
        </w:rPr>
        <w:t>assess</w:t>
      </w:r>
      <w:r w:rsidR="00876994">
        <w:rPr>
          <w:rFonts w:ascii="Calibri" w:hAnsi="Calibri" w:cs="Calibri"/>
        </w:rPr>
        <w:t xml:space="preserve"> the </w:t>
      </w:r>
      <w:r w:rsidR="0081556E">
        <w:rPr>
          <w:rFonts w:ascii="Calibri" w:hAnsi="Calibri" w:cs="Calibri"/>
        </w:rPr>
        <w:t xml:space="preserve">outdoor </w:t>
      </w:r>
      <w:r w:rsidR="00876994">
        <w:rPr>
          <w:rFonts w:ascii="Calibri" w:hAnsi="Calibri" w:cs="Calibri"/>
        </w:rPr>
        <w:t xml:space="preserve">environmental </w:t>
      </w:r>
      <w:r w:rsidR="00BD0EC8">
        <w:rPr>
          <w:rFonts w:ascii="Calibri" w:hAnsi="Calibri" w:cs="Calibri"/>
        </w:rPr>
        <w:t>exposure</w:t>
      </w:r>
      <w:r w:rsidR="00876994">
        <w:rPr>
          <w:rFonts w:ascii="Calibri" w:hAnsi="Calibri" w:cs="Calibri"/>
        </w:rPr>
        <w:t xml:space="preserve"> of</w:t>
      </w:r>
      <w:r w:rsidR="00BD0EC8">
        <w:rPr>
          <w:rFonts w:ascii="Calibri" w:hAnsi="Calibri" w:cs="Calibri"/>
        </w:rPr>
        <w:t xml:space="preserve"> </w:t>
      </w:r>
      <w:r w:rsidR="00876994">
        <w:rPr>
          <w:rFonts w:ascii="Calibri" w:hAnsi="Calibri" w:cs="Calibri"/>
        </w:rPr>
        <w:t>ashes from WUI fires</w:t>
      </w:r>
      <w:r w:rsidR="00A7504B">
        <w:rPr>
          <w:rFonts w:ascii="Calibri" w:hAnsi="Calibri" w:cs="Calibri"/>
        </w:rPr>
        <w:t xml:space="preserve">, and how we can better prepare for responding to future </w:t>
      </w:r>
      <w:r w:rsidR="00876994">
        <w:rPr>
          <w:rFonts w:ascii="Calibri" w:hAnsi="Calibri" w:cs="Calibri"/>
        </w:rPr>
        <w:t>events</w:t>
      </w:r>
      <w:r w:rsidR="00A7504B">
        <w:rPr>
          <w:rFonts w:ascii="Calibri" w:hAnsi="Calibri" w:cs="Calibri"/>
        </w:rPr>
        <w:t xml:space="preserve">.  </w:t>
      </w:r>
    </w:p>
    <w:p w14:paraId="56AE22F5" w14:textId="3584E02C" w:rsidR="00897B47" w:rsidRDefault="00897B47" w:rsidP="003F17D2">
      <w:pPr>
        <w:spacing w:after="0" w:line="240" w:lineRule="auto"/>
        <w:jc w:val="both"/>
        <w:rPr>
          <w:rFonts w:ascii="Calibri" w:hAnsi="Calibri" w:cs="Calibri"/>
          <w:b/>
          <w:bCs/>
        </w:rPr>
      </w:pPr>
      <w:r w:rsidRPr="00897B47">
        <w:rPr>
          <w:rFonts w:ascii="Calibri" w:hAnsi="Calibri" w:cs="Calibri"/>
          <w:b/>
          <w:bCs/>
        </w:rPr>
        <w:t>Methods</w:t>
      </w:r>
    </w:p>
    <w:p w14:paraId="026D6FFC" w14:textId="446E5EAC" w:rsidR="00FE22B0" w:rsidRDefault="00A05940" w:rsidP="003F17D2">
      <w:pPr>
        <w:spacing w:line="240" w:lineRule="auto"/>
        <w:jc w:val="both"/>
        <w:rPr>
          <w:rFonts w:ascii="Calibri" w:hAnsi="Calibri" w:cs="Calibri"/>
        </w:rPr>
      </w:pPr>
      <w:r>
        <w:rPr>
          <w:rFonts w:ascii="Calibri" w:hAnsi="Calibri" w:cs="Calibri"/>
          <w:noProof/>
        </w:rPr>
        <mc:AlternateContent>
          <mc:Choice Requires="wps">
            <w:drawing>
              <wp:anchor distT="0" distB="0" distL="114300" distR="114300" simplePos="0" relativeHeight="251664384" behindDoc="1" locked="0" layoutInCell="1" allowOverlap="1" wp14:anchorId="3FB9FD5E" wp14:editId="5D4A8F23">
                <wp:simplePos x="0" y="0"/>
                <wp:positionH relativeFrom="column">
                  <wp:posOffset>0</wp:posOffset>
                </wp:positionH>
                <wp:positionV relativeFrom="paragraph">
                  <wp:posOffset>1680210</wp:posOffset>
                </wp:positionV>
                <wp:extent cx="5943600" cy="3794760"/>
                <wp:effectExtent l="0" t="0" r="12700" b="15240"/>
                <wp:wrapTight wrapText="bothSides">
                  <wp:wrapPolygon edited="0">
                    <wp:start x="0" y="0"/>
                    <wp:lineTo x="0" y="21614"/>
                    <wp:lineTo x="21600" y="21614"/>
                    <wp:lineTo x="21600" y="0"/>
                    <wp:lineTo x="0" y="0"/>
                  </wp:wrapPolygon>
                </wp:wrapTight>
                <wp:docPr id="195463705" name="Text Box 1"/>
                <wp:cNvGraphicFramePr/>
                <a:graphic xmlns:a="http://schemas.openxmlformats.org/drawingml/2006/main">
                  <a:graphicData uri="http://schemas.microsoft.com/office/word/2010/wordprocessingShape">
                    <wps:wsp>
                      <wps:cNvSpPr txBox="1"/>
                      <wps:spPr>
                        <a:xfrm>
                          <a:off x="0" y="0"/>
                          <a:ext cx="5943600" cy="3794760"/>
                        </a:xfrm>
                        <a:prstGeom prst="rect">
                          <a:avLst/>
                        </a:prstGeom>
                        <a:solidFill>
                          <a:schemeClr val="lt1"/>
                        </a:solidFill>
                        <a:ln w="6350">
                          <a:solidFill>
                            <a:prstClr val="black"/>
                          </a:solidFill>
                        </a:ln>
                      </wps:spPr>
                      <wps:txbx>
                        <w:txbxContent>
                          <w:p w14:paraId="2F787936" w14:textId="77777777" w:rsidR="00A05940" w:rsidRDefault="00A05940" w:rsidP="00A05940">
                            <w:pPr>
                              <w:spacing w:after="0"/>
                              <w:jc w:val="center"/>
                            </w:pPr>
                            <w:r w:rsidRPr="006A28EE">
                              <w:drawing>
                                <wp:inline distT="0" distB="0" distL="0" distR="0" wp14:anchorId="0C4EFDF6" wp14:editId="4D718D19">
                                  <wp:extent cx="5730292" cy="3096946"/>
                                  <wp:effectExtent l="0" t="0" r="0" b="1905"/>
                                  <wp:docPr id="5" name="Picture 4" descr="A map of the california fire&#10;&#10;AI-generated content may be incorrect.">
                                    <a:extLst xmlns:a="http://schemas.openxmlformats.org/drawingml/2006/main">
                                      <a:ext uri="{FF2B5EF4-FFF2-40B4-BE49-F238E27FC236}">
                                        <a16:creationId xmlns:a16="http://schemas.microsoft.com/office/drawing/2014/main" id="{CE2EAC5F-432D-7138-6A39-B22D25D194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map of the california fire&#10;&#10;AI-generated content may be incorrect.">
                                            <a:extLst>
                                              <a:ext uri="{FF2B5EF4-FFF2-40B4-BE49-F238E27FC236}">
                                                <a16:creationId xmlns:a16="http://schemas.microsoft.com/office/drawing/2014/main" id="{CE2EAC5F-432D-7138-6A39-B22D25D19498}"/>
                                              </a:ext>
                                            </a:extLst>
                                          </pic:cNvPr>
                                          <pic:cNvPicPr>
                                            <a:picLocks noChangeAspect="1"/>
                                          </pic:cNvPicPr>
                                        </pic:nvPicPr>
                                        <pic:blipFill>
                                          <a:blip r:embed="rId7"/>
                                          <a:srcRect l="7445" t="63902" r="9528" b="4350"/>
                                          <a:stretch>
                                            <a:fillRect/>
                                          </a:stretch>
                                        </pic:blipFill>
                                        <pic:spPr>
                                          <a:xfrm>
                                            <a:off x="0" y="0"/>
                                            <a:ext cx="5818052" cy="3144376"/>
                                          </a:xfrm>
                                          <a:prstGeom prst="rect">
                                            <a:avLst/>
                                          </a:prstGeom>
                                        </pic:spPr>
                                      </pic:pic>
                                    </a:graphicData>
                                  </a:graphic>
                                </wp:inline>
                              </w:drawing>
                            </w:r>
                          </w:p>
                          <w:p w14:paraId="3BCEEC60" w14:textId="77777777" w:rsidR="00A05940" w:rsidRPr="00937AC5" w:rsidRDefault="00A05940" w:rsidP="00A05940">
                            <w:pPr>
                              <w:spacing w:line="240" w:lineRule="auto"/>
                              <w:jc w:val="center"/>
                            </w:pPr>
                            <w:r w:rsidRPr="006A28EE">
                              <w:rPr>
                                <w:b/>
                                <w:bCs/>
                              </w:rPr>
                              <w:t>Fig</w:t>
                            </w:r>
                            <w:r>
                              <w:rPr>
                                <w:b/>
                                <w:bCs/>
                              </w:rPr>
                              <w:t>ure</w:t>
                            </w:r>
                            <w:r w:rsidRPr="006A28EE">
                              <w:rPr>
                                <w:b/>
                                <w:bCs/>
                              </w:rPr>
                              <w:t xml:space="preserve"> 1.</w:t>
                            </w:r>
                            <w:r>
                              <w:rPr>
                                <w:b/>
                                <w:bCs/>
                              </w:rPr>
                              <w:t xml:space="preserve"> </w:t>
                            </w:r>
                            <w:r>
                              <w:t>Map of the 2025 Eaton Fire study area with points symbolizing outdoor ash sampling locations across different pre-fire land cover types, in addition to samples collected down-wind in non-burned areas.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FB9FD5E" id="_x0000_t202" coordsize="21600,21600" o:spt="202" path="m,l,21600r21600,l21600,xe">
                <v:stroke joinstyle="miter"/>
                <v:path gradientshapeok="t" o:connecttype="rect"/>
              </v:shapetype>
              <v:shape id="Text Box 1" o:spid="_x0000_s1026" type="#_x0000_t202" style="position:absolute;left:0;text-align:left;margin-left:0;margin-top:132.3pt;width:468pt;height:298.8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" fillcolor="white [3201]" strokeweight=".5pt">
                <v:textbox>
                  <w:txbxContent>
                    <w:p w14:paraId="2F787936" w14:textId="77777777" w:rsidR="00A05940" w:rsidRDefault="00A05940" w:rsidP="00A05940">
                      <w:pPr>
                        <w:spacing w:after="0"/>
                        <w:jc w:val="center"/>
                      </w:pPr>
                      <w:r w:rsidRPr="006A28EE">
                        <w:drawing>
                          <wp:inline distT="0" distB="0" distL="0" distR="0" wp14:anchorId="0C4EFDF6" wp14:editId="4D718D19">
                            <wp:extent cx="5730292" cy="3096946"/>
                            <wp:effectExtent l="0" t="0" r="0" b="1905"/>
                            <wp:docPr id="5" name="Picture 4" descr="A map of the california fire&#10;&#10;AI-generated content may be incorrect.">
                              <a:extLst xmlns:a="http://schemas.openxmlformats.org/drawingml/2006/main">
                                <a:ext uri="{FF2B5EF4-FFF2-40B4-BE49-F238E27FC236}">
                                  <a16:creationId xmlns:a16="http://schemas.microsoft.com/office/drawing/2014/main" id="{CE2EAC5F-432D-7138-6A39-B22D25D194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map of the california fire&#10;&#10;AI-generated content may be incorrect.">
                                      <a:extLst>
                                        <a:ext uri="{FF2B5EF4-FFF2-40B4-BE49-F238E27FC236}">
                                          <a16:creationId xmlns:a16="http://schemas.microsoft.com/office/drawing/2014/main" id="{CE2EAC5F-432D-7138-6A39-B22D25D19498}"/>
                                        </a:ext>
                                      </a:extLst>
                                    </pic:cNvPr>
                                    <pic:cNvPicPr>
                                      <a:picLocks noChangeAspect="1"/>
                                    </pic:cNvPicPr>
                                  </pic:nvPicPr>
                                  <pic:blipFill>
                                    <a:blip r:embed="rId7"/>
                                    <a:srcRect l="7445" t="63902" r="9528" b="4350"/>
                                    <a:stretch>
                                      <a:fillRect/>
                                    </a:stretch>
                                  </pic:blipFill>
                                  <pic:spPr>
                                    <a:xfrm>
                                      <a:off x="0" y="0"/>
                                      <a:ext cx="5818052" cy="3144376"/>
                                    </a:xfrm>
                                    <a:prstGeom prst="rect">
                                      <a:avLst/>
                                    </a:prstGeom>
                                  </pic:spPr>
                                </pic:pic>
                              </a:graphicData>
                            </a:graphic>
                          </wp:inline>
                        </w:drawing>
                      </w:r>
                    </w:p>
                    <w:p w14:paraId="3BCEEC60" w14:textId="77777777" w:rsidR="00A05940" w:rsidRPr="00937AC5" w:rsidRDefault="00A05940" w:rsidP="00A05940">
                      <w:pPr>
                        <w:spacing w:line="240" w:lineRule="auto"/>
                        <w:jc w:val="center"/>
                      </w:pPr>
                      <w:r w:rsidRPr="006A28EE">
                        <w:rPr>
                          <w:b/>
                          <w:bCs/>
                        </w:rPr>
                        <w:t>Fig</w:t>
                      </w:r>
                      <w:r>
                        <w:rPr>
                          <w:b/>
                          <w:bCs/>
                        </w:rPr>
                        <w:t>ure</w:t>
                      </w:r>
                      <w:r w:rsidRPr="006A28EE">
                        <w:rPr>
                          <w:b/>
                          <w:bCs/>
                        </w:rPr>
                        <w:t xml:space="preserve"> 1.</w:t>
                      </w:r>
                      <w:r>
                        <w:rPr>
                          <w:b/>
                          <w:bCs/>
                        </w:rPr>
                        <w:t xml:space="preserve"> </w:t>
                      </w:r>
                      <w:r>
                        <w:t>Map of the 2025 Eaton Fire study area with points symbolizing outdoor ash sampling locations across different pre-fire land cover types, in addition to samples collected down-wind in non-burned areas.</w:t>
                      </w:r>
                    </w:p>
                  </w:txbxContent>
                </v:textbox>
                <w10:wrap type="tight"/>
              </v:shape>
            </w:pict>
          </mc:Fallback>
        </mc:AlternateContent>
      </w:r>
      <w:r w:rsidR="00FE22B0">
        <w:rPr>
          <w:rFonts w:ascii="Calibri" w:hAnsi="Calibri" w:cs="Calibri"/>
        </w:rPr>
        <w:t>The</w:t>
      </w:r>
      <w:r w:rsidR="00FE22B0" w:rsidRPr="00FE22B0">
        <w:rPr>
          <w:rFonts w:ascii="Calibri" w:hAnsi="Calibri" w:cs="Calibri"/>
        </w:rPr>
        <w:t xml:space="preserve"> sampling campaign was initiated on January 16</w:t>
      </w:r>
      <w:r w:rsidR="00BD0EC8" w:rsidRPr="00BD0EC8">
        <w:rPr>
          <w:rFonts w:ascii="Calibri" w:hAnsi="Calibri" w:cs="Calibri"/>
          <w:vertAlign w:val="superscript"/>
        </w:rPr>
        <w:t>th</w:t>
      </w:r>
      <w:r w:rsidR="00FE22B0" w:rsidRPr="00FE22B0">
        <w:rPr>
          <w:rFonts w:ascii="Calibri" w:hAnsi="Calibri" w:cs="Calibri"/>
        </w:rPr>
        <w:t xml:space="preserve">, </w:t>
      </w:r>
      <w:proofErr w:type="gramStart"/>
      <w:r w:rsidR="00FE22B0" w:rsidRPr="00FE22B0">
        <w:rPr>
          <w:rFonts w:ascii="Calibri" w:hAnsi="Calibri" w:cs="Calibri"/>
        </w:rPr>
        <w:t>2025</w:t>
      </w:r>
      <w:proofErr w:type="gramEnd"/>
      <w:r w:rsidR="00FE22B0" w:rsidRPr="00FE22B0">
        <w:rPr>
          <w:rFonts w:ascii="Calibri" w:hAnsi="Calibri" w:cs="Calibri"/>
        </w:rPr>
        <w:t xml:space="preserve"> </w:t>
      </w:r>
      <w:r w:rsidR="00BD0EC8">
        <w:rPr>
          <w:rFonts w:ascii="Calibri" w:hAnsi="Calibri" w:cs="Calibri"/>
        </w:rPr>
        <w:t xml:space="preserve">and </w:t>
      </w:r>
      <w:r w:rsidR="0081556E">
        <w:rPr>
          <w:rFonts w:ascii="Calibri" w:hAnsi="Calibri" w:cs="Calibri"/>
        </w:rPr>
        <w:t xml:space="preserve">most samples </w:t>
      </w:r>
      <w:r w:rsidR="00FE22B0" w:rsidRPr="00FE22B0">
        <w:rPr>
          <w:rFonts w:ascii="Calibri" w:hAnsi="Calibri" w:cs="Calibri"/>
        </w:rPr>
        <w:t xml:space="preserve">were collected </w:t>
      </w:r>
      <w:r w:rsidR="00FE22B0">
        <w:rPr>
          <w:rFonts w:ascii="Calibri" w:hAnsi="Calibri" w:cs="Calibri"/>
        </w:rPr>
        <w:t xml:space="preserve">before the first post-fire </w:t>
      </w:r>
      <w:r w:rsidR="00794D20">
        <w:rPr>
          <w:rFonts w:ascii="Calibri" w:hAnsi="Calibri" w:cs="Calibri"/>
        </w:rPr>
        <w:t>rainfall on</w:t>
      </w:r>
      <w:r w:rsidR="00FE22B0" w:rsidRPr="00FE22B0">
        <w:rPr>
          <w:rFonts w:ascii="Calibri" w:hAnsi="Calibri" w:cs="Calibri"/>
        </w:rPr>
        <w:t xml:space="preserve"> January 25</w:t>
      </w:r>
      <w:r w:rsidR="00794D20" w:rsidRPr="00794D20">
        <w:rPr>
          <w:rFonts w:ascii="Calibri" w:hAnsi="Calibri" w:cs="Calibri"/>
          <w:vertAlign w:val="superscript"/>
        </w:rPr>
        <w:t>th</w:t>
      </w:r>
      <w:r w:rsidR="00FE22B0" w:rsidRPr="00FE22B0">
        <w:rPr>
          <w:rFonts w:ascii="Calibri" w:hAnsi="Calibri" w:cs="Calibri"/>
        </w:rPr>
        <w:t xml:space="preserve">, </w:t>
      </w:r>
      <w:proofErr w:type="gramStart"/>
      <w:r w:rsidR="00FE22B0" w:rsidRPr="00FE22B0">
        <w:rPr>
          <w:rFonts w:ascii="Calibri" w:hAnsi="Calibri" w:cs="Calibri"/>
        </w:rPr>
        <w:t>2025</w:t>
      </w:r>
      <w:proofErr w:type="gramEnd"/>
      <w:r w:rsidR="00794D20">
        <w:rPr>
          <w:rFonts w:ascii="Calibri" w:hAnsi="Calibri" w:cs="Calibri"/>
        </w:rPr>
        <w:t xml:space="preserve"> </w:t>
      </w:r>
      <w:r w:rsidR="00FE22B0" w:rsidRPr="00FE22B0">
        <w:rPr>
          <w:rFonts w:ascii="Calibri" w:hAnsi="Calibri" w:cs="Calibri"/>
        </w:rPr>
        <w:t>with a</w:t>
      </w:r>
      <w:r w:rsidR="00BD0EC8">
        <w:rPr>
          <w:rFonts w:ascii="Calibri" w:hAnsi="Calibri" w:cs="Calibri"/>
        </w:rPr>
        <w:t xml:space="preserve">dditional samples </w:t>
      </w:r>
      <w:r w:rsidR="00FE22B0" w:rsidRPr="00FE22B0">
        <w:rPr>
          <w:rFonts w:ascii="Calibri" w:hAnsi="Calibri" w:cs="Calibri"/>
        </w:rPr>
        <w:t>collected on February 3</w:t>
      </w:r>
      <w:r w:rsidR="00794D20" w:rsidRPr="00794D20">
        <w:rPr>
          <w:rFonts w:ascii="Calibri" w:hAnsi="Calibri" w:cs="Calibri"/>
          <w:vertAlign w:val="superscript"/>
        </w:rPr>
        <w:t>rd</w:t>
      </w:r>
      <w:r w:rsidR="00FE22B0" w:rsidRPr="00FE22B0">
        <w:rPr>
          <w:rFonts w:ascii="Calibri" w:hAnsi="Calibri" w:cs="Calibri"/>
        </w:rPr>
        <w:t>, 2025. Caltech and JPL teams initially sampled independently but coordinated efforts early in the campaign. A 1 × 1 mile grid overlay was developed for spatial planning, with each grid cell assigned a unique numeric ID. Using this map to guide a spatially even sampling approach, teams travelled from cell to cell collecting ash samples within the burn scar as well as along the western, southern, and eastern flanks of the Eaton fire’s edges. Within each grid cell, the specific sample sites were selected based on three criteria: (1) public accessibility, (2) presence of visible ash accumulation, and (3) minimal post-fire disturbance from cleanup activities.</w:t>
      </w:r>
      <w:r w:rsidRPr="00A05940">
        <w:rPr>
          <w:rFonts w:ascii="Calibri" w:hAnsi="Calibri" w:cs="Calibri"/>
          <w:noProof/>
        </w:rPr>
        <w:t xml:space="preserve"> </w:t>
      </w:r>
    </w:p>
    <w:p w14:paraId="6D75C822" w14:textId="529706D8" w:rsidR="003E20F0" w:rsidRDefault="00794D20" w:rsidP="003F17D2">
      <w:pPr>
        <w:spacing w:line="240" w:lineRule="auto"/>
        <w:ind w:firstLine="720"/>
        <w:jc w:val="both"/>
        <w:rPr>
          <w:rFonts w:ascii="Calibri" w:hAnsi="Calibri" w:cs="Calibri"/>
        </w:rPr>
      </w:pPr>
      <w:r w:rsidRPr="00794D20">
        <w:rPr>
          <w:rFonts w:ascii="Calibri" w:hAnsi="Calibri" w:cs="Calibri"/>
        </w:rPr>
        <w:t>A total of 169 physical samples were collected directly by the sample teams (95 by JPL and 74 by Caltech), supplemented by an additional 52 samples contributed from</w:t>
      </w:r>
      <w:r>
        <w:rPr>
          <w:rFonts w:ascii="Calibri" w:hAnsi="Calibri" w:cs="Calibri"/>
        </w:rPr>
        <w:t xml:space="preserve"> Caltech</w:t>
      </w:r>
      <w:r w:rsidRPr="00794D20">
        <w:rPr>
          <w:rFonts w:ascii="Calibri" w:hAnsi="Calibri" w:cs="Calibri"/>
        </w:rPr>
        <w:t xml:space="preserve"> community </w:t>
      </w:r>
      <w:r>
        <w:rPr>
          <w:rFonts w:ascii="Calibri" w:hAnsi="Calibri" w:cs="Calibri"/>
        </w:rPr>
        <w:t>volunteers</w:t>
      </w:r>
      <w:r w:rsidRPr="00794D20">
        <w:rPr>
          <w:rFonts w:ascii="Calibri" w:hAnsi="Calibri" w:cs="Calibri"/>
        </w:rPr>
        <w:t xml:space="preserve">. As the sampling began about two weeks after the ignition, ash had largely collected in small wind-traps on impervious surfaces (e.g., on sidewalks against a fence or </w:t>
      </w:r>
      <w:r>
        <w:rPr>
          <w:rFonts w:ascii="Calibri" w:hAnsi="Calibri" w:cs="Calibri"/>
        </w:rPr>
        <w:t>along</w:t>
      </w:r>
      <w:r w:rsidRPr="00794D20">
        <w:rPr>
          <w:rFonts w:ascii="Calibri" w:hAnsi="Calibri" w:cs="Calibri"/>
        </w:rPr>
        <w:t xml:space="preserve"> street </w:t>
      </w:r>
      <w:r w:rsidRPr="00794D20">
        <w:rPr>
          <w:rFonts w:ascii="Calibri" w:hAnsi="Calibri" w:cs="Calibri"/>
        </w:rPr>
        <w:lastRenderedPageBreak/>
        <w:t>gutters). At each sample site, we identified where ash was concentrated and collected 5-15 mL of ash. The JPL team used a small nylon-bristle paint brush and plastic laboratory weight boat and Caltech teams sampled using a wooden spoon and tweezers. For each sample, the teams collect both coarser ash flakes as well as fine soot and dust to achieve a representative sample. Note that while we attempted to only collect</w:t>
      </w:r>
      <w:r w:rsidR="0081556E">
        <w:rPr>
          <w:rFonts w:ascii="Calibri" w:hAnsi="Calibri" w:cs="Calibri"/>
        </w:rPr>
        <w:t xml:space="preserve"> post-fire</w:t>
      </w:r>
      <w:r w:rsidRPr="00794D20">
        <w:rPr>
          <w:rFonts w:ascii="Calibri" w:hAnsi="Calibri" w:cs="Calibri"/>
        </w:rPr>
        <w:t xml:space="preserve"> </w:t>
      </w:r>
      <w:r w:rsidR="0081556E">
        <w:rPr>
          <w:rFonts w:ascii="Calibri" w:hAnsi="Calibri" w:cs="Calibri"/>
        </w:rPr>
        <w:t>ash</w:t>
      </w:r>
      <w:r w:rsidRPr="00794D20">
        <w:rPr>
          <w:rFonts w:ascii="Calibri" w:hAnsi="Calibri" w:cs="Calibri"/>
        </w:rPr>
        <w:t xml:space="preserve"> material, contamination with background dust was impossible to avoid. We also avoided locations where surfaces had been swept, washed, or otherwise altered following the fire event. In some grid cell locations where ash was plentiful, 2-3 samples were taken tens to a few hundred meters apart. Each sample was immediately transferred to a sample vial and the sample identifier, location, person sampling, date, and other </w:t>
      </w:r>
      <w:r w:rsidR="00A03E55">
        <w:rPr>
          <w:rFonts w:ascii="Calibri" w:hAnsi="Calibri" w:cs="Calibri"/>
        </w:rPr>
        <w:t>associated</w:t>
      </w:r>
      <w:r w:rsidRPr="00794D20">
        <w:rPr>
          <w:rFonts w:ascii="Calibri" w:hAnsi="Calibri" w:cs="Calibri"/>
        </w:rPr>
        <w:t xml:space="preserve"> notes.</w:t>
      </w:r>
      <w:r w:rsidR="001A69F7">
        <w:rPr>
          <w:rFonts w:ascii="Calibri" w:hAnsi="Calibri" w:cs="Calibri"/>
        </w:rPr>
        <w:t xml:space="preserve"> </w:t>
      </w:r>
      <w:r w:rsidRPr="00794D20">
        <w:rPr>
          <w:rFonts w:ascii="Calibri" w:hAnsi="Calibri" w:cs="Calibri"/>
        </w:rPr>
        <w:t>Community science participants were provided with standardized collection kits including a sampling bag, spoon, and wipe for ash collection. Submitted samples were registered and visually assessed to qualify the sample quantity for appropriate experimental analysis in the lab.</w:t>
      </w:r>
      <w:r w:rsidR="001A69F7">
        <w:rPr>
          <w:rFonts w:ascii="Calibri" w:hAnsi="Calibri" w:cs="Calibri"/>
        </w:rPr>
        <w:t xml:space="preserve"> </w:t>
      </w:r>
      <w:r w:rsidR="000A62C6">
        <w:rPr>
          <w:rFonts w:ascii="Calibri" w:hAnsi="Calibri" w:cs="Calibri"/>
          <w:noProof/>
        </w:rPr>
        <mc:AlternateContent>
          <mc:Choice Requires="wps">
            <w:drawing>
              <wp:anchor distT="0" distB="0" distL="114300" distR="114300" simplePos="0" relativeHeight="251665408" behindDoc="1" locked="0" layoutInCell="1" allowOverlap="1" wp14:anchorId="3D7D328B" wp14:editId="430EE955">
                <wp:simplePos x="0" y="0"/>
                <wp:positionH relativeFrom="column">
                  <wp:posOffset>0</wp:posOffset>
                </wp:positionH>
                <wp:positionV relativeFrom="paragraph">
                  <wp:posOffset>2423160</wp:posOffset>
                </wp:positionV>
                <wp:extent cx="5943600" cy="5009515"/>
                <wp:effectExtent l="0" t="0" r="12700" b="6985"/>
                <wp:wrapTight wrapText="bothSides">
                  <wp:wrapPolygon edited="0">
                    <wp:start x="0" y="0"/>
                    <wp:lineTo x="0" y="21575"/>
                    <wp:lineTo x="21600" y="21575"/>
                    <wp:lineTo x="21600" y="0"/>
                    <wp:lineTo x="0" y="0"/>
                  </wp:wrapPolygon>
                </wp:wrapTight>
                <wp:docPr id="405873931" name="Text Box 1"/>
                <wp:cNvGraphicFramePr/>
                <a:graphic xmlns:a="http://schemas.openxmlformats.org/drawingml/2006/main">
                  <a:graphicData uri="http://schemas.microsoft.com/office/word/2010/wordprocessingShape">
                    <wps:wsp>
                      <wps:cNvSpPr txBox="1"/>
                      <wps:spPr>
                        <a:xfrm>
                          <a:off x="0" y="0"/>
                          <a:ext cx="5943600" cy="5009515"/>
                        </a:xfrm>
                        <a:prstGeom prst="rect">
                          <a:avLst/>
                        </a:prstGeom>
                        <a:solidFill>
                          <a:schemeClr val="lt1"/>
                        </a:solidFill>
                        <a:ln w="6350">
                          <a:solidFill>
                            <a:prstClr val="black"/>
                          </a:solidFill>
                        </a:ln>
                      </wps:spPr>
                      <wps:txbx>
                        <w:txbxContent>
                          <w:p w14:paraId="0FE1B28B" w14:textId="6B212EB7" w:rsidR="000A62C6" w:rsidRDefault="00137D2A" w:rsidP="000A62C6">
                            <w:pPr>
                              <w:jc w:val="center"/>
                            </w:pPr>
                            <w:r w:rsidRPr="00137D2A">
                              <w:drawing>
                                <wp:inline distT="0" distB="0" distL="0" distR="0" wp14:anchorId="730A11F9" wp14:editId="64606215">
                                  <wp:extent cx="5422265" cy="4780280"/>
                                  <wp:effectExtent l="0" t="0" r="635" b="0"/>
                                  <wp:docPr id="175643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38328" name=""/>
                                          <pic:cNvPicPr/>
                                        </pic:nvPicPr>
                                        <pic:blipFill>
                                          <a:blip r:embed="rId8"/>
                                          <a:stretch>
                                            <a:fillRect/>
                                          </a:stretch>
                                        </pic:blipFill>
                                        <pic:spPr>
                                          <a:xfrm>
                                            <a:off x="0" y="0"/>
                                            <a:ext cx="5422265" cy="4780280"/>
                                          </a:xfrm>
                                          <a:prstGeom prst="rect">
                                            <a:avLst/>
                                          </a:prstGeom>
                                        </pic:spPr>
                                      </pic:pic>
                                    </a:graphicData>
                                  </a:graphic>
                                </wp:inline>
                              </w:drawing>
                            </w:r>
                          </w:p>
                          <w:p w14:paraId="608B43F4" w14:textId="74C2144F" w:rsidR="000A62C6" w:rsidRPr="00937AC5" w:rsidRDefault="000A62C6" w:rsidP="000A62C6">
                            <w:pPr>
                              <w:spacing w:line="240" w:lineRule="auto"/>
                              <w:jc w:val="center"/>
                            </w:pPr>
                            <w:r w:rsidRPr="006A28EE">
                              <w:rPr>
                                <w:b/>
                                <w:bCs/>
                              </w:rPr>
                              <w:t>Fig</w:t>
                            </w:r>
                            <w:r>
                              <w:rPr>
                                <w:b/>
                                <w:bCs/>
                              </w:rPr>
                              <w:t>ure</w:t>
                            </w:r>
                            <w:r w:rsidRPr="006A28EE">
                              <w:rPr>
                                <w:b/>
                                <w:bCs/>
                              </w:rPr>
                              <w:t xml:space="preserve"> </w:t>
                            </w:r>
                            <w:r>
                              <w:rPr>
                                <w:b/>
                                <w:bCs/>
                              </w:rPr>
                              <w:t>2</w:t>
                            </w:r>
                            <w:r w:rsidRPr="006A28EE">
                              <w:rPr>
                                <w:b/>
                                <w:bCs/>
                              </w:rPr>
                              <w:t>.</w:t>
                            </w:r>
                            <w:r>
                              <w:rPr>
                                <w:b/>
                                <w:bCs/>
                              </w:rPr>
                              <w:t xml:space="preserve"> </w:t>
                            </w:r>
                            <w:r>
                              <w:t>Ash samples were collected from outdoor surfaces including impervious wind-traps like residential sidewalks, road curbs,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D7D328B" id="_x0000_s1027" type="#_x0000_t202" style="position:absolute;left:0;text-align:left;margin-left:0;margin-top:190.8pt;width:468pt;height:394.4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" fillcolor="white [3201]" strokeweight=".5pt">
                <v:textbox>
                  <w:txbxContent>
                    <w:p w14:paraId="0FE1B28B" w14:textId="6B212EB7" w:rsidR="000A62C6" w:rsidRDefault="00137D2A" w:rsidP="000A62C6">
                      <w:pPr>
                        <w:jc w:val="center"/>
                      </w:pPr>
                      <w:r w:rsidRPr="00137D2A">
                        <w:drawing>
                          <wp:inline distT="0" distB="0" distL="0" distR="0" wp14:anchorId="730A11F9" wp14:editId="64606215">
                            <wp:extent cx="5422265" cy="4780280"/>
                            <wp:effectExtent l="0" t="0" r="635" b="0"/>
                            <wp:docPr id="175643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438328" name=""/>
                                    <pic:cNvPicPr/>
                                  </pic:nvPicPr>
                                  <pic:blipFill>
                                    <a:blip r:embed="rId8"/>
                                    <a:stretch>
                                      <a:fillRect/>
                                    </a:stretch>
                                  </pic:blipFill>
                                  <pic:spPr>
                                    <a:xfrm>
                                      <a:off x="0" y="0"/>
                                      <a:ext cx="5422265" cy="4780280"/>
                                    </a:xfrm>
                                    <a:prstGeom prst="rect">
                                      <a:avLst/>
                                    </a:prstGeom>
                                  </pic:spPr>
                                </pic:pic>
                              </a:graphicData>
                            </a:graphic>
                          </wp:inline>
                        </w:drawing>
                      </w:r>
                    </w:p>
                    <w:p w14:paraId="608B43F4" w14:textId="74C2144F" w:rsidR="000A62C6" w:rsidRPr="00937AC5" w:rsidRDefault="000A62C6" w:rsidP="000A62C6">
                      <w:pPr>
                        <w:spacing w:line="240" w:lineRule="auto"/>
                        <w:jc w:val="center"/>
                      </w:pPr>
                      <w:r w:rsidRPr="006A28EE">
                        <w:rPr>
                          <w:b/>
                          <w:bCs/>
                        </w:rPr>
                        <w:t>Fig</w:t>
                      </w:r>
                      <w:r>
                        <w:rPr>
                          <w:b/>
                          <w:bCs/>
                        </w:rPr>
                        <w:t>ure</w:t>
                      </w:r>
                      <w:r w:rsidRPr="006A28EE">
                        <w:rPr>
                          <w:b/>
                          <w:bCs/>
                        </w:rPr>
                        <w:t xml:space="preserve"> </w:t>
                      </w:r>
                      <w:r>
                        <w:rPr>
                          <w:b/>
                          <w:bCs/>
                        </w:rPr>
                        <w:t>2</w:t>
                      </w:r>
                      <w:r w:rsidRPr="006A28EE">
                        <w:rPr>
                          <w:b/>
                          <w:bCs/>
                        </w:rPr>
                        <w:t>.</w:t>
                      </w:r>
                      <w:r>
                        <w:rPr>
                          <w:b/>
                          <w:bCs/>
                        </w:rPr>
                        <w:t xml:space="preserve"> </w:t>
                      </w:r>
                      <w:r>
                        <w:t>Ash samples were collected from outdoor surfaces including impervious wind-traps like residential sidewalks, road curbs, etc.</w:t>
                      </w:r>
                    </w:p>
                  </w:txbxContent>
                </v:textbox>
                <w10:wrap type="tight"/>
              </v:shape>
            </w:pict>
          </mc:Fallback>
        </mc:AlternateContent>
      </w:r>
    </w:p>
    <w:p w14:paraId="05AB8301" w14:textId="6A367BAD" w:rsidR="003269FE" w:rsidRDefault="001A69F7" w:rsidP="003F17D2">
      <w:pPr>
        <w:spacing w:line="240" w:lineRule="auto"/>
        <w:ind w:firstLine="720"/>
        <w:jc w:val="both"/>
        <w:rPr>
          <w:rFonts w:ascii="Calibri" w:hAnsi="Calibri" w:cs="Calibri"/>
        </w:rPr>
      </w:pPr>
      <w:r>
        <w:rPr>
          <w:rFonts w:ascii="Calibri" w:hAnsi="Calibri" w:cs="Calibri"/>
        </w:rPr>
        <w:t xml:space="preserve">We selected </w:t>
      </w:r>
      <w:r w:rsidR="006330A6">
        <w:rPr>
          <w:rFonts w:ascii="Calibri" w:hAnsi="Calibri" w:cs="Calibri"/>
        </w:rPr>
        <w:t>39</w:t>
      </w:r>
      <w:r>
        <w:rPr>
          <w:rFonts w:ascii="Calibri" w:hAnsi="Calibri" w:cs="Calibri"/>
        </w:rPr>
        <w:t xml:space="preserve"> </w:t>
      </w:r>
      <w:r w:rsidR="00A03E55">
        <w:rPr>
          <w:rFonts w:ascii="Calibri" w:hAnsi="Calibri" w:cs="Calibri"/>
        </w:rPr>
        <w:t xml:space="preserve">ash </w:t>
      </w:r>
      <w:r>
        <w:rPr>
          <w:rFonts w:ascii="Calibri" w:hAnsi="Calibri" w:cs="Calibri"/>
        </w:rPr>
        <w:t>samples for their</w:t>
      </w:r>
      <w:r w:rsidR="009512DE">
        <w:rPr>
          <w:rFonts w:ascii="Calibri" w:hAnsi="Calibri" w:cs="Calibri"/>
        </w:rPr>
        <w:t xml:space="preserve"> </w:t>
      </w:r>
      <w:r w:rsidR="0081556E">
        <w:rPr>
          <w:rFonts w:ascii="Calibri" w:hAnsi="Calibri" w:cs="Calibri"/>
        </w:rPr>
        <w:t xml:space="preserve">spatial and temporal (pre-rainfall) </w:t>
      </w:r>
      <w:r>
        <w:rPr>
          <w:rFonts w:ascii="Calibri" w:hAnsi="Calibri" w:cs="Calibri"/>
        </w:rPr>
        <w:t xml:space="preserve">representation to proceed with elemental analysis via Inductively Coupled Plasma Mass Spectrometry (ICPMS). A subsample of each was aliquoted for parallel </w:t>
      </w:r>
      <w:r w:rsidR="008A26CB">
        <w:rPr>
          <w:rFonts w:ascii="Calibri" w:hAnsi="Calibri" w:cs="Calibri"/>
        </w:rPr>
        <w:t xml:space="preserve">Pb content </w:t>
      </w:r>
      <w:r>
        <w:rPr>
          <w:rFonts w:ascii="Calibri" w:hAnsi="Calibri" w:cs="Calibri"/>
        </w:rPr>
        <w:t xml:space="preserve">analysis </w:t>
      </w:r>
      <w:r w:rsidR="008843D9">
        <w:rPr>
          <w:rFonts w:ascii="Calibri" w:hAnsi="Calibri" w:cs="Calibri"/>
        </w:rPr>
        <w:t>with a benchtop energy-</w:t>
      </w:r>
      <w:r w:rsidR="008843D9">
        <w:rPr>
          <w:rFonts w:ascii="Calibri" w:hAnsi="Calibri" w:cs="Calibri"/>
        </w:rPr>
        <w:lastRenderedPageBreak/>
        <w:t xml:space="preserve">dispersive </w:t>
      </w:r>
      <w:r>
        <w:rPr>
          <w:rFonts w:ascii="Calibri" w:hAnsi="Calibri" w:cs="Calibri"/>
        </w:rPr>
        <w:t>X-ray Fluorescence (XRF)</w:t>
      </w:r>
      <w:r w:rsidR="008843D9">
        <w:rPr>
          <w:rFonts w:ascii="Calibri" w:hAnsi="Calibri" w:cs="Calibri"/>
        </w:rPr>
        <w:t xml:space="preserve"> spectrometer (INAM Expert 3L, RPE Institute of Analytical Control Methods, LLC).</w:t>
      </w:r>
      <w:r w:rsidR="009512DE">
        <w:rPr>
          <w:rFonts w:ascii="Calibri" w:hAnsi="Calibri" w:cs="Calibri"/>
        </w:rPr>
        <w:t xml:space="preserve"> The instrument is equipped with a high-resolution Silica Drift Detector and an X-ray source tube (Rh anode, 50kv max voltage, 1000 </w:t>
      </w:r>
      <w:proofErr w:type="spellStart"/>
      <w:r w:rsidR="009512DE">
        <w:rPr>
          <w:rFonts w:ascii="Calibri" w:hAnsi="Calibri" w:cs="Calibri"/>
        </w:rPr>
        <w:t>uA</w:t>
      </w:r>
      <w:proofErr w:type="spellEnd"/>
      <w:r w:rsidR="009512DE">
        <w:rPr>
          <w:rFonts w:ascii="Calibri" w:hAnsi="Calibri" w:cs="Calibri"/>
        </w:rPr>
        <w:t xml:space="preserve"> max current), enabling detection of elements from Sodium (Na, Z=11) to Uranium (U, Z=92).</w:t>
      </w:r>
      <w:r w:rsidR="008843D9">
        <w:rPr>
          <w:rFonts w:ascii="Calibri" w:hAnsi="Calibri" w:cs="Calibri"/>
        </w:rPr>
        <w:t xml:space="preserve"> To </w:t>
      </w:r>
      <w:r w:rsidR="009512DE">
        <w:rPr>
          <w:rFonts w:ascii="Calibri" w:hAnsi="Calibri" w:cs="Calibri"/>
        </w:rPr>
        <w:t>minimize</w:t>
      </w:r>
      <w:r w:rsidR="008843D9">
        <w:rPr>
          <w:rFonts w:ascii="Calibri" w:hAnsi="Calibri" w:cs="Calibri"/>
        </w:rPr>
        <w:t xml:space="preserve"> </w:t>
      </w:r>
      <w:r w:rsidR="009512DE">
        <w:rPr>
          <w:rFonts w:ascii="Calibri" w:hAnsi="Calibri" w:cs="Calibri"/>
        </w:rPr>
        <w:t xml:space="preserve">grain-size </w:t>
      </w:r>
      <w:r w:rsidR="008843D9">
        <w:rPr>
          <w:rFonts w:ascii="Calibri" w:hAnsi="Calibri" w:cs="Calibri"/>
        </w:rPr>
        <w:t xml:space="preserve">effects, each ash subsample was </w:t>
      </w:r>
      <w:r w:rsidR="009512DE">
        <w:rPr>
          <w:rFonts w:ascii="Calibri" w:hAnsi="Calibri" w:cs="Calibri"/>
        </w:rPr>
        <w:t>homogenized by grinding</w:t>
      </w:r>
      <w:r w:rsidR="0081556E">
        <w:rPr>
          <w:rFonts w:ascii="Calibri" w:hAnsi="Calibri" w:cs="Calibri"/>
        </w:rPr>
        <w:t xml:space="preserve"> and sieving</w:t>
      </w:r>
      <w:r w:rsidR="009512DE">
        <w:rPr>
          <w:rFonts w:ascii="Calibri" w:hAnsi="Calibri" w:cs="Calibri"/>
        </w:rPr>
        <w:t xml:space="preserve"> to a fine powder (&lt;106 </w:t>
      </w:r>
      <w:r w:rsidR="005C2ABA">
        <w:rPr>
          <w:rFonts w:ascii="micron" w:hAnsi="micron" w:cs="Calibri"/>
        </w:rPr>
        <w:t>µ</w:t>
      </w:r>
      <w:r w:rsidR="009512DE">
        <w:rPr>
          <w:rFonts w:ascii="Calibri" w:hAnsi="Calibri" w:cs="Calibri"/>
        </w:rPr>
        <w:t>m) and then</w:t>
      </w:r>
      <w:r w:rsidR="0081556E">
        <w:rPr>
          <w:rFonts w:ascii="Calibri" w:hAnsi="Calibri" w:cs="Calibri"/>
        </w:rPr>
        <w:t xml:space="preserve"> weighed to</w:t>
      </w:r>
      <w:r w:rsidR="009512DE">
        <w:rPr>
          <w:rFonts w:ascii="Calibri" w:hAnsi="Calibri" w:cs="Calibri"/>
        </w:rPr>
        <w:t xml:space="preserve"> mix</w:t>
      </w:r>
      <w:r w:rsidR="0081556E">
        <w:rPr>
          <w:rFonts w:ascii="Calibri" w:hAnsi="Calibri" w:cs="Calibri"/>
        </w:rPr>
        <w:t xml:space="preserve"> 330</w:t>
      </w:r>
      <w:r w:rsidR="005C2ABA">
        <w:rPr>
          <w:rFonts w:ascii="Calibri" w:hAnsi="Calibri" w:cs="Calibri"/>
        </w:rPr>
        <w:t xml:space="preserve"> </w:t>
      </w:r>
      <w:r w:rsidR="0081556E">
        <w:rPr>
          <w:rFonts w:ascii="Calibri" w:hAnsi="Calibri" w:cs="Calibri"/>
        </w:rPr>
        <w:t>mg of sample powder</w:t>
      </w:r>
      <w:r w:rsidR="009512DE">
        <w:rPr>
          <w:rFonts w:ascii="Calibri" w:hAnsi="Calibri" w:cs="Calibri"/>
        </w:rPr>
        <w:t xml:space="preserve"> with</w:t>
      </w:r>
      <w:r w:rsidR="0081556E">
        <w:rPr>
          <w:rFonts w:ascii="Calibri" w:hAnsi="Calibri" w:cs="Calibri"/>
        </w:rPr>
        <w:t xml:space="preserve"> 70</w:t>
      </w:r>
      <w:r w:rsidR="005C2ABA">
        <w:rPr>
          <w:rFonts w:ascii="Calibri" w:hAnsi="Calibri" w:cs="Calibri"/>
        </w:rPr>
        <w:t xml:space="preserve"> </w:t>
      </w:r>
      <w:r w:rsidR="0081556E">
        <w:rPr>
          <w:rFonts w:ascii="Calibri" w:hAnsi="Calibri" w:cs="Calibri"/>
        </w:rPr>
        <w:t>mg of</w:t>
      </w:r>
      <w:r w:rsidR="009512DE">
        <w:rPr>
          <w:rFonts w:ascii="Calibri" w:hAnsi="Calibri" w:cs="Calibri"/>
        </w:rPr>
        <w:t xml:space="preserve"> cellulose binder before being pressed into a </w:t>
      </w:r>
      <w:r w:rsidR="003D141B">
        <w:rPr>
          <w:rFonts w:ascii="Calibri" w:hAnsi="Calibri" w:cs="Calibri"/>
        </w:rPr>
        <w:t>1</w:t>
      </w:r>
      <w:r w:rsidR="0081556E">
        <w:rPr>
          <w:rFonts w:ascii="Calibri" w:hAnsi="Calibri" w:cs="Calibri"/>
        </w:rPr>
        <w:t>3</w:t>
      </w:r>
      <w:r w:rsidR="005C2ABA">
        <w:rPr>
          <w:rFonts w:ascii="Calibri" w:hAnsi="Calibri" w:cs="Calibri"/>
        </w:rPr>
        <w:t>-</w:t>
      </w:r>
      <w:r w:rsidR="009512DE">
        <w:rPr>
          <w:rFonts w:ascii="Calibri" w:hAnsi="Calibri" w:cs="Calibri"/>
        </w:rPr>
        <w:t xml:space="preserve">mm diameter pellet under </w:t>
      </w:r>
      <w:r w:rsidR="007037DA">
        <w:rPr>
          <w:rFonts w:ascii="Calibri" w:hAnsi="Calibri" w:cs="Calibri"/>
        </w:rPr>
        <w:t>8.1</w:t>
      </w:r>
      <w:r w:rsidR="009512DE">
        <w:rPr>
          <w:rFonts w:ascii="Calibri" w:hAnsi="Calibri" w:cs="Calibri"/>
        </w:rPr>
        <w:t xml:space="preserve"> tons of pressure for </w:t>
      </w:r>
      <w:r w:rsidR="007037DA">
        <w:rPr>
          <w:rFonts w:ascii="Calibri" w:hAnsi="Calibri" w:cs="Calibri"/>
        </w:rPr>
        <w:t>5</w:t>
      </w:r>
      <w:r w:rsidR="009512DE">
        <w:rPr>
          <w:rFonts w:ascii="Calibri" w:hAnsi="Calibri" w:cs="Calibri"/>
        </w:rPr>
        <w:t xml:space="preserve">-10 seconds with a hydraulic press. </w:t>
      </w:r>
      <w:r w:rsidR="007037DA">
        <w:rPr>
          <w:rFonts w:ascii="Calibri" w:hAnsi="Calibri" w:cs="Calibri"/>
        </w:rPr>
        <w:t>XRF s</w:t>
      </w:r>
      <w:r w:rsidR="009512DE">
        <w:rPr>
          <w:rFonts w:ascii="Calibri" w:hAnsi="Calibri" w:cs="Calibri"/>
        </w:rPr>
        <w:t>pectra from each sample</w:t>
      </w:r>
      <w:r w:rsidR="005C2ABA">
        <w:rPr>
          <w:rFonts w:ascii="Calibri" w:hAnsi="Calibri" w:cs="Calibri"/>
        </w:rPr>
        <w:t xml:space="preserve"> pellet</w:t>
      </w:r>
      <w:r w:rsidR="009512DE">
        <w:rPr>
          <w:rFonts w:ascii="Calibri" w:hAnsi="Calibri" w:cs="Calibri"/>
        </w:rPr>
        <w:t xml:space="preserve"> were acquired </w:t>
      </w:r>
      <w:r w:rsidR="004F05FE">
        <w:rPr>
          <w:rFonts w:ascii="Calibri" w:hAnsi="Calibri" w:cs="Calibri"/>
        </w:rPr>
        <w:t>over 60 seconds of exposure with automatic peak deconvolution and matrix correction via the instrument’s fundamental parameters software package that reported semi-quantitative results in mass fraction percentage (mf. %). Instead of relying on this calculation, we report XRF data in units of counts per second (</w:t>
      </w:r>
      <w:proofErr w:type="spellStart"/>
      <w:r w:rsidR="004F05FE">
        <w:rPr>
          <w:rFonts w:ascii="Calibri" w:hAnsi="Calibri" w:cs="Calibri"/>
        </w:rPr>
        <w:t>cts</w:t>
      </w:r>
      <w:proofErr w:type="spellEnd"/>
      <w:r w:rsidR="004F05FE">
        <w:rPr>
          <w:rFonts w:ascii="Calibri" w:hAnsi="Calibri" w:cs="Calibri"/>
        </w:rPr>
        <w:t>/s) as the cumulative x-ray photons detected from the Pb L</w:t>
      </w:r>
      <w:r w:rsidR="005C2ABA" w:rsidRPr="004462A0">
        <w:rPr>
          <w:rFonts w:ascii="Calibri" w:hAnsi="Calibri" w:cs="Calibri"/>
        </w:rPr>
        <w:t>α</w:t>
      </w:r>
      <w:r w:rsidR="005C2ABA">
        <w:rPr>
          <w:rFonts w:ascii="Calibri" w:hAnsi="Calibri" w:cs="Calibri"/>
          <w:vertAlign w:val="subscript"/>
        </w:rPr>
        <w:t>1</w:t>
      </w:r>
      <w:r w:rsidR="005C2ABA">
        <w:rPr>
          <w:rFonts w:ascii="Calibri" w:hAnsi="Calibri" w:cs="Calibri"/>
        </w:rPr>
        <w:t xml:space="preserve">, </w:t>
      </w:r>
      <w:r w:rsidR="004F05FE">
        <w:rPr>
          <w:rFonts w:ascii="Calibri" w:hAnsi="Calibri" w:cs="Calibri"/>
        </w:rPr>
        <w:t>L</w:t>
      </w:r>
      <w:r w:rsidR="005C2ABA" w:rsidRPr="004462A0">
        <w:rPr>
          <w:rFonts w:ascii="Calibri" w:hAnsi="Calibri" w:cs="Calibri"/>
        </w:rPr>
        <w:t>β</w:t>
      </w:r>
      <w:r w:rsidR="005C2ABA">
        <w:rPr>
          <w:rFonts w:ascii="Calibri" w:hAnsi="Calibri" w:cs="Calibri"/>
          <w:vertAlign w:val="subscript"/>
        </w:rPr>
        <w:t>1</w:t>
      </w:r>
      <w:r w:rsidR="005C2ABA">
        <w:rPr>
          <w:rFonts w:ascii="Calibri" w:hAnsi="Calibri" w:cs="Calibri"/>
        </w:rPr>
        <w:t>, and L</w:t>
      </w:r>
      <w:r w:rsidR="005C2ABA" w:rsidRPr="004462A0">
        <w:rPr>
          <w:rFonts w:ascii="Calibri" w:hAnsi="Calibri" w:cs="Calibri"/>
        </w:rPr>
        <w:t>β</w:t>
      </w:r>
      <w:r w:rsidR="005C2ABA">
        <w:rPr>
          <w:rFonts w:ascii="Calibri" w:hAnsi="Calibri" w:cs="Calibri"/>
          <w:vertAlign w:val="subscript"/>
        </w:rPr>
        <w:t>2</w:t>
      </w:r>
      <w:r w:rsidR="004F05FE">
        <w:rPr>
          <w:rFonts w:ascii="Calibri" w:hAnsi="Calibri" w:cs="Calibri"/>
        </w:rPr>
        <w:t xml:space="preserve"> energy lines because of their minimal </w:t>
      </w:r>
      <w:r w:rsidR="007037DA">
        <w:rPr>
          <w:rFonts w:ascii="Calibri" w:hAnsi="Calibri" w:cs="Calibri"/>
        </w:rPr>
        <w:t>interference</w:t>
      </w:r>
      <w:r w:rsidR="004F05FE">
        <w:rPr>
          <w:rFonts w:ascii="Calibri" w:hAnsi="Calibri" w:cs="Calibri"/>
        </w:rPr>
        <w:t xml:space="preserve"> with other elements.</w:t>
      </w:r>
    </w:p>
    <w:p w14:paraId="057A88D6" w14:textId="30A541FE" w:rsidR="003269FE" w:rsidRPr="003269FE" w:rsidRDefault="003269FE" w:rsidP="003F17D2">
      <w:pPr>
        <w:spacing w:after="0" w:line="240" w:lineRule="auto"/>
        <w:jc w:val="both"/>
        <w:rPr>
          <w:rFonts w:ascii="Calibri" w:hAnsi="Calibri" w:cs="Calibri"/>
          <w:b/>
          <w:bCs/>
        </w:rPr>
      </w:pPr>
      <w:r>
        <w:rPr>
          <w:rFonts w:ascii="Calibri" w:hAnsi="Calibri" w:cs="Calibri"/>
          <w:b/>
          <w:bCs/>
        </w:rPr>
        <w:t>Results</w:t>
      </w:r>
    </w:p>
    <w:p w14:paraId="3ACD5A5D" w14:textId="6423C3FC" w:rsidR="00A03E55" w:rsidRPr="003269FE" w:rsidRDefault="006330A6" w:rsidP="003F17D2">
      <w:pPr>
        <w:spacing w:line="240" w:lineRule="auto"/>
        <w:jc w:val="both"/>
        <w:rPr>
          <w:rFonts w:ascii="Calibri" w:hAnsi="Calibri" w:cs="Calibri"/>
        </w:rPr>
      </w:pPr>
      <w:r w:rsidRPr="006330A6">
        <w:rPr>
          <w:rFonts w:ascii="Calibri" w:hAnsi="Calibri" w:cs="Calibri"/>
        </w:rPr>
        <w:t xml:space="preserve">ICP-MS analysis </w:t>
      </w:r>
      <w:r w:rsidR="00FF68A6">
        <w:rPr>
          <w:rFonts w:ascii="Calibri" w:hAnsi="Calibri" w:cs="Calibri"/>
        </w:rPr>
        <w:t xml:space="preserve">quantified </w:t>
      </w:r>
      <w:r w:rsidR="007037DA">
        <w:rPr>
          <w:rFonts w:ascii="Calibri" w:hAnsi="Calibri" w:cs="Calibri"/>
        </w:rPr>
        <w:t xml:space="preserve">over </w:t>
      </w:r>
      <w:r w:rsidR="00FF68A6">
        <w:rPr>
          <w:rFonts w:ascii="Calibri" w:hAnsi="Calibri" w:cs="Calibri"/>
        </w:rPr>
        <w:t>5</w:t>
      </w:r>
      <w:r w:rsidR="007037DA">
        <w:rPr>
          <w:rFonts w:ascii="Calibri" w:hAnsi="Calibri" w:cs="Calibri"/>
        </w:rPr>
        <w:t>0</w:t>
      </w:r>
      <w:r w:rsidR="00FF68A6">
        <w:rPr>
          <w:rFonts w:ascii="Calibri" w:hAnsi="Calibri" w:cs="Calibri"/>
        </w:rPr>
        <w:t xml:space="preserve"> elements in </w:t>
      </w:r>
      <w:r>
        <w:rPr>
          <w:rFonts w:ascii="Calibri" w:hAnsi="Calibri" w:cs="Calibri"/>
        </w:rPr>
        <w:t xml:space="preserve">the </w:t>
      </w:r>
      <w:r w:rsidRPr="006330A6">
        <w:rPr>
          <w:rFonts w:ascii="Calibri" w:hAnsi="Calibri" w:cs="Calibri"/>
        </w:rPr>
        <w:t xml:space="preserve">39 </w:t>
      </w:r>
      <w:r w:rsidR="007037DA">
        <w:rPr>
          <w:rFonts w:ascii="Calibri" w:hAnsi="Calibri" w:cs="Calibri"/>
        </w:rPr>
        <w:t xml:space="preserve">candidate </w:t>
      </w:r>
      <w:r w:rsidRPr="006330A6">
        <w:rPr>
          <w:rFonts w:ascii="Calibri" w:hAnsi="Calibri" w:cs="Calibri"/>
        </w:rPr>
        <w:t xml:space="preserve">ash samples </w:t>
      </w:r>
      <w:r w:rsidR="00FF68A6">
        <w:rPr>
          <w:rFonts w:ascii="Calibri" w:hAnsi="Calibri" w:cs="Calibri"/>
        </w:rPr>
        <w:t xml:space="preserve">including major elements from biomass combustion residue and trace metals of environmental concern. </w:t>
      </w:r>
      <w:r w:rsidR="00A03E55" w:rsidRPr="00A03E55">
        <w:rPr>
          <w:rFonts w:ascii="Calibri" w:hAnsi="Calibri" w:cs="Calibri"/>
        </w:rPr>
        <w:t>Calcium was the most abundant element (mean 52,728 ppm), followed by iron (36,577 ppm) and aluminum (36,613 ppm) at comparable concentrations (Table 1). Potassium, magnesium, and sodium ranged from 13,000–19,000 ppm. Titanium (6,138 ppm) and manganese (962 ppm) were present at lower concentrations. Calcium and magnesium exhibited the highest variability among major elements (CV = 116% and 125%, respectively), while potassium was most uniformly distributed (CV = 31%).</w:t>
      </w:r>
    </w:p>
    <w:p w14:paraId="6DC1808A" w14:textId="4733825A" w:rsidR="00A05940" w:rsidRDefault="00A05940" w:rsidP="00A05940">
      <w:pPr>
        <w:spacing w:line="240" w:lineRule="auto"/>
        <w:ind w:firstLine="720"/>
        <w:jc w:val="both"/>
        <w:rPr>
          <w:rFonts w:ascii="Calibri" w:hAnsi="Calibri" w:cs="Calibri"/>
        </w:rPr>
      </w:pPr>
      <w:r>
        <w:rPr>
          <w:rFonts w:ascii="Calibri" w:hAnsi="Calibri" w:cs="Calibri"/>
          <w:noProof/>
        </w:rPr>
        <w:lastRenderedPageBreak/>
        <mc:AlternateContent>
          <mc:Choice Requires="wps">
            <w:drawing>
              <wp:anchor distT="0" distB="0" distL="114300" distR="114300" simplePos="0" relativeHeight="251667456" behindDoc="1" locked="0" layoutInCell="1" allowOverlap="1" wp14:anchorId="56D61755" wp14:editId="0FB19E6B">
                <wp:simplePos x="0" y="0"/>
                <wp:positionH relativeFrom="column">
                  <wp:posOffset>163756</wp:posOffset>
                </wp:positionH>
                <wp:positionV relativeFrom="paragraph">
                  <wp:posOffset>2747682</wp:posOffset>
                </wp:positionV>
                <wp:extent cx="5850255" cy="2997835"/>
                <wp:effectExtent l="0" t="0" r="17145" b="12065"/>
                <wp:wrapTight wrapText="bothSides">
                  <wp:wrapPolygon edited="0">
                    <wp:start x="0" y="0"/>
                    <wp:lineTo x="0" y="21595"/>
                    <wp:lineTo x="21616" y="21595"/>
                    <wp:lineTo x="21616" y="0"/>
                    <wp:lineTo x="0" y="0"/>
                  </wp:wrapPolygon>
                </wp:wrapTight>
                <wp:docPr id="382943636" name="Text Box 1"/>
                <wp:cNvGraphicFramePr/>
                <a:graphic xmlns:a="http://schemas.openxmlformats.org/drawingml/2006/main">
                  <a:graphicData uri="http://schemas.microsoft.com/office/word/2010/wordprocessingShape">
                    <wps:wsp>
                      <wps:cNvSpPr txBox="1"/>
                      <wps:spPr>
                        <a:xfrm>
                          <a:off x="0" y="0"/>
                          <a:ext cx="5850255" cy="2997835"/>
                        </a:xfrm>
                        <a:prstGeom prst="rect">
                          <a:avLst/>
                        </a:prstGeom>
                        <a:solidFill>
                          <a:schemeClr val="lt1"/>
                        </a:solidFill>
                        <a:ln w="6350">
                          <a:solidFill>
                            <a:prstClr val="black"/>
                          </a:solidFill>
                        </a:ln>
                      </wps:spPr>
                      <wps:txbx>
                        <w:txbxContent>
                          <w:p w14:paraId="6E0F8619" w14:textId="6F5ADDDA" w:rsidR="00A92A78" w:rsidRPr="003269FE" w:rsidRDefault="00A92A78" w:rsidP="00A92A78">
                            <w:pPr>
                              <w:spacing w:after="0"/>
                              <w:jc w:val="center"/>
                              <w:rPr>
                                <w:rFonts w:ascii="Calibri" w:hAnsi="Calibri" w:cs="Calibri"/>
                                <w:b/>
                                <w:bCs/>
                              </w:rPr>
                            </w:pPr>
                            <w:r w:rsidRPr="003269FE">
                              <w:rPr>
                                <w:rFonts w:ascii="Calibri" w:hAnsi="Calibri" w:cs="Calibri"/>
                                <w:b/>
                                <w:bCs/>
                              </w:rPr>
                              <w:t>Table 1. Elemental concentrations (ppm) in Eaton Fire ashes (n=39)</w:t>
                            </w:r>
                          </w:p>
                          <w:p w14:paraId="64985142" w14:textId="77777777" w:rsidR="00A92A78" w:rsidRDefault="00A92A78" w:rsidP="00A92A78">
                            <w:pPr>
                              <w:spacing w:after="0"/>
                              <w:jc w:val="center"/>
                              <w:rPr>
                                <w:rFonts w:ascii="Calibri" w:hAnsi="Calibri" w:cs="Calibri"/>
                              </w:rPr>
                            </w:pPr>
                            <w:r w:rsidRPr="003269FE">
                              <w:rPr>
                                <w:rFonts w:ascii="Calibri" w:hAnsi="Calibri" w:cs="Calibri"/>
                              </w:rPr>
                              <w:t>1B. Metal contaminants (rank order of variation %)</w:t>
                            </w:r>
                          </w:p>
                          <w:p w14:paraId="01A40314" w14:textId="28329B73" w:rsidR="00A92A78" w:rsidRPr="003269FE" w:rsidRDefault="00A92A78" w:rsidP="00A92A78">
                            <w:pPr>
                              <w:spacing w:after="0"/>
                              <w:jc w:val="center"/>
                              <w:rPr>
                                <w:rFonts w:ascii="Calibri" w:hAnsi="Calibri" w:cs="Calibri"/>
                              </w:rPr>
                            </w:pPr>
                            <w:r w:rsidRPr="00A92A78">
                              <w:rPr>
                                <w:rFonts w:ascii="Calibri" w:hAnsi="Calibri" w:cs="Calibri"/>
                              </w:rPr>
                              <w:drawing>
                                <wp:inline distT="0" distB="0" distL="0" distR="0" wp14:anchorId="38825123" wp14:editId="20DCA75C">
                                  <wp:extent cx="5450205" cy="2647315"/>
                                  <wp:effectExtent l="0" t="0" r="0" b="0"/>
                                  <wp:docPr id="1140303040" name="Picture 1"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75486" name="Picture 1" descr="A table with numbers and lines&#10;&#10;AI-generated content may be incorrect."/>
                                          <pic:cNvPicPr/>
                                        </pic:nvPicPr>
                                        <pic:blipFill>
                                          <a:blip r:embed="rId9"/>
                                          <a:stretch>
                                            <a:fillRect/>
                                          </a:stretch>
                                        </pic:blipFill>
                                        <pic:spPr>
                                          <a:xfrm>
                                            <a:off x="0" y="0"/>
                                            <a:ext cx="5450205" cy="2647315"/>
                                          </a:xfrm>
                                          <a:prstGeom prst="rect">
                                            <a:avLst/>
                                          </a:prstGeom>
                                        </pic:spPr>
                                      </pic:pic>
                                    </a:graphicData>
                                  </a:graphic>
                                </wp:inline>
                              </w:drawing>
                            </w:r>
                          </w:p>
                          <w:p w14:paraId="42724BA2" w14:textId="49ACE868" w:rsidR="00A92A78" w:rsidRPr="003269FE" w:rsidRDefault="00A92A78" w:rsidP="00A92A78">
                            <w:pPr>
                              <w:jc w:val="center"/>
                              <w:rPr>
                                <w:rFonts w:ascii="Calibri" w:hAnsi="Calibri" w:cs="Calibri"/>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6D61755" id="_x0000_s1028" type="#_x0000_t202" style="position:absolute;left:0;text-align:left;margin-left:12.9pt;margin-top:216.35pt;width:460.65pt;height:236.0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" fillcolor="white [3201]" strokeweight=".5pt">
                <v:textbox>
                  <w:txbxContent>
                    <w:p w14:paraId="6E0F8619" w14:textId="6F5ADDDA" w:rsidR="00A92A78" w:rsidRPr="003269FE" w:rsidRDefault="00A92A78" w:rsidP="00A92A78">
                      <w:pPr>
                        <w:spacing w:after="0"/>
                        <w:jc w:val="center"/>
                        <w:rPr>
                          <w:rFonts w:ascii="Calibri" w:hAnsi="Calibri" w:cs="Calibri"/>
                          <w:b/>
                          <w:bCs/>
                        </w:rPr>
                      </w:pPr>
                      <w:r w:rsidRPr="003269FE">
                        <w:rPr>
                          <w:rFonts w:ascii="Calibri" w:hAnsi="Calibri" w:cs="Calibri"/>
                          <w:b/>
                          <w:bCs/>
                        </w:rPr>
                        <w:t>Table 1. Elemental concentrations (ppm) in Eaton Fire ashes (n=39)</w:t>
                      </w:r>
                    </w:p>
                    <w:p w14:paraId="64985142" w14:textId="77777777" w:rsidR="00A92A78" w:rsidRDefault="00A92A78" w:rsidP="00A92A78">
                      <w:pPr>
                        <w:spacing w:after="0"/>
                        <w:jc w:val="center"/>
                        <w:rPr>
                          <w:rFonts w:ascii="Calibri" w:hAnsi="Calibri" w:cs="Calibri"/>
                        </w:rPr>
                      </w:pPr>
                      <w:r w:rsidRPr="003269FE">
                        <w:rPr>
                          <w:rFonts w:ascii="Calibri" w:hAnsi="Calibri" w:cs="Calibri"/>
                        </w:rPr>
                        <w:t>1B. Metal contaminants (rank order of variation %)</w:t>
                      </w:r>
                    </w:p>
                    <w:p w14:paraId="01A40314" w14:textId="28329B73" w:rsidR="00A92A78" w:rsidRPr="003269FE" w:rsidRDefault="00A92A78" w:rsidP="00A92A78">
                      <w:pPr>
                        <w:spacing w:after="0"/>
                        <w:jc w:val="center"/>
                        <w:rPr>
                          <w:rFonts w:ascii="Calibri" w:hAnsi="Calibri" w:cs="Calibri"/>
                        </w:rPr>
                      </w:pPr>
                      <w:r w:rsidRPr="00A92A78">
                        <w:rPr>
                          <w:rFonts w:ascii="Calibri" w:hAnsi="Calibri" w:cs="Calibri"/>
                        </w:rPr>
                        <w:drawing>
                          <wp:inline distT="0" distB="0" distL="0" distR="0" wp14:anchorId="38825123" wp14:editId="20DCA75C">
                            <wp:extent cx="5450205" cy="2647315"/>
                            <wp:effectExtent l="0" t="0" r="0" b="0"/>
                            <wp:docPr id="1140303040" name="Picture 1"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975486" name="Picture 1" descr="A table with numbers and lines&#10;&#10;AI-generated content may be incorrect."/>
                                    <pic:cNvPicPr/>
                                  </pic:nvPicPr>
                                  <pic:blipFill>
                                    <a:blip r:embed="rId9"/>
                                    <a:stretch>
                                      <a:fillRect/>
                                    </a:stretch>
                                  </pic:blipFill>
                                  <pic:spPr>
                                    <a:xfrm>
                                      <a:off x="0" y="0"/>
                                      <a:ext cx="5450205" cy="2647315"/>
                                    </a:xfrm>
                                    <a:prstGeom prst="rect">
                                      <a:avLst/>
                                    </a:prstGeom>
                                  </pic:spPr>
                                </pic:pic>
                              </a:graphicData>
                            </a:graphic>
                          </wp:inline>
                        </w:drawing>
                      </w:r>
                    </w:p>
                    <w:p w14:paraId="42724BA2" w14:textId="49ACE868" w:rsidR="00A92A78" w:rsidRPr="003269FE" w:rsidRDefault="00A92A78" w:rsidP="00A92A78">
                      <w:pPr>
                        <w:jc w:val="center"/>
                        <w:rPr>
                          <w:rFonts w:ascii="Calibri" w:hAnsi="Calibri" w:cs="Calibri"/>
                          <w:b/>
                          <w:bCs/>
                        </w:rPr>
                      </w:pPr>
                    </w:p>
                  </w:txbxContent>
                </v:textbox>
                <w10:wrap type="tight"/>
              </v:shape>
            </w:pict>
          </mc:Fallback>
        </mc:AlternateContent>
      </w:r>
      <w:r>
        <w:rPr>
          <w:rFonts w:ascii="Calibri" w:hAnsi="Calibri" w:cs="Calibri"/>
          <w:noProof/>
        </w:rPr>
        <mc:AlternateContent>
          <mc:Choice Requires="wps">
            <w:drawing>
              <wp:anchor distT="0" distB="0" distL="114300" distR="114300" simplePos="0" relativeHeight="251666432" behindDoc="1" locked="0" layoutInCell="1" allowOverlap="1" wp14:anchorId="3BAAFB47" wp14:editId="138A002C">
                <wp:simplePos x="0" y="0"/>
                <wp:positionH relativeFrom="column">
                  <wp:posOffset>163286</wp:posOffset>
                </wp:positionH>
                <wp:positionV relativeFrom="paragraph">
                  <wp:posOffset>-3854904</wp:posOffset>
                </wp:positionV>
                <wp:extent cx="5850255" cy="2662555"/>
                <wp:effectExtent l="0" t="0" r="17145" b="17145"/>
                <wp:wrapTight wrapText="bothSides">
                  <wp:wrapPolygon edited="0">
                    <wp:start x="0" y="0"/>
                    <wp:lineTo x="0" y="21636"/>
                    <wp:lineTo x="21616" y="21636"/>
                    <wp:lineTo x="21616" y="0"/>
                    <wp:lineTo x="0" y="0"/>
                  </wp:wrapPolygon>
                </wp:wrapTight>
                <wp:docPr id="1841336281" name="Text Box 1"/>
                <wp:cNvGraphicFramePr/>
                <a:graphic xmlns:a="http://schemas.openxmlformats.org/drawingml/2006/main">
                  <a:graphicData uri="http://schemas.microsoft.com/office/word/2010/wordprocessingShape">
                    <wps:wsp>
                      <wps:cNvSpPr txBox="1"/>
                      <wps:spPr>
                        <a:xfrm>
                          <a:off x="0" y="0"/>
                          <a:ext cx="5850255" cy="2662555"/>
                        </a:xfrm>
                        <a:prstGeom prst="rect">
                          <a:avLst/>
                        </a:prstGeom>
                        <a:solidFill>
                          <a:schemeClr val="lt1"/>
                        </a:solidFill>
                        <a:ln w="6350">
                          <a:solidFill>
                            <a:prstClr val="black"/>
                          </a:solidFill>
                        </a:ln>
                      </wps:spPr>
                      <wps:txbx>
                        <w:txbxContent>
                          <w:p w14:paraId="1CBD6E7F" w14:textId="77777777" w:rsidR="00A05940" w:rsidRPr="003269FE" w:rsidRDefault="00A05940" w:rsidP="00A05940">
                            <w:pPr>
                              <w:spacing w:after="0"/>
                              <w:jc w:val="center"/>
                              <w:rPr>
                                <w:rFonts w:ascii="Calibri" w:hAnsi="Calibri" w:cs="Calibri"/>
                                <w:b/>
                                <w:bCs/>
                              </w:rPr>
                            </w:pPr>
                            <w:r w:rsidRPr="003269FE">
                              <w:rPr>
                                <w:rFonts w:ascii="Calibri" w:hAnsi="Calibri" w:cs="Calibri"/>
                                <w:b/>
                                <w:bCs/>
                              </w:rPr>
                              <w:t>Table 1. Elemental concentrations (ppm) in Eaton Fire ashes (n=39)</w:t>
                            </w:r>
                          </w:p>
                          <w:p w14:paraId="2A44C3BF" w14:textId="77777777" w:rsidR="00A05940" w:rsidRPr="003269FE" w:rsidRDefault="00A05940" w:rsidP="00A05940">
                            <w:pPr>
                              <w:spacing w:after="0"/>
                              <w:jc w:val="center"/>
                              <w:rPr>
                                <w:rFonts w:ascii="Calibri" w:hAnsi="Calibri" w:cs="Calibri"/>
                              </w:rPr>
                            </w:pPr>
                            <w:r w:rsidRPr="003269FE">
                              <w:rPr>
                                <w:rFonts w:ascii="Calibri" w:hAnsi="Calibri" w:cs="Calibri"/>
                              </w:rPr>
                              <w:t xml:space="preserve">1A. Major elements (rank order of </w:t>
                            </w:r>
                            <w:r>
                              <w:rPr>
                                <w:rFonts w:ascii="Calibri" w:hAnsi="Calibri" w:cs="Calibri"/>
                              </w:rPr>
                              <w:t>mean concentration</w:t>
                            </w:r>
                            <w:r w:rsidRPr="003269FE">
                              <w:rPr>
                                <w:rFonts w:ascii="Calibri" w:hAnsi="Calibri" w:cs="Calibri"/>
                              </w:rPr>
                              <w:t>)</w:t>
                            </w:r>
                          </w:p>
                          <w:p w14:paraId="2B164669" w14:textId="77777777" w:rsidR="00A05940" w:rsidRPr="003269FE" w:rsidRDefault="00A05940" w:rsidP="00A05940">
                            <w:pPr>
                              <w:spacing w:after="0"/>
                              <w:jc w:val="center"/>
                              <w:rPr>
                                <w:rFonts w:ascii="Calibri" w:hAnsi="Calibri" w:cs="Calibri"/>
                                <w:b/>
                                <w:bCs/>
                              </w:rPr>
                            </w:pPr>
                            <w:r w:rsidRPr="003269FE">
                              <w:rPr>
                                <w:rFonts w:ascii="Calibri" w:hAnsi="Calibri" w:cs="Calibri"/>
                                <w:b/>
                                <w:bCs/>
                              </w:rPr>
                              <w:drawing>
                                <wp:inline distT="0" distB="0" distL="0" distR="0" wp14:anchorId="440B122C" wp14:editId="77C4EEB5">
                                  <wp:extent cx="5661025" cy="2264410"/>
                                  <wp:effectExtent l="0" t="0" r="3175" b="0"/>
                                  <wp:docPr id="1552125907" name="Picture 1"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83025" name="Picture 1" descr="A table with numbers and a number of objects&#10;&#10;AI-generated content may be incorrect."/>
                                          <pic:cNvPicPr/>
                                        </pic:nvPicPr>
                                        <pic:blipFill>
                                          <a:blip r:embed="rId10"/>
                                          <a:stretch>
                                            <a:fillRect/>
                                          </a:stretch>
                                        </pic:blipFill>
                                        <pic:spPr>
                                          <a:xfrm>
                                            <a:off x="0" y="0"/>
                                            <a:ext cx="5661025" cy="2264410"/>
                                          </a:xfrm>
                                          <a:prstGeom prst="rect">
                                            <a:avLst/>
                                          </a:prstGeom>
                                        </pic:spPr>
                                      </pic:pic>
                                    </a:graphicData>
                                  </a:graphic>
                                </wp:inline>
                              </w:drawing>
                            </w:r>
                          </w:p>
                          <w:p w14:paraId="109803B0" w14:textId="77777777" w:rsidR="00A05940" w:rsidRPr="003269FE" w:rsidRDefault="00A05940" w:rsidP="00A05940">
                            <w:pPr>
                              <w:spacing w:after="0"/>
                              <w:jc w:val="center"/>
                              <w:rPr>
                                <w:rFonts w:ascii="Calibri" w:hAnsi="Calibri" w:cs="Calibri"/>
                              </w:rPr>
                            </w:pPr>
                            <w:r w:rsidRPr="003269FE">
                              <w:rPr>
                                <w:rFonts w:ascii="Calibri" w:hAnsi="Calibri" w:cs="Calibri"/>
                              </w:rPr>
                              <w:t>1B. Metal contaminants (rank order of variation %)</w:t>
                            </w:r>
                          </w:p>
                          <w:p w14:paraId="32D22CBD" w14:textId="77777777" w:rsidR="00A05940" w:rsidRPr="003269FE" w:rsidRDefault="00A05940" w:rsidP="00A05940">
                            <w:pPr>
                              <w:jc w:val="center"/>
                              <w:rPr>
                                <w:rFonts w:ascii="Calibri" w:hAnsi="Calibri" w:cs="Calibri"/>
                                <w:b/>
                                <w:bCs/>
                              </w:rPr>
                            </w:pPr>
                            <w:r w:rsidRPr="003269FE">
                              <w:rPr>
                                <w:rFonts w:ascii="Calibri" w:hAnsi="Calibri" w:cs="Calibri"/>
                                <w:b/>
                                <w:bCs/>
                              </w:rPr>
                              <w:drawing>
                                <wp:inline distT="0" distB="0" distL="0" distR="0" wp14:anchorId="590695F4" wp14:editId="6CB3A9C0">
                                  <wp:extent cx="5661025" cy="2264410"/>
                                  <wp:effectExtent l="0" t="0" r="3175" b="0"/>
                                  <wp:docPr id="1326383364" name="Picture 1"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77963" name="Picture 1" descr="A table with numbers and a number of objects&#10;&#10;AI-generated content may be incorrect."/>
                                          <pic:cNvPicPr/>
                                        </pic:nvPicPr>
                                        <pic:blipFill>
                                          <a:blip r:embed="rId10"/>
                                          <a:stretch>
                                            <a:fillRect/>
                                          </a:stretch>
                                        </pic:blipFill>
                                        <pic:spPr>
                                          <a:xfrm>
                                            <a:off x="0" y="0"/>
                                            <a:ext cx="5661025" cy="226441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BAAFB47" id="_x0000_s1029" type="#_x0000_t202" style="position:absolute;left:0;text-align:left;margin-left:12.85pt;margin-top:-303.55pt;width:460.65pt;height:209.6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" fillcolor="white [3201]" strokeweight=".5pt">
                <v:textbox>
                  <w:txbxContent>
                    <w:p w14:paraId="1CBD6E7F" w14:textId="77777777" w:rsidR="00A05940" w:rsidRPr="003269FE" w:rsidRDefault="00A05940" w:rsidP="00A05940">
                      <w:pPr>
                        <w:spacing w:after="0"/>
                        <w:jc w:val="center"/>
                        <w:rPr>
                          <w:rFonts w:ascii="Calibri" w:hAnsi="Calibri" w:cs="Calibri"/>
                          <w:b/>
                          <w:bCs/>
                        </w:rPr>
                      </w:pPr>
                      <w:r w:rsidRPr="003269FE">
                        <w:rPr>
                          <w:rFonts w:ascii="Calibri" w:hAnsi="Calibri" w:cs="Calibri"/>
                          <w:b/>
                          <w:bCs/>
                        </w:rPr>
                        <w:t>Table 1. Elemental concentrations (ppm) in Eaton Fire ashes (n=39)</w:t>
                      </w:r>
                    </w:p>
                    <w:p w14:paraId="2A44C3BF" w14:textId="77777777" w:rsidR="00A05940" w:rsidRPr="003269FE" w:rsidRDefault="00A05940" w:rsidP="00A05940">
                      <w:pPr>
                        <w:spacing w:after="0"/>
                        <w:jc w:val="center"/>
                        <w:rPr>
                          <w:rFonts w:ascii="Calibri" w:hAnsi="Calibri" w:cs="Calibri"/>
                        </w:rPr>
                      </w:pPr>
                      <w:r w:rsidRPr="003269FE">
                        <w:rPr>
                          <w:rFonts w:ascii="Calibri" w:hAnsi="Calibri" w:cs="Calibri"/>
                        </w:rPr>
                        <w:t xml:space="preserve">1A. Major elements (rank order of </w:t>
                      </w:r>
                      <w:r>
                        <w:rPr>
                          <w:rFonts w:ascii="Calibri" w:hAnsi="Calibri" w:cs="Calibri"/>
                        </w:rPr>
                        <w:t>mean concentration</w:t>
                      </w:r>
                      <w:r w:rsidRPr="003269FE">
                        <w:rPr>
                          <w:rFonts w:ascii="Calibri" w:hAnsi="Calibri" w:cs="Calibri"/>
                        </w:rPr>
                        <w:t>)</w:t>
                      </w:r>
                    </w:p>
                    <w:p w14:paraId="2B164669" w14:textId="77777777" w:rsidR="00A05940" w:rsidRPr="003269FE" w:rsidRDefault="00A05940" w:rsidP="00A05940">
                      <w:pPr>
                        <w:spacing w:after="0"/>
                        <w:jc w:val="center"/>
                        <w:rPr>
                          <w:rFonts w:ascii="Calibri" w:hAnsi="Calibri" w:cs="Calibri"/>
                          <w:b/>
                          <w:bCs/>
                        </w:rPr>
                      </w:pPr>
                      <w:r w:rsidRPr="003269FE">
                        <w:rPr>
                          <w:rFonts w:ascii="Calibri" w:hAnsi="Calibri" w:cs="Calibri"/>
                          <w:b/>
                          <w:bCs/>
                        </w:rPr>
                        <w:drawing>
                          <wp:inline distT="0" distB="0" distL="0" distR="0" wp14:anchorId="440B122C" wp14:editId="77C4EEB5">
                            <wp:extent cx="5661025" cy="2264410"/>
                            <wp:effectExtent l="0" t="0" r="3175" b="0"/>
                            <wp:docPr id="1552125907" name="Picture 1"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83025" name="Picture 1" descr="A table with numbers and a number of objects&#10;&#10;AI-generated content may be incorrect."/>
                                    <pic:cNvPicPr/>
                                  </pic:nvPicPr>
                                  <pic:blipFill>
                                    <a:blip r:embed="rId10"/>
                                    <a:stretch>
                                      <a:fillRect/>
                                    </a:stretch>
                                  </pic:blipFill>
                                  <pic:spPr>
                                    <a:xfrm>
                                      <a:off x="0" y="0"/>
                                      <a:ext cx="5661025" cy="2264410"/>
                                    </a:xfrm>
                                    <a:prstGeom prst="rect">
                                      <a:avLst/>
                                    </a:prstGeom>
                                  </pic:spPr>
                                </pic:pic>
                              </a:graphicData>
                            </a:graphic>
                          </wp:inline>
                        </w:drawing>
                      </w:r>
                    </w:p>
                    <w:p w14:paraId="109803B0" w14:textId="77777777" w:rsidR="00A05940" w:rsidRPr="003269FE" w:rsidRDefault="00A05940" w:rsidP="00A05940">
                      <w:pPr>
                        <w:spacing w:after="0"/>
                        <w:jc w:val="center"/>
                        <w:rPr>
                          <w:rFonts w:ascii="Calibri" w:hAnsi="Calibri" w:cs="Calibri"/>
                        </w:rPr>
                      </w:pPr>
                      <w:r w:rsidRPr="003269FE">
                        <w:rPr>
                          <w:rFonts w:ascii="Calibri" w:hAnsi="Calibri" w:cs="Calibri"/>
                        </w:rPr>
                        <w:t>1B. Metal contaminants (rank order of variation %)</w:t>
                      </w:r>
                    </w:p>
                    <w:p w14:paraId="32D22CBD" w14:textId="77777777" w:rsidR="00A05940" w:rsidRPr="003269FE" w:rsidRDefault="00A05940" w:rsidP="00A05940">
                      <w:pPr>
                        <w:jc w:val="center"/>
                        <w:rPr>
                          <w:rFonts w:ascii="Calibri" w:hAnsi="Calibri" w:cs="Calibri"/>
                          <w:b/>
                          <w:bCs/>
                        </w:rPr>
                      </w:pPr>
                      <w:r w:rsidRPr="003269FE">
                        <w:rPr>
                          <w:rFonts w:ascii="Calibri" w:hAnsi="Calibri" w:cs="Calibri"/>
                          <w:b/>
                          <w:bCs/>
                        </w:rPr>
                        <w:drawing>
                          <wp:inline distT="0" distB="0" distL="0" distR="0" wp14:anchorId="590695F4" wp14:editId="6CB3A9C0">
                            <wp:extent cx="5661025" cy="2264410"/>
                            <wp:effectExtent l="0" t="0" r="3175" b="0"/>
                            <wp:docPr id="1326383364" name="Picture 1" descr="A table with numbers and a number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77963" name="Picture 1" descr="A table with numbers and a number of objects&#10;&#10;AI-generated content may be incorrect."/>
                                    <pic:cNvPicPr/>
                                  </pic:nvPicPr>
                                  <pic:blipFill>
                                    <a:blip r:embed="rId10"/>
                                    <a:stretch>
                                      <a:fillRect/>
                                    </a:stretch>
                                  </pic:blipFill>
                                  <pic:spPr>
                                    <a:xfrm>
                                      <a:off x="0" y="0"/>
                                      <a:ext cx="5661025" cy="2264410"/>
                                    </a:xfrm>
                                    <a:prstGeom prst="rect">
                                      <a:avLst/>
                                    </a:prstGeom>
                                  </pic:spPr>
                                </pic:pic>
                              </a:graphicData>
                            </a:graphic>
                          </wp:inline>
                        </w:drawing>
                      </w:r>
                    </w:p>
                  </w:txbxContent>
                </v:textbox>
                <w10:wrap type="tight"/>
              </v:shape>
            </w:pict>
          </mc:Fallback>
        </mc:AlternateContent>
      </w:r>
      <w:r w:rsidR="00A03E55">
        <w:rPr>
          <w:rFonts w:ascii="Calibri" w:hAnsi="Calibri" w:cs="Calibri"/>
        </w:rPr>
        <w:t xml:space="preserve">ICP-MS analysis </w:t>
      </w:r>
      <w:r w:rsidR="008A26CB">
        <w:rPr>
          <w:rFonts w:ascii="Calibri" w:hAnsi="Calibri" w:cs="Calibri"/>
        </w:rPr>
        <w:t>measured</w:t>
      </w:r>
      <w:r w:rsidR="007037DA">
        <w:rPr>
          <w:rFonts w:ascii="Calibri" w:hAnsi="Calibri" w:cs="Calibri"/>
        </w:rPr>
        <w:t xml:space="preserve"> hazardous metals like </w:t>
      </w:r>
      <w:r w:rsidR="008A26CB">
        <w:rPr>
          <w:rFonts w:ascii="Calibri" w:hAnsi="Calibri" w:cs="Calibri"/>
        </w:rPr>
        <w:t>lead</w:t>
      </w:r>
      <w:r w:rsidR="008A26CB" w:rsidRPr="008A26CB">
        <w:rPr>
          <w:rFonts w:ascii="Calibri" w:hAnsi="Calibri" w:cs="Calibri"/>
        </w:rPr>
        <w:t xml:space="preserve">, </w:t>
      </w:r>
      <w:r w:rsidR="008A26CB">
        <w:rPr>
          <w:rFonts w:ascii="Calibri" w:hAnsi="Calibri" w:cs="Calibri"/>
        </w:rPr>
        <w:t>zinc</w:t>
      </w:r>
      <w:r w:rsidR="008A26CB" w:rsidRPr="008A26CB">
        <w:rPr>
          <w:rFonts w:ascii="Calibri" w:hAnsi="Calibri" w:cs="Calibri"/>
        </w:rPr>
        <w:t>, and copper</w:t>
      </w:r>
      <w:r w:rsidR="008A26CB">
        <w:rPr>
          <w:rFonts w:ascii="Calibri" w:hAnsi="Calibri" w:cs="Calibri"/>
        </w:rPr>
        <w:t xml:space="preserve"> </w:t>
      </w:r>
      <w:r w:rsidR="008A26CB" w:rsidRPr="008A26CB">
        <w:rPr>
          <w:rFonts w:ascii="Calibri" w:hAnsi="Calibri" w:cs="Calibri"/>
        </w:rPr>
        <w:t>(Table 2). Zinc concentrations ranged from 100 to 23,829 ppm (mean 1,310 ppm), while lead ranged from 14 to 18,528 ppm (mean 638 ppm). Copper concentrations spanned 14–3,650 ppm (mean 207 ppm). Vanadium, chromium, nickel, and cobalt were present at</w:t>
      </w:r>
      <w:r w:rsidR="004462A0">
        <w:rPr>
          <w:rFonts w:ascii="Calibri" w:hAnsi="Calibri" w:cs="Calibri"/>
        </w:rPr>
        <w:t xml:space="preserve"> average concentrations of</w:t>
      </w:r>
      <w:r w:rsidR="008A26CB" w:rsidRPr="008A26CB">
        <w:rPr>
          <w:rFonts w:ascii="Calibri" w:hAnsi="Calibri" w:cs="Calibri"/>
        </w:rPr>
        <w:t xml:space="preserve"> 22–85 ppm. Antimony averaged 9.1 pp</w:t>
      </w:r>
      <w:r w:rsidR="004462A0">
        <w:rPr>
          <w:rFonts w:ascii="Calibri" w:hAnsi="Calibri" w:cs="Calibri"/>
        </w:rPr>
        <w:t>m while</w:t>
      </w:r>
      <w:r w:rsidR="008A26CB" w:rsidRPr="008A26CB">
        <w:rPr>
          <w:rFonts w:ascii="Calibri" w:hAnsi="Calibri" w:cs="Calibri"/>
        </w:rPr>
        <w:t xml:space="preserve"> </w:t>
      </w:r>
      <w:r w:rsidR="004462A0">
        <w:rPr>
          <w:rFonts w:ascii="Calibri" w:hAnsi="Calibri" w:cs="Calibri"/>
        </w:rPr>
        <w:t>a</w:t>
      </w:r>
      <w:r w:rsidR="008A26CB" w:rsidRPr="008A26CB">
        <w:rPr>
          <w:rFonts w:ascii="Calibri" w:hAnsi="Calibri" w:cs="Calibri"/>
        </w:rPr>
        <w:t xml:space="preserve">rsenic and </w:t>
      </w:r>
      <w:r w:rsidR="004462A0">
        <w:rPr>
          <w:rFonts w:ascii="Calibri" w:hAnsi="Calibri" w:cs="Calibri"/>
        </w:rPr>
        <w:t>c</w:t>
      </w:r>
      <w:r w:rsidR="008A26CB" w:rsidRPr="008A26CB">
        <w:rPr>
          <w:rFonts w:ascii="Calibri" w:hAnsi="Calibri" w:cs="Calibri"/>
        </w:rPr>
        <w:t>admium remained below 7 ppm and 1 ppm, respectively, across all samples.</w:t>
      </w:r>
      <w:r w:rsidR="008A26CB">
        <w:rPr>
          <w:rFonts w:ascii="Calibri" w:hAnsi="Calibri" w:cs="Calibri"/>
        </w:rPr>
        <w:t xml:space="preserve"> </w:t>
      </w:r>
      <w:r w:rsidR="004462A0" w:rsidRPr="008A26CB">
        <w:rPr>
          <w:rFonts w:ascii="Calibri" w:hAnsi="Calibri" w:cs="Calibri"/>
        </w:rPr>
        <w:t>Vanadium and arsenic were comparatively uniform (CV = 31% and 33%).</w:t>
      </w:r>
      <w:r w:rsidR="004462A0">
        <w:rPr>
          <w:rFonts w:ascii="Calibri" w:hAnsi="Calibri" w:cs="Calibri"/>
        </w:rPr>
        <w:t xml:space="preserve"> Whereas l</w:t>
      </w:r>
      <w:r w:rsidR="008A26CB" w:rsidRPr="008A26CB">
        <w:rPr>
          <w:rFonts w:ascii="Calibri" w:hAnsi="Calibri" w:cs="Calibri"/>
        </w:rPr>
        <w:t>ead, zinc, and copper exhibited pronounced spatial heterogeneity (CV =</w:t>
      </w:r>
      <w:r>
        <w:rPr>
          <w:rFonts w:ascii="Calibri" w:hAnsi="Calibri" w:cs="Calibri"/>
        </w:rPr>
        <w:t xml:space="preserve"> </w:t>
      </w:r>
      <w:r w:rsidR="008A26CB" w:rsidRPr="008A26CB">
        <w:rPr>
          <w:rFonts w:ascii="Calibri" w:hAnsi="Calibri" w:cs="Calibri"/>
        </w:rPr>
        <w:t xml:space="preserve">464%, 292%, and 284%), with maximum concentrations exceeding means by 1–2 orders of magnitude. </w:t>
      </w:r>
    </w:p>
    <w:p w14:paraId="35998297" w14:textId="216141A6" w:rsidR="006A28EE" w:rsidRDefault="006A28EE" w:rsidP="00A92A78">
      <w:pPr>
        <w:spacing w:line="240" w:lineRule="auto"/>
        <w:jc w:val="both"/>
        <w:rPr>
          <w:rFonts w:ascii="Calibri" w:hAnsi="Calibri" w:cs="Calibri"/>
        </w:rPr>
      </w:pPr>
    </w:p>
    <w:p w14:paraId="51C0303C" w14:textId="1F553C06" w:rsidR="00FC5082" w:rsidRDefault="00A05940" w:rsidP="00FC5082">
      <w:pPr>
        <w:spacing w:line="240" w:lineRule="auto"/>
        <w:ind w:firstLine="720"/>
        <w:jc w:val="both"/>
        <w:rPr>
          <w:rFonts w:ascii="Calibri" w:hAnsi="Calibri" w:cs="Calibri"/>
        </w:rPr>
      </w:pPr>
      <w:r>
        <w:rPr>
          <w:rFonts w:ascii="Calibri" w:hAnsi="Calibri" w:cs="Calibri"/>
          <w:noProof/>
        </w:rPr>
        <w:lastRenderedPageBreak/>
        <mc:AlternateContent>
          <mc:Choice Requires="wps">
            <w:drawing>
              <wp:anchor distT="0" distB="0" distL="114300" distR="114300" simplePos="0" relativeHeight="251668480" behindDoc="1" locked="0" layoutInCell="1" allowOverlap="1" wp14:anchorId="44AAC81E" wp14:editId="7564366B">
                <wp:simplePos x="0" y="0"/>
                <wp:positionH relativeFrom="column">
                  <wp:posOffset>23677</wp:posOffset>
                </wp:positionH>
                <wp:positionV relativeFrom="paragraph">
                  <wp:posOffset>91</wp:posOffset>
                </wp:positionV>
                <wp:extent cx="5984875" cy="5177155"/>
                <wp:effectExtent l="0" t="0" r="9525" b="17145"/>
                <wp:wrapTight wrapText="bothSides">
                  <wp:wrapPolygon edited="0">
                    <wp:start x="0" y="0"/>
                    <wp:lineTo x="0" y="21619"/>
                    <wp:lineTo x="21589" y="21619"/>
                    <wp:lineTo x="21589" y="0"/>
                    <wp:lineTo x="0" y="0"/>
                  </wp:wrapPolygon>
                </wp:wrapTight>
                <wp:docPr id="2111015056" name="Text Box 1"/>
                <wp:cNvGraphicFramePr/>
                <a:graphic xmlns:a="http://schemas.openxmlformats.org/drawingml/2006/main">
                  <a:graphicData uri="http://schemas.microsoft.com/office/word/2010/wordprocessingShape">
                    <wps:wsp>
                      <wps:cNvSpPr txBox="1"/>
                      <wps:spPr>
                        <a:xfrm>
                          <a:off x="0" y="0"/>
                          <a:ext cx="5984875" cy="5177155"/>
                        </a:xfrm>
                        <a:prstGeom prst="rect">
                          <a:avLst/>
                        </a:prstGeom>
                        <a:solidFill>
                          <a:schemeClr val="lt1"/>
                        </a:solidFill>
                        <a:ln w="6350">
                          <a:solidFill>
                            <a:prstClr val="black"/>
                          </a:solidFill>
                        </a:ln>
                      </wps:spPr>
                      <wps:txbx>
                        <w:txbxContent>
                          <w:p w14:paraId="433E32F0" w14:textId="77777777" w:rsidR="0013469A" w:rsidRDefault="0013469A" w:rsidP="0013469A">
                            <w:pPr>
                              <w:spacing w:after="0"/>
                              <w:jc w:val="center"/>
                            </w:pPr>
                            <w:r w:rsidRPr="006A28EE">
                              <w:drawing>
                                <wp:inline distT="0" distB="0" distL="0" distR="0" wp14:anchorId="41FBF148" wp14:editId="796428C0">
                                  <wp:extent cx="5447960" cy="4165600"/>
                                  <wp:effectExtent l="0" t="0" r="635" b="0"/>
                                  <wp:docPr id="637863052" name="Picture 5" descr="A graph of different sizes and shapes&#10;&#10;AI-generated content may be incorrect.">
                                    <a:extLst xmlns:a="http://schemas.openxmlformats.org/drawingml/2006/main">
                                      <a:ext uri="{FF2B5EF4-FFF2-40B4-BE49-F238E27FC236}">
                                        <a16:creationId xmlns:a16="http://schemas.microsoft.com/office/drawing/2014/main" id="{49834822-6C6C-40B4-6CBB-027AD89B49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of different sizes and shapes&#10;&#10;AI-generated content may be incorrect.">
                                            <a:extLst>
                                              <a:ext uri="{FF2B5EF4-FFF2-40B4-BE49-F238E27FC236}">
                                                <a16:creationId xmlns:a16="http://schemas.microsoft.com/office/drawing/2014/main" id="{49834822-6C6C-40B4-6CBB-027AD89B4934}"/>
                                              </a:ext>
                                            </a:extLst>
                                          </pic:cNvPr>
                                          <pic:cNvPicPr>
                                            <a:picLocks noChangeAspect="1"/>
                                          </pic:cNvPicPr>
                                        </pic:nvPicPr>
                                        <pic:blipFill>
                                          <a:blip r:embed="rId11"/>
                                          <a:srcRect t="4412"/>
                                          <a:stretch>
                                            <a:fillRect/>
                                          </a:stretch>
                                        </pic:blipFill>
                                        <pic:spPr>
                                          <a:xfrm>
                                            <a:off x="0" y="0"/>
                                            <a:ext cx="5472182" cy="4184121"/>
                                          </a:xfrm>
                                          <a:prstGeom prst="rect">
                                            <a:avLst/>
                                          </a:prstGeom>
                                        </pic:spPr>
                                      </pic:pic>
                                    </a:graphicData>
                                  </a:graphic>
                                </wp:inline>
                              </w:drawing>
                            </w:r>
                          </w:p>
                          <w:p w14:paraId="44350B36" w14:textId="12BFF602" w:rsidR="0013469A" w:rsidRPr="0013469A" w:rsidRDefault="0013469A" w:rsidP="0013469A">
                            <w:pPr>
                              <w:jc w:val="center"/>
                            </w:pPr>
                            <w:r w:rsidRPr="006A28EE">
                              <w:rPr>
                                <w:b/>
                                <w:bCs/>
                              </w:rPr>
                              <w:t>Fig</w:t>
                            </w:r>
                            <w:r>
                              <w:rPr>
                                <w:b/>
                                <w:bCs/>
                              </w:rPr>
                              <w:t xml:space="preserve">ure </w:t>
                            </w:r>
                            <w:r>
                              <w:rPr>
                                <w:b/>
                                <w:bCs/>
                              </w:rPr>
                              <w:t>2</w:t>
                            </w:r>
                            <w:r w:rsidRPr="006A28EE">
                              <w:rPr>
                                <w:b/>
                                <w:bCs/>
                              </w:rPr>
                              <w:t>.</w:t>
                            </w:r>
                            <w:r>
                              <w:rPr>
                                <w:b/>
                                <w:bCs/>
                              </w:rPr>
                              <w:t xml:space="preserve"> </w:t>
                            </w:r>
                            <w:r>
                              <w:t xml:space="preserve">Rank-order box plot of the </w:t>
                            </w:r>
                            <w:r>
                              <w:rPr>
                                <w:b/>
                                <w:bCs/>
                              </w:rPr>
                              <w:t>(A)</w:t>
                            </w:r>
                            <w:r>
                              <w:t xml:space="preserve"> elements with the highest average concentration across all ashes and </w:t>
                            </w:r>
                            <w:r>
                              <w:rPr>
                                <w:b/>
                                <w:bCs/>
                              </w:rPr>
                              <w:t xml:space="preserve">(B) </w:t>
                            </w:r>
                            <w:r>
                              <w:t>coefficient of variation among samples. Notably, geogenic elements have high concentrations and low variability while pyrogenic elements have mid- to high concentrations and extremely high variability (e.g. Zn, Pb, etc.).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4AAC81E" id="_x0000_s1030" type="#_x0000_t202" style="position:absolute;left:0;text-align:left;margin-left:1.85pt;margin-top:0;width:471.25pt;height:407.6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" fillcolor="white [3201]" strokeweight=".5pt">
                <v:textbox>
                  <w:txbxContent>
                    <w:p w14:paraId="433E32F0" w14:textId="77777777" w:rsidR="0013469A" w:rsidRDefault="0013469A" w:rsidP="0013469A">
                      <w:pPr>
                        <w:spacing w:after="0"/>
                        <w:jc w:val="center"/>
                      </w:pPr>
                      <w:r w:rsidRPr="006A28EE">
                        <w:drawing>
                          <wp:inline distT="0" distB="0" distL="0" distR="0" wp14:anchorId="41FBF148" wp14:editId="796428C0">
                            <wp:extent cx="5447960" cy="4165600"/>
                            <wp:effectExtent l="0" t="0" r="635" b="0"/>
                            <wp:docPr id="637863052" name="Picture 5" descr="A graph of different sizes and shapes&#10;&#10;AI-generated content may be incorrect.">
                              <a:extLst xmlns:a="http://schemas.openxmlformats.org/drawingml/2006/main">
                                <a:ext uri="{FF2B5EF4-FFF2-40B4-BE49-F238E27FC236}">
                                  <a16:creationId xmlns:a16="http://schemas.microsoft.com/office/drawing/2014/main" id="{49834822-6C6C-40B4-6CBB-027AD89B49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graph of different sizes and shapes&#10;&#10;AI-generated content may be incorrect.">
                                      <a:extLst>
                                        <a:ext uri="{FF2B5EF4-FFF2-40B4-BE49-F238E27FC236}">
                                          <a16:creationId xmlns:a16="http://schemas.microsoft.com/office/drawing/2014/main" id="{49834822-6C6C-40B4-6CBB-027AD89B4934}"/>
                                        </a:ext>
                                      </a:extLst>
                                    </pic:cNvPr>
                                    <pic:cNvPicPr>
                                      <a:picLocks noChangeAspect="1"/>
                                    </pic:cNvPicPr>
                                  </pic:nvPicPr>
                                  <pic:blipFill>
                                    <a:blip r:embed="rId11"/>
                                    <a:srcRect t="4412"/>
                                    <a:stretch>
                                      <a:fillRect/>
                                    </a:stretch>
                                  </pic:blipFill>
                                  <pic:spPr>
                                    <a:xfrm>
                                      <a:off x="0" y="0"/>
                                      <a:ext cx="5472182" cy="4184121"/>
                                    </a:xfrm>
                                    <a:prstGeom prst="rect">
                                      <a:avLst/>
                                    </a:prstGeom>
                                  </pic:spPr>
                                </pic:pic>
                              </a:graphicData>
                            </a:graphic>
                          </wp:inline>
                        </w:drawing>
                      </w:r>
                    </w:p>
                    <w:p w14:paraId="44350B36" w14:textId="12BFF602" w:rsidR="0013469A" w:rsidRPr="0013469A" w:rsidRDefault="0013469A" w:rsidP="0013469A">
                      <w:pPr>
                        <w:jc w:val="center"/>
                      </w:pPr>
                      <w:r w:rsidRPr="006A28EE">
                        <w:rPr>
                          <w:b/>
                          <w:bCs/>
                        </w:rPr>
                        <w:t>Fig</w:t>
                      </w:r>
                      <w:r>
                        <w:rPr>
                          <w:b/>
                          <w:bCs/>
                        </w:rPr>
                        <w:t xml:space="preserve">ure </w:t>
                      </w:r>
                      <w:r>
                        <w:rPr>
                          <w:b/>
                          <w:bCs/>
                        </w:rPr>
                        <w:t>2</w:t>
                      </w:r>
                      <w:r w:rsidRPr="006A28EE">
                        <w:rPr>
                          <w:b/>
                          <w:bCs/>
                        </w:rPr>
                        <w:t>.</w:t>
                      </w:r>
                      <w:r>
                        <w:rPr>
                          <w:b/>
                          <w:bCs/>
                        </w:rPr>
                        <w:t xml:space="preserve"> </w:t>
                      </w:r>
                      <w:r>
                        <w:t xml:space="preserve">Rank-order box plot of the </w:t>
                      </w:r>
                      <w:r>
                        <w:rPr>
                          <w:b/>
                          <w:bCs/>
                        </w:rPr>
                        <w:t>(A)</w:t>
                      </w:r>
                      <w:r>
                        <w:t xml:space="preserve"> elements with the highest average concentration across all ashes and </w:t>
                      </w:r>
                      <w:r>
                        <w:rPr>
                          <w:b/>
                          <w:bCs/>
                        </w:rPr>
                        <w:t xml:space="preserve">(B) </w:t>
                      </w:r>
                      <w:r>
                        <w:t>coefficient of variation among samples. Notably, geogenic elements have high concentrations and low variability while pyrogenic elements have mid- to high concentrations and extremely high variability (e.g. Zn, Pb, etc.).</w:t>
                      </w:r>
                    </w:p>
                  </w:txbxContent>
                </v:textbox>
                <w10:wrap type="tight"/>
              </v:shape>
            </w:pict>
          </mc:Fallback>
        </mc:AlternateContent>
      </w:r>
      <w:r w:rsidR="004462A0" w:rsidRPr="004462A0">
        <w:rPr>
          <w:rFonts w:ascii="Calibri" w:hAnsi="Calibri" w:cs="Calibri"/>
        </w:rPr>
        <w:t>Linear regression models were developed to calibrate XRF measurements against ICP-MS Pb concentrations using 35</w:t>
      </w:r>
      <w:r w:rsidR="00D561FC">
        <w:rPr>
          <w:rFonts w:ascii="Calibri" w:hAnsi="Calibri" w:cs="Calibri"/>
        </w:rPr>
        <w:t xml:space="preserve"> candidate</w:t>
      </w:r>
      <w:r w:rsidR="004462A0" w:rsidRPr="004462A0">
        <w:rPr>
          <w:rFonts w:ascii="Calibri" w:hAnsi="Calibri" w:cs="Calibri"/>
        </w:rPr>
        <w:t xml:space="preserve"> paired ash subsamples (Table 3). Two approaches were compared: (1) manufacturer-reported </w:t>
      </w:r>
      <w:r w:rsidR="008C0E4C">
        <w:rPr>
          <w:rFonts w:ascii="Calibri" w:hAnsi="Calibri" w:cs="Calibri"/>
        </w:rPr>
        <w:t>mf. %</w:t>
      </w:r>
      <w:r w:rsidR="004462A0" w:rsidRPr="004462A0">
        <w:rPr>
          <w:rFonts w:ascii="Calibri" w:hAnsi="Calibri" w:cs="Calibri"/>
        </w:rPr>
        <w:t xml:space="preserve"> values derived from the instrument's fundamental parameters (FP) algorithm, and (2) cumulative raw X-ray intensity (counts) from Pb L-emission lines (Lα₁ + Lβ₁ + Lβ₂).</w:t>
      </w:r>
      <w:r w:rsidR="0013469A">
        <w:rPr>
          <w:rFonts w:ascii="Calibri" w:hAnsi="Calibri" w:cs="Calibri"/>
        </w:rPr>
        <w:t xml:space="preserve"> </w:t>
      </w:r>
      <w:r w:rsidR="004462A0" w:rsidRPr="004462A0">
        <w:rPr>
          <w:rFonts w:ascii="Calibri" w:hAnsi="Calibri" w:cs="Calibri"/>
        </w:rPr>
        <w:t xml:space="preserve">The FP-derived </w:t>
      </w:r>
      <w:r w:rsidR="003F17D2">
        <w:rPr>
          <w:rFonts w:ascii="Calibri" w:hAnsi="Calibri" w:cs="Calibri"/>
        </w:rPr>
        <w:t xml:space="preserve">mf. </w:t>
      </w:r>
      <w:r w:rsidR="004462A0" w:rsidRPr="004462A0">
        <w:rPr>
          <w:rFonts w:ascii="Calibri" w:hAnsi="Calibri" w:cs="Calibri"/>
        </w:rPr>
        <w:t xml:space="preserve">% model yielded R² = 0.980 with RMSE = 431 ppm (Pb_ICP-MS = 5,732 × </w:t>
      </w:r>
      <w:proofErr w:type="spellStart"/>
      <w:r w:rsidR="004462A0" w:rsidRPr="004462A0">
        <w:rPr>
          <w:rFonts w:ascii="Calibri" w:hAnsi="Calibri" w:cs="Calibri"/>
        </w:rPr>
        <w:t>Pb_XRF_</w:t>
      </w:r>
      <w:r w:rsidR="0013469A">
        <w:rPr>
          <w:rFonts w:ascii="Calibri" w:hAnsi="Calibri" w:cs="Calibri"/>
        </w:rPr>
        <w:t>mf</w:t>
      </w:r>
      <w:proofErr w:type="spellEnd"/>
      <w:r w:rsidR="004462A0" w:rsidRPr="004462A0">
        <w:rPr>
          <w:rFonts w:ascii="Calibri" w:hAnsi="Calibri" w:cs="Calibri"/>
        </w:rPr>
        <w:t>% − 185; p &lt; 0.001). The cumulative L-line intensity model produced a stronger fit (R² = 0.994, RMSE = 230 ppm; Pb_ICP-MS = 0.817 × Pb_L-counts − 133; p &lt; 0.001). Model comparison indicated substantial support for raw counts over FP-processed values (ΔAIC = 44)</w:t>
      </w:r>
      <w:r w:rsidR="00D561FC">
        <w:rPr>
          <w:rFonts w:ascii="Calibri" w:hAnsi="Calibri" w:cs="Calibri"/>
        </w:rPr>
        <w:t>.</w:t>
      </w:r>
      <w:r w:rsidR="00FC5082">
        <w:rPr>
          <w:rFonts w:ascii="Calibri" w:hAnsi="Calibri" w:cs="Calibri"/>
          <w:noProof/>
        </w:rPr>
        <mc:AlternateContent>
          <mc:Choice Requires="wps">
            <w:drawing>
              <wp:anchor distT="0" distB="0" distL="114300" distR="114300" simplePos="0" relativeHeight="251662336" behindDoc="0" locked="0" layoutInCell="1" allowOverlap="1" wp14:anchorId="79B93663" wp14:editId="75C6041A">
                <wp:simplePos x="0" y="0"/>
                <wp:positionH relativeFrom="column">
                  <wp:posOffset>26035</wp:posOffset>
                </wp:positionH>
                <wp:positionV relativeFrom="paragraph">
                  <wp:posOffset>2767830</wp:posOffset>
                </wp:positionV>
                <wp:extent cx="5946775" cy="1075690"/>
                <wp:effectExtent l="0" t="0" r="9525" b="16510"/>
                <wp:wrapTopAndBottom/>
                <wp:docPr id="572355238" name="Text Box 1"/>
                <wp:cNvGraphicFramePr/>
                <a:graphic xmlns:a="http://schemas.openxmlformats.org/drawingml/2006/main">
                  <a:graphicData uri="http://schemas.microsoft.com/office/word/2010/wordprocessingShape">
                    <wps:wsp>
                      <wps:cNvSpPr txBox="1"/>
                      <wps:spPr>
                        <a:xfrm>
                          <a:off x="0" y="0"/>
                          <a:ext cx="5946775" cy="1075690"/>
                        </a:xfrm>
                        <a:prstGeom prst="rect">
                          <a:avLst/>
                        </a:prstGeom>
                        <a:solidFill>
                          <a:schemeClr val="lt1"/>
                        </a:solidFill>
                        <a:ln w="6350">
                          <a:solidFill>
                            <a:prstClr val="black"/>
                          </a:solidFill>
                        </a:ln>
                      </wps:spPr>
                      <wps:txbx>
                        <w:txbxContent>
                          <w:p w14:paraId="623BB7F0" w14:textId="73CD8D38" w:rsidR="006A28EE" w:rsidRPr="003269FE" w:rsidRDefault="003269FE" w:rsidP="003269FE">
                            <w:pPr>
                              <w:spacing w:after="0"/>
                              <w:jc w:val="center"/>
                              <w:rPr>
                                <w:rFonts w:ascii="Calibri" w:hAnsi="Calibri" w:cs="Calibri"/>
                              </w:rPr>
                            </w:pPr>
                            <w:r w:rsidRPr="003269FE">
                              <w:rPr>
                                <w:rFonts w:ascii="Calibri" w:hAnsi="Calibri" w:cs="Calibri"/>
                                <w:b/>
                                <w:bCs/>
                              </w:rPr>
                              <w:t xml:space="preserve">Table </w:t>
                            </w:r>
                            <w:r w:rsidR="008C603B">
                              <w:rPr>
                                <w:rFonts w:ascii="Calibri" w:hAnsi="Calibri" w:cs="Calibri"/>
                                <w:b/>
                                <w:bCs/>
                              </w:rPr>
                              <w:t>3</w:t>
                            </w:r>
                            <w:r w:rsidRPr="003269FE">
                              <w:rPr>
                                <w:rFonts w:ascii="Calibri" w:hAnsi="Calibri" w:cs="Calibri"/>
                                <w:b/>
                                <w:bCs/>
                              </w:rPr>
                              <w:t xml:space="preserve">. </w:t>
                            </w:r>
                            <w:r w:rsidRPr="003269FE">
                              <w:rPr>
                                <w:rFonts w:ascii="Calibri" w:hAnsi="Calibri" w:cs="Calibri"/>
                              </w:rPr>
                              <w:t>Linear regression models for XRF calibration of Pb against ICP-MS (n=35)</w:t>
                            </w:r>
                          </w:p>
                          <w:p w14:paraId="62C726AC" w14:textId="49423B9C" w:rsidR="003269FE" w:rsidRPr="003269FE" w:rsidRDefault="003269FE" w:rsidP="006A28EE">
                            <w:pPr>
                              <w:jc w:val="center"/>
                            </w:pPr>
                            <w:r w:rsidRPr="003269FE">
                              <w:drawing>
                                <wp:inline distT="0" distB="0" distL="0" distR="0" wp14:anchorId="0CF5A911" wp14:editId="3CE11488">
                                  <wp:extent cx="5757545" cy="812800"/>
                                  <wp:effectExtent l="0" t="0" r="0" b="0"/>
                                  <wp:docPr id="9032782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20591" name="Picture 1" descr="A screenshot of a graph&#10;&#10;AI-generated content may be incorrect."/>
                                          <pic:cNvPicPr/>
                                        </pic:nvPicPr>
                                        <pic:blipFill>
                                          <a:blip r:embed="rId12"/>
                                          <a:stretch>
                                            <a:fillRect/>
                                          </a:stretch>
                                        </pic:blipFill>
                                        <pic:spPr>
                                          <a:xfrm>
                                            <a:off x="0" y="0"/>
                                            <a:ext cx="5757545" cy="812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9B93663" id="_x0000_s1031" type="#_x0000_t202" style="position:absolute;left:0;text-align:left;margin-left:2.05pt;margin-top:217.95pt;width:468.25pt;height:84.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" fillcolor="white [3201]" strokeweight=".5pt">
                <v:textbox>
                  <w:txbxContent>
                    <w:p w14:paraId="623BB7F0" w14:textId="73CD8D38" w:rsidR="006A28EE" w:rsidRPr="003269FE" w:rsidRDefault="003269FE" w:rsidP="003269FE">
                      <w:pPr>
                        <w:spacing w:after="0"/>
                        <w:jc w:val="center"/>
                        <w:rPr>
                          <w:rFonts w:ascii="Calibri" w:hAnsi="Calibri" w:cs="Calibri"/>
                        </w:rPr>
                      </w:pPr>
                      <w:r w:rsidRPr="003269FE">
                        <w:rPr>
                          <w:rFonts w:ascii="Calibri" w:hAnsi="Calibri" w:cs="Calibri"/>
                          <w:b/>
                          <w:bCs/>
                        </w:rPr>
                        <w:t xml:space="preserve">Table </w:t>
                      </w:r>
                      <w:r w:rsidR="008C603B">
                        <w:rPr>
                          <w:rFonts w:ascii="Calibri" w:hAnsi="Calibri" w:cs="Calibri"/>
                          <w:b/>
                          <w:bCs/>
                        </w:rPr>
                        <w:t>3</w:t>
                      </w:r>
                      <w:r w:rsidRPr="003269FE">
                        <w:rPr>
                          <w:rFonts w:ascii="Calibri" w:hAnsi="Calibri" w:cs="Calibri"/>
                          <w:b/>
                          <w:bCs/>
                        </w:rPr>
                        <w:t xml:space="preserve">. </w:t>
                      </w:r>
                      <w:r w:rsidRPr="003269FE">
                        <w:rPr>
                          <w:rFonts w:ascii="Calibri" w:hAnsi="Calibri" w:cs="Calibri"/>
                        </w:rPr>
                        <w:t>Linear regression models for XRF calibration of Pb against ICP-MS (n=35)</w:t>
                      </w:r>
                    </w:p>
                    <w:p w14:paraId="62C726AC" w14:textId="49423B9C" w:rsidR="003269FE" w:rsidRPr="003269FE" w:rsidRDefault="003269FE" w:rsidP="006A28EE">
                      <w:pPr>
                        <w:jc w:val="center"/>
                      </w:pPr>
                      <w:r w:rsidRPr="003269FE">
                        <w:drawing>
                          <wp:inline distT="0" distB="0" distL="0" distR="0" wp14:anchorId="0CF5A911" wp14:editId="3CE11488">
                            <wp:extent cx="5757545" cy="812800"/>
                            <wp:effectExtent l="0" t="0" r="0" b="0"/>
                            <wp:docPr id="9032782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20591" name="Picture 1" descr="A screenshot of a graph&#10;&#10;AI-generated content may be incorrect."/>
                                    <pic:cNvPicPr/>
                                  </pic:nvPicPr>
                                  <pic:blipFill>
                                    <a:blip r:embed="rId12"/>
                                    <a:stretch>
                                      <a:fillRect/>
                                    </a:stretch>
                                  </pic:blipFill>
                                  <pic:spPr>
                                    <a:xfrm>
                                      <a:off x="0" y="0"/>
                                      <a:ext cx="5757545" cy="812800"/>
                                    </a:xfrm>
                                    <a:prstGeom prst="rect">
                                      <a:avLst/>
                                    </a:prstGeom>
                                  </pic:spPr>
                                </pic:pic>
                              </a:graphicData>
                            </a:graphic>
                          </wp:inline>
                        </w:drawing>
                      </w:r>
                    </w:p>
                  </w:txbxContent>
                </v:textbox>
                <w10:wrap type="topAndBottom"/>
              </v:shape>
            </w:pict>
          </mc:Fallback>
        </mc:AlternateContent>
      </w:r>
      <w:r w:rsidR="00FC5082">
        <w:rPr>
          <w:rFonts w:ascii="Calibri" w:hAnsi="Calibri" w:cs="Calibri"/>
        </w:rPr>
        <w:t xml:space="preserve"> </w:t>
      </w:r>
    </w:p>
    <w:p w14:paraId="0AE69624" w14:textId="485F2B71" w:rsidR="00FC5082" w:rsidRPr="00A05940" w:rsidRDefault="004C40FB" w:rsidP="00FC5082">
      <w:pPr>
        <w:spacing w:line="240" w:lineRule="auto"/>
        <w:ind w:firstLine="720"/>
        <w:jc w:val="both"/>
        <w:rPr>
          <w:rFonts w:ascii="Calibri" w:hAnsi="Calibri" w:cs="Calibri"/>
        </w:rPr>
      </w:pPr>
      <w:r>
        <w:rPr>
          <w:rFonts w:ascii="Calibri" w:hAnsi="Calibri" w:cs="Calibri"/>
        </w:rPr>
        <w:t>C</w:t>
      </w:r>
      <w:r w:rsidRPr="004C40FB">
        <w:rPr>
          <w:rFonts w:ascii="Calibri" w:hAnsi="Calibri" w:cs="Calibri"/>
        </w:rPr>
        <w:t xml:space="preserve">alibrated XRF models were evaluated for their ability to classify samples as exceeding </w:t>
      </w:r>
      <w:r w:rsidR="004462A0">
        <w:rPr>
          <w:rFonts w:ascii="Calibri" w:hAnsi="Calibri" w:cs="Calibri"/>
        </w:rPr>
        <w:t xml:space="preserve">soil </w:t>
      </w:r>
      <w:r w:rsidRPr="004C40FB">
        <w:rPr>
          <w:rFonts w:ascii="Calibri" w:hAnsi="Calibri" w:cs="Calibri"/>
        </w:rPr>
        <w:t>regulatory screening thresholds of 80, 200, 400, and 1000 ppm Pb (Table 4). Based on ICP-MS, 11 (31%), 7 (20%), 6 (17%), and 2 (6%) of 35 samples exceeded these thresholds, respectively.</w:t>
      </w:r>
      <w:r w:rsidR="00A5141F">
        <w:rPr>
          <w:rFonts w:ascii="Calibri" w:hAnsi="Calibri" w:cs="Calibri"/>
        </w:rPr>
        <w:t xml:space="preserve"> </w:t>
      </w:r>
      <w:r w:rsidRPr="004C40FB">
        <w:rPr>
          <w:rFonts w:ascii="Calibri" w:hAnsi="Calibri" w:cs="Calibri"/>
        </w:rPr>
        <w:t xml:space="preserve">Classification performance improved with increasing threshold concentration. At 400 ppm, the </w:t>
      </w:r>
      <w:r w:rsidR="006A28EE">
        <w:rPr>
          <w:rFonts w:ascii="Calibri" w:hAnsi="Calibri" w:cs="Calibri"/>
        </w:rPr>
        <w:t>cumulative L-lines</w:t>
      </w:r>
      <w:r w:rsidRPr="004C40FB">
        <w:rPr>
          <w:rFonts w:ascii="Calibri" w:hAnsi="Calibri" w:cs="Calibri"/>
        </w:rPr>
        <w:t xml:space="preserve"> model achieved 100% sensitivity and 100% specificity with no misclassifications. The Lα₁ and FP models each produced one false negative (sensitivity = 83%). At </w:t>
      </w:r>
      <w:r w:rsidRPr="004C40FB">
        <w:rPr>
          <w:rFonts w:ascii="Calibri" w:hAnsi="Calibri" w:cs="Calibri"/>
        </w:rPr>
        <w:lastRenderedPageBreak/>
        <w:t>1000 ppm, all calibrated models achieved 100% sensitivity; each produced one false positive (specificity = 97%).</w:t>
      </w:r>
      <w:r w:rsidR="0013469A">
        <w:rPr>
          <w:rFonts w:ascii="Calibri" w:hAnsi="Calibri" w:cs="Calibri"/>
        </w:rPr>
        <w:t xml:space="preserve"> </w:t>
      </w:r>
      <w:r w:rsidR="000D50C8">
        <w:rPr>
          <w:rFonts w:ascii="Calibri" w:hAnsi="Calibri" w:cs="Calibri"/>
        </w:rPr>
        <w:t>A</w:t>
      </w:r>
      <w:r w:rsidRPr="004C40FB">
        <w:rPr>
          <w:rFonts w:ascii="Calibri" w:hAnsi="Calibri" w:cs="Calibri"/>
        </w:rPr>
        <w:t>t lower thresholds, sensitivity declined while specificity remained high. At 200 ppm, the Lβ model achieved 86% sensitivity and 100% specificity (1 false negative). At 80 ppm, sensitivity ranged from 55–64% across models with 4–5 false negatives, while specificity remained above 83%.</w:t>
      </w:r>
      <w:r w:rsidR="0013469A">
        <w:rPr>
          <w:rFonts w:ascii="Calibri" w:hAnsi="Calibri" w:cs="Calibri"/>
        </w:rPr>
        <w:t xml:space="preserve"> </w:t>
      </w:r>
      <w:r w:rsidRPr="004C40FB">
        <w:rPr>
          <w:rFonts w:ascii="Calibri" w:hAnsi="Calibri" w:cs="Calibri"/>
        </w:rPr>
        <w:t xml:space="preserve">Alternative calibrations excluding high-concentration samples (&gt;400 or &gt;1000 ppm) were evaluated but did not improve overall classification performance. Restricted-range models increased sensitivity at 80 ppm but decreased sensitivity at 400 ppm due to </w:t>
      </w:r>
      <w:r w:rsidR="00FC5082">
        <w:rPr>
          <w:rFonts w:ascii="Calibri" w:hAnsi="Calibri" w:cs="Calibri"/>
          <w:noProof/>
        </w:rPr>
        <mc:AlternateContent>
          <mc:Choice Requires="wps">
            <w:drawing>
              <wp:anchor distT="0" distB="0" distL="114300" distR="114300" simplePos="0" relativeHeight="251671552" behindDoc="1" locked="0" layoutInCell="1" allowOverlap="1" wp14:anchorId="34469642" wp14:editId="0FA77BDB">
                <wp:simplePos x="0" y="0"/>
                <wp:positionH relativeFrom="column">
                  <wp:posOffset>35560</wp:posOffset>
                </wp:positionH>
                <wp:positionV relativeFrom="paragraph">
                  <wp:posOffset>4441190</wp:posOffset>
                </wp:positionV>
                <wp:extent cx="5943600" cy="2447925"/>
                <wp:effectExtent l="0" t="0" r="12700" b="15875"/>
                <wp:wrapTight wrapText="bothSides">
                  <wp:wrapPolygon edited="0">
                    <wp:start x="0" y="0"/>
                    <wp:lineTo x="0" y="21628"/>
                    <wp:lineTo x="21600" y="21628"/>
                    <wp:lineTo x="21600" y="0"/>
                    <wp:lineTo x="0" y="0"/>
                  </wp:wrapPolygon>
                </wp:wrapTight>
                <wp:docPr id="1233726860" name="Text Box 1"/>
                <wp:cNvGraphicFramePr/>
                <a:graphic xmlns:a="http://schemas.openxmlformats.org/drawingml/2006/main">
                  <a:graphicData uri="http://schemas.microsoft.com/office/word/2010/wordprocessingShape">
                    <wps:wsp>
                      <wps:cNvSpPr txBox="1"/>
                      <wps:spPr>
                        <a:xfrm>
                          <a:off x="0" y="0"/>
                          <a:ext cx="5943600" cy="2447925"/>
                        </a:xfrm>
                        <a:prstGeom prst="rect">
                          <a:avLst/>
                        </a:prstGeom>
                        <a:solidFill>
                          <a:schemeClr val="lt1"/>
                        </a:solidFill>
                        <a:ln w="6350">
                          <a:solidFill>
                            <a:prstClr val="black"/>
                          </a:solidFill>
                        </a:ln>
                      </wps:spPr>
                      <wps:txbx>
                        <w:txbxContent>
                          <w:p w14:paraId="401D49C6" w14:textId="3EA3F74A" w:rsidR="00FC5082" w:rsidRDefault="00FC5082" w:rsidP="00FC5082">
                            <w:pPr>
                              <w:jc w:val="center"/>
                              <w:rPr>
                                <w:b/>
                                <w:bCs/>
                              </w:rPr>
                            </w:pPr>
                            <w:r w:rsidRPr="006A28EE">
                              <w:drawing>
                                <wp:inline distT="0" distB="0" distL="0" distR="0" wp14:anchorId="33529ADD" wp14:editId="030BE6FB">
                                  <wp:extent cx="5487670" cy="2400935"/>
                                  <wp:effectExtent l="0" t="0" r="0" b="5080"/>
                                  <wp:docPr id="1781761239" name="Picture 1"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21755" name="Picture 1" descr="A table with numbers and lines&#10;&#10;AI-generated content may be incorrect."/>
                                          <pic:cNvPicPr/>
                                        </pic:nvPicPr>
                                        <pic:blipFill>
                                          <a:blip r:embed="rId13"/>
                                          <a:stretch>
                                            <a:fillRect/>
                                          </a:stretch>
                                        </pic:blipFill>
                                        <pic:spPr>
                                          <a:xfrm>
                                            <a:off x="0" y="0"/>
                                            <a:ext cx="5487670" cy="2400935"/>
                                          </a:xfrm>
                                          <a:prstGeom prst="rect">
                                            <a:avLst/>
                                          </a:prstGeom>
                                        </pic:spPr>
                                      </pic:pic>
                                    </a:graphicData>
                                  </a:graphic>
                                </wp:inline>
                              </w:drawing>
                            </w:r>
                          </w:p>
                          <w:p w14:paraId="4B1539C5" w14:textId="1942A675" w:rsidR="00FC5082" w:rsidRPr="008C603B" w:rsidRDefault="00FC5082" w:rsidP="00FC5082">
                            <w:pPr>
                              <w:jc w:val="center"/>
                              <w:rPr>
                                <w:b/>
                                <w:bC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4469642" id="_x0000_s1032" type="#_x0000_t202" style="position:absolute;left:0;text-align:left;margin-left:2.8pt;margin-top:349.7pt;width:468pt;height:192.7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" fillcolor="white [3201]" strokeweight=".5pt">
                <v:textbox>
                  <w:txbxContent>
                    <w:p w14:paraId="401D49C6" w14:textId="3EA3F74A" w:rsidR="00FC5082" w:rsidRDefault="00FC5082" w:rsidP="00FC5082">
                      <w:pPr>
                        <w:jc w:val="center"/>
                        <w:rPr>
                          <w:b/>
                          <w:bCs/>
                        </w:rPr>
                      </w:pPr>
                      <w:r w:rsidRPr="006A28EE">
                        <w:drawing>
                          <wp:inline distT="0" distB="0" distL="0" distR="0" wp14:anchorId="33529ADD" wp14:editId="030BE6FB">
                            <wp:extent cx="5487670" cy="2400935"/>
                            <wp:effectExtent l="0" t="0" r="0" b="5080"/>
                            <wp:docPr id="1781761239" name="Picture 1" descr="A table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21755" name="Picture 1" descr="A table with numbers and lines&#10;&#10;AI-generated content may be incorrect."/>
                                    <pic:cNvPicPr/>
                                  </pic:nvPicPr>
                                  <pic:blipFill>
                                    <a:blip r:embed="rId13"/>
                                    <a:stretch>
                                      <a:fillRect/>
                                    </a:stretch>
                                  </pic:blipFill>
                                  <pic:spPr>
                                    <a:xfrm>
                                      <a:off x="0" y="0"/>
                                      <a:ext cx="5487670" cy="2400935"/>
                                    </a:xfrm>
                                    <a:prstGeom prst="rect">
                                      <a:avLst/>
                                    </a:prstGeom>
                                  </pic:spPr>
                                </pic:pic>
                              </a:graphicData>
                            </a:graphic>
                          </wp:inline>
                        </w:drawing>
                      </w:r>
                    </w:p>
                    <w:p w14:paraId="4B1539C5" w14:textId="1942A675" w:rsidR="00FC5082" w:rsidRPr="008C603B" w:rsidRDefault="00FC5082" w:rsidP="00FC5082">
                      <w:pPr>
                        <w:jc w:val="center"/>
                        <w:rPr>
                          <w:b/>
                          <w:bCs/>
                        </w:rPr>
                      </w:pPr>
                    </w:p>
                  </w:txbxContent>
                </v:textbox>
                <w10:wrap type="tight"/>
              </v:shape>
            </w:pict>
          </mc:Fallback>
        </mc:AlternateContent>
      </w:r>
      <w:r w:rsidR="00FC5082">
        <w:rPr>
          <w:rFonts w:ascii="Calibri" w:hAnsi="Calibri" w:cs="Calibri"/>
          <w:noProof/>
        </w:rPr>
        <mc:AlternateContent>
          <mc:Choice Requires="wps">
            <w:drawing>
              <wp:anchor distT="0" distB="0" distL="114300" distR="114300" simplePos="0" relativeHeight="251663360" behindDoc="1" locked="0" layoutInCell="1" allowOverlap="1" wp14:anchorId="2ED17ED4" wp14:editId="244727CA">
                <wp:simplePos x="0" y="0"/>
                <wp:positionH relativeFrom="column">
                  <wp:posOffset>35560</wp:posOffset>
                </wp:positionH>
                <wp:positionV relativeFrom="paragraph">
                  <wp:posOffset>1626870</wp:posOffset>
                </wp:positionV>
                <wp:extent cx="5943600" cy="2778760"/>
                <wp:effectExtent l="0" t="0" r="12700" b="15240"/>
                <wp:wrapTight wrapText="bothSides">
                  <wp:wrapPolygon edited="0">
                    <wp:start x="0" y="0"/>
                    <wp:lineTo x="0" y="21620"/>
                    <wp:lineTo x="21600" y="21620"/>
                    <wp:lineTo x="21600" y="0"/>
                    <wp:lineTo x="0" y="0"/>
                  </wp:wrapPolygon>
                </wp:wrapTight>
                <wp:docPr id="36793682" name="Text Box 1"/>
                <wp:cNvGraphicFramePr/>
                <a:graphic xmlns:a="http://schemas.openxmlformats.org/drawingml/2006/main">
                  <a:graphicData uri="http://schemas.microsoft.com/office/word/2010/wordprocessingShape">
                    <wps:wsp>
                      <wps:cNvSpPr txBox="1"/>
                      <wps:spPr>
                        <a:xfrm>
                          <a:off x="0" y="0"/>
                          <a:ext cx="5943600" cy="2778760"/>
                        </a:xfrm>
                        <a:prstGeom prst="rect">
                          <a:avLst/>
                        </a:prstGeom>
                        <a:solidFill>
                          <a:schemeClr val="lt1"/>
                        </a:solidFill>
                        <a:ln w="6350">
                          <a:solidFill>
                            <a:prstClr val="black"/>
                          </a:solidFill>
                        </a:ln>
                      </wps:spPr>
                      <wps:txbx>
                        <w:txbxContent>
                          <w:p w14:paraId="250E38B1" w14:textId="5FE66666" w:rsidR="00A05940" w:rsidRPr="008C603B" w:rsidRDefault="00FC5082" w:rsidP="00A05940">
                            <w:pPr>
                              <w:jc w:val="center"/>
                              <w:rPr>
                                <w:b/>
                                <w:bCs/>
                              </w:rPr>
                            </w:pPr>
                            <w:r w:rsidRPr="00FC5082">
                              <w:rPr>
                                <w:b/>
                                <w:bCs/>
                              </w:rPr>
                              <w:drawing>
                                <wp:inline distT="0" distB="0" distL="0" distR="0" wp14:anchorId="24F34E1E" wp14:editId="43E29AD9">
                                  <wp:extent cx="5754370" cy="2054860"/>
                                  <wp:effectExtent l="0" t="0" r="0" b="2540"/>
                                  <wp:docPr id="893364683" name="Picture 1" descr="A graph of 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93988" name="Picture 1" descr="A graph of a graph of a line&#10;&#10;AI-generated content may be incorrect."/>
                                          <pic:cNvPicPr/>
                                        </pic:nvPicPr>
                                        <pic:blipFill>
                                          <a:blip r:embed="rId14"/>
                                          <a:stretch>
                                            <a:fillRect/>
                                          </a:stretch>
                                        </pic:blipFill>
                                        <pic:spPr>
                                          <a:xfrm>
                                            <a:off x="0" y="0"/>
                                            <a:ext cx="5754370" cy="2054860"/>
                                          </a:xfrm>
                                          <a:prstGeom prst="rect">
                                            <a:avLst/>
                                          </a:prstGeom>
                                        </pic:spPr>
                                      </pic:pic>
                                    </a:graphicData>
                                  </a:graphic>
                                </wp:inline>
                              </w:drawing>
                            </w:r>
                            <w:r w:rsidR="00A05940" w:rsidRPr="0013469A">
                              <w:rPr>
                                <w:b/>
                                <w:bCs/>
                              </w:rPr>
                              <w:t>Fig</w:t>
                            </w:r>
                            <w:r w:rsidR="00A05940">
                              <w:rPr>
                                <w:b/>
                                <w:bCs/>
                              </w:rPr>
                              <w:t>ure</w:t>
                            </w:r>
                            <w:r w:rsidR="00A05940" w:rsidRPr="0013469A">
                              <w:rPr>
                                <w:b/>
                                <w:bCs/>
                              </w:rPr>
                              <w:t xml:space="preserve"> 3</w:t>
                            </w:r>
                            <w:r w:rsidR="00A05940">
                              <w:rPr>
                                <w:b/>
                                <w:bCs/>
                              </w:rPr>
                              <w:t xml:space="preserve">. </w:t>
                            </w:r>
                            <w:r w:rsidR="00A05940">
                              <w:t xml:space="preserve">Linear regression model used in calibrating XRF data from </w:t>
                            </w:r>
                            <w:r w:rsidR="00A05940">
                              <w:rPr>
                                <w:b/>
                                <w:bCs/>
                              </w:rPr>
                              <w:t xml:space="preserve">(A) </w:t>
                            </w:r>
                            <w:r w:rsidR="00A05940">
                              <w:t xml:space="preserve">Fundamental Parameter’s mf. % and </w:t>
                            </w:r>
                            <w:r w:rsidR="00A05940">
                              <w:rPr>
                                <w:b/>
                                <w:bCs/>
                              </w:rPr>
                              <w:t xml:space="preserve">(B) </w:t>
                            </w:r>
                            <w:r w:rsidR="00A05940">
                              <w:t xml:space="preserve">cumulative counts/sec from Pb L-lines compared with a </w:t>
                            </w:r>
                            <w:r w:rsidR="00A05940">
                              <w:rPr>
                                <w:b/>
                                <w:bCs/>
                              </w:rPr>
                              <w:t xml:space="preserve">(C) </w:t>
                            </w:r>
                            <w:r w:rsidR="00A05940">
                              <w:t xml:space="preserve">residual analysis.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ED17ED4" id="_x0000_s1033" type="#_x0000_t202" style="position:absolute;left:0;text-align:left;margin-left:2.8pt;margin-top:128.1pt;width:468pt;height:218.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" fillcolor="white [3201]" strokeweight=".5pt">
                <v:textbox>
                  <w:txbxContent>
                    <w:p w14:paraId="250E38B1" w14:textId="5FE66666" w:rsidR="00A05940" w:rsidRPr="008C603B" w:rsidRDefault="00FC5082" w:rsidP="00A05940">
                      <w:pPr>
                        <w:jc w:val="center"/>
                        <w:rPr>
                          <w:b/>
                          <w:bCs/>
                        </w:rPr>
                      </w:pPr>
                      <w:r w:rsidRPr="00FC5082">
                        <w:rPr>
                          <w:b/>
                          <w:bCs/>
                        </w:rPr>
                        <w:drawing>
                          <wp:inline distT="0" distB="0" distL="0" distR="0" wp14:anchorId="24F34E1E" wp14:editId="43E29AD9">
                            <wp:extent cx="5754370" cy="2054860"/>
                            <wp:effectExtent l="0" t="0" r="0" b="2540"/>
                            <wp:docPr id="893364683" name="Picture 1" descr="A graph of 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93988" name="Picture 1" descr="A graph of a graph of a line&#10;&#10;AI-generated content may be incorrect."/>
                                    <pic:cNvPicPr/>
                                  </pic:nvPicPr>
                                  <pic:blipFill>
                                    <a:blip r:embed="rId14"/>
                                    <a:stretch>
                                      <a:fillRect/>
                                    </a:stretch>
                                  </pic:blipFill>
                                  <pic:spPr>
                                    <a:xfrm>
                                      <a:off x="0" y="0"/>
                                      <a:ext cx="5754370" cy="2054860"/>
                                    </a:xfrm>
                                    <a:prstGeom prst="rect">
                                      <a:avLst/>
                                    </a:prstGeom>
                                  </pic:spPr>
                                </pic:pic>
                              </a:graphicData>
                            </a:graphic>
                          </wp:inline>
                        </w:drawing>
                      </w:r>
                      <w:r w:rsidR="00A05940" w:rsidRPr="0013469A">
                        <w:rPr>
                          <w:b/>
                          <w:bCs/>
                        </w:rPr>
                        <w:t>Fig</w:t>
                      </w:r>
                      <w:r w:rsidR="00A05940">
                        <w:rPr>
                          <w:b/>
                          <w:bCs/>
                        </w:rPr>
                        <w:t>ure</w:t>
                      </w:r>
                      <w:r w:rsidR="00A05940" w:rsidRPr="0013469A">
                        <w:rPr>
                          <w:b/>
                          <w:bCs/>
                        </w:rPr>
                        <w:t xml:space="preserve"> 3</w:t>
                      </w:r>
                      <w:r w:rsidR="00A05940">
                        <w:rPr>
                          <w:b/>
                          <w:bCs/>
                        </w:rPr>
                        <w:t xml:space="preserve">. </w:t>
                      </w:r>
                      <w:r w:rsidR="00A05940">
                        <w:t xml:space="preserve">Linear regression model used in calibrating XRF data from </w:t>
                      </w:r>
                      <w:r w:rsidR="00A05940">
                        <w:rPr>
                          <w:b/>
                          <w:bCs/>
                        </w:rPr>
                        <w:t xml:space="preserve">(A) </w:t>
                      </w:r>
                      <w:r w:rsidR="00A05940">
                        <w:t xml:space="preserve">Fundamental Parameter’s mf. % and </w:t>
                      </w:r>
                      <w:r w:rsidR="00A05940">
                        <w:rPr>
                          <w:b/>
                          <w:bCs/>
                        </w:rPr>
                        <w:t xml:space="preserve">(B) </w:t>
                      </w:r>
                      <w:r w:rsidR="00A05940">
                        <w:t xml:space="preserve">cumulative counts/sec from Pb L-lines compared with a </w:t>
                      </w:r>
                      <w:r w:rsidR="00A05940">
                        <w:rPr>
                          <w:b/>
                          <w:bCs/>
                        </w:rPr>
                        <w:t xml:space="preserve">(C) </w:t>
                      </w:r>
                      <w:r w:rsidR="00A05940">
                        <w:t xml:space="preserve">residual analysis. </w:t>
                      </w:r>
                    </w:p>
                  </w:txbxContent>
                </v:textbox>
                <w10:wrap type="tight"/>
              </v:shape>
            </w:pict>
          </mc:Fallback>
        </mc:AlternateContent>
      </w:r>
      <w:r w:rsidRPr="004C40FB">
        <w:rPr>
          <w:rFonts w:ascii="Calibri" w:hAnsi="Calibri" w:cs="Calibri"/>
        </w:rPr>
        <w:t>underestimation from shallower regression slopes.</w:t>
      </w:r>
    </w:p>
    <w:p w14:paraId="1829ED89" w14:textId="4068F66C" w:rsidR="0013469A" w:rsidRDefault="004C40FB" w:rsidP="0013469A">
      <w:pPr>
        <w:spacing w:after="0" w:line="240" w:lineRule="auto"/>
        <w:jc w:val="both"/>
        <w:rPr>
          <w:rFonts w:ascii="Calibri" w:hAnsi="Calibri" w:cs="Calibri"/>
          <w:b/>
          <w:bCs/>
        </w:rPr>
      </w:pPr>
      <w:r>
        <w:rPr>
          <w:rFonts w:ascii="Calibri" w:hAnsi="Calibri" w:cs="Calibri"/>
          <w:b/>
          <w:bCs/>
        </w:rPr>
        <w:t>Discussion</w:t>
      </w:r>
    </w:p>
    <w:p w14:paraId="50FF8355" w14:textId="6F8956D0" w:rsidR="0013469A" w:rsidRPr="00A05940" w:rsidRDefault="00CB00BB" w:rsidP="00A05940">
      <w:pPr>
        <w:spacing w:after="0" w:line="240" w:lineRule="auto"/>
        <w:jc w:val="both"/>
        <w:rPr>
          <w:rFonts w:ascii="Calibri" w:hAnsi="Calibri" w:cs="Calibri"/>
          <w:b/>
          <w:bCs/>
        </w:rPr>
      </w:pPr>
      <w:r>
        <w:rPr>
          <w:rFonts w:ascii="Calibri" w:hAnsi="Calibri" w:cs="Calibri"/>
        </w:rPr>
        <w:t>The metal</w:t>
      </w:r>
      <w:r w:rsidR="00D407F1">
        <w:rPr>
          <w:rFonts w:ascii="Calibri" w:hAnsi="Calibri" w:cs="Calibri"/>
        </w:rPr>
        <w:t xml:space="preserve">s </w:t>
      </w:r>
      <w:r w:rsidR="008C0E4C">
        <w:rPr>
          <w:rFonts w:ascii="Calibri" w:hAnsi="Calibri" w:cs="Calibri"/>
        </w:rPr>
        <w:t>of concern</w:t>
      </w:r>
      <w:r>
        <w:rPr>
          <w:rFonts w:ascii="Calibri" w:hAnsi="Calibri" w:cs="Calibri"/>
        </w:rPr>
        <w:t xml:space="preserve">, namely Pb, Zn, Cu, and Co, were more concentrated in the ashes collected from within the urban burn perimeter compared to </w:t>
      </w:r>
      <w:r w:rsidR="007A1FAB">
        <w:rPr>
          <w:rFonts w:ascii="Calibri" w:hAnsi="Calibri" w:cs="Calibri"/>
        </w:rPr>
        <w:t>ashes collected beyond the burned perimeter</w:t>
      </w:r>
      <w:r w:rsidR="00D407F1">
        <w:rPr>
          <w:rFonts w:ascii="Calibri" w:hAnsi="Calibri" w:cs="Calibri"/>
        </w:rPr>
        <w:t xml:space="preserve">, reflecting the </w:t>
      </w:r>
      <w:r w:rsidR="008C0E4C">
        <w:rPr>
          <w:rFonts w:ascii="Calibri" w:hAnsi="Calibri" w:cs="Calibri"/>
        </w:rPr>
        <w:t xml:space="preserve">spatial </w:t>
      </w:r>
      <w:r w:rsidR="00D407F1">
        <w:rPr>
          <w:rFonts w:ascii="Calibri" w:hAnsi="Calibri" w:cs="Calibri"/>
        </w:rPr>
        <w:t xml:space="preserve">effect of pre-fire urban land cover on metal </w:t>
      </w:r>
      <w:r w:rsidR="007E465F">
        <w:rPr>
          <w:rFonts w:ascii="Calibri" w:hAnsi="Calibri" w:cs="Calibri"/>
        </w:rPr>
        <w:t>composition</w:t>
      </w:r>
      <w:r w:rsidR="00D407F1">
        <w:rPr>
          <w:rFonts w:ascii="Calibri" w:hAnsi="Calibri" w:cs="Calibri"/>
        </w:rPr>
        <w:t xml:space="preserve"> in ash.</w:t>
      </w:r>
      <w:r w:rsidR="00742D1B">
        <w:rPr>
          <w:rFonts w:ascii="Calibri" w:hAnsi="Calibri" w:cs="Calibri"/>
        </w:rPr>
        <w:t xml:space="preserve"> Metal elements with the highest concentrations </w:t>
      </w:r>
      <w:r w:rsidR="00DA20DF">
        <w:rPr>
          <w:rFonts w:ascii="Calibri" w:hAnsi="Calibri" w:cs="Calibri"/>
        </w:rPr>
        <w:t xml:space="preserve">across all </w:t>
      </w:r>
      <w:r w:rsidR="00742D1B">
        <w:rPr>
          <w:rFonts w:ascii="Calibri" w:hAnsi="Calibri" w:cs="Calibri"/>
        </w:rPr>
        <w:t xml:space="preserve">ashes (Al, Fe, Ti, etc.) reflect the geological regime of native rocks and minerals from the surrounding landscape. These geogenic elements </w:t>
      </w:r>
      <w:r w:rsidR="00742D1B">
        <w:rPr>
          <w:rFonts w:ascii="Calibri" w:hAnsi="Calibri" w:cs="Calibri"/>
        </w:rPr>
        <w:lastRenderedPageBreak/>
        <w:t xml:space="preserve">have low variability and are present in relatively the same amount across all the ashes. Pyrogenic elements are enriched in post-fire areas where a mosaic of materials from the built environment are combusted </w:t>
      </w:r>
      <w:r w:rsidR="0075221E">
        <w:rPr>
          <w:rFonts w:ascii="Calibri" w:hAnsi="Calibri" w:cs="Calibri"/>
        </w:rPr>
        <w:t>can</w:t>
      </w:r>
      <w:r w:rsidR="00742D1B">
        <w:rPr>
          <w:rFonts w:ascii="Calibri" w:hAnsi="Calibri" w:cs="Calibri"/>
        </w:rPr>
        <w:t xml:space="preserve"> enhance</w:t>
      </w:r>
      <w:r w:rsidR="0075221E">
        <w:rPr>
          <w:rFonts w:ascii="Calibri" w:hAnsi="Calibri" w:cs="Calibri"/>
        </w:rPr>
        <w:t xml:space="preserve"> metal contamination and</w:t>
      </w:r>
      <w:r w:rsidR="00742D1B">
        <w:rPr>
          <w:rFonts w:ascii="Calibri" w:hAnsi="Calibri" w:cs="Calibri"/>
        </w:rPr>
        <w:t xml:space="preserve"> variation in ash composition.</w:t>
      </w:r>
      <w:r w:rsidR="0075221E">
        <w:rPr>
          <w:rFonts w:ascii="Calibri" w:hAnsi="Calibri" w:cs="Calibri"/>
        </w:rPr>
        <w:t xml:space="preserve"> </w:t>
      </w:r>
      <w:r w:rsidR="00272D52">
        <w:rPr>
          <w:rFonts w:ascii="Calibri" w:hAnsi="Calibri" w:cs="Calibri"/>
        </w:rPr>
        <w:t xml:space="preserve">Among the elements detected, the highest variation in concentration across all ash samples included Pb, Zn, Cu, and Co. This is consistent with the extreme heterogeneity of post-fire metal contamination of residential soils studied in previous WUI fires where a mosaic of point-source metal emissions in addition to vegetation is combusted </w:t>
      </w:r>
      <w:r w:rsidR="00272D52">
        <w:rPr>
          <w:rFonts w:ascii="Calibri" w:hAnsi="Calibri" w:cs="Calibri"/>
        </w:rPr>
        <w:fldChar w:fldCharType="begin"/>
      </w:r>
      <w:r w:rsidR="00937AC5">
        <w:rPr>
          <w:rFonts w:ascii="Calibri" w:hAnsi="Calibri" w:cs="Calibri"/>
        </w:rPr>
        <w:instrText xml:space="preserve"> ADDIN ZOTERO_ITEM CSL_CITATION {"citationID":"1hFaEs6C","properties":{"formattedCitation":"\\super 3,4,6,8\\nosupersub{}","plainCitation":"3,4,6,8","noteIndex":0},"citationItems":[{"id":717,"uris":["http://zotero.org/users/15329994/items/SE52464L"],"itemData":{"id":717,"type":"article-journal","abstract":"Wildfires at the wildland-urban interface (WUI) are increasingly common. The impacts of such events are likely distinct from those that occur strictly in wildland areas, as we would expect an elevated likelihood of soil contamination due to the combustion of anthropogenic materials. We evaluated the impacts of a wildfire at the WUI on soil contamination, sampling soils from residential and nonresidential areas located inside and outside the perimeter of the 2021 Marshall Fire in Colorado, USA. We found that fire-affected residential properties had elevated concentrations of some heavy metals (including Zn, Cu, Cr, and Pb), but the concentrations were still below levels of likely concern, and we observed no corresponding increases in concentrations of polycyclic aromatic hydrocarbons (PAHs). The postfire increases in metal concentrations were not generally observed in the nonresidential soils, highlighting the importance of combustion of anthropogenic materials for potential soil contamination from wildfires at the WUI. While soil contamination from the 2021 Marshall Fire was lower than expected, and likely below the threshold of concern for human health, our study highlights some of the challenges that need to be considered when assessing soil contamination after such fires.","container-title":"Environmental Science &amp; Technology","DOI":"10.1021/acs.est.3c08508","ISSN":"0013-936X","issue":"9","journalAbbreviation":"Environ. Sci. Technol.","page":"4326-4333","publisher":"American Chemical Society","source":"ACS Publications","title":"Determination of Soil Contamination at the Wildland-Urban Interface after the 2021 Marshall Fire in Colorado, USA","volume":"58","author":[{"family":"Jech","given":"Sierra"},{"family":"Adamchak","given":"Clifford"},{"family":"Stokes","given":"Sean C."},{"family":"Wiltse","given":"Marin E."},{"family":"Callen","given":"Jessica"},{"family":"VanderRoest","given":"Jacob"},{"family":"Kelly","given":"Eugene F."},{"family":"Hinckley","given":"Eve-Lyn S."},{"family":"Stein","given":"Holly J."},{"family":"Borch","given":"Thomas"},{"family":"Fierer","given":"Noah"}],"issued":{"date-parts":[["2024",3,5]]}}},{"id":3803,"uris":["http://zotero.org/users/15329994/items/F75E2ITT"],"itemData":{"id":3803,"type":"article-journal","abstract":"Forest fire is a natural disturbance that occurs in many terrestrial ecosystems specifically in the semi-arid environments and is considered to be an important cause of environmental change. Though many causes of fire are identified, including lightning, volcanic eruption, power line sparks, etc., human involvement is the most significant factor. Fire events are able to alter the physical, chemical and biogeochemical properties of the soil and surface materials and are able to release major and trace metals into the environment. This may be more significant in mining-affected and industrial landscapes, where elevated concentrations of metals present in the soil. After the fire event, metals become more mobile due to the increase in soil surface exposure and the mobility associated with ash dispersal. This mobility may increase the bioavailability of the metals, which may generate water quality issues and may contribute to human and environmental health concerns. Even though, the influences of fire on many soil properties are well established, the behaviour of metals with respect to fire is not well investigated. However, a few studies report that major and trace metals include Cd, Cr, Co, Cu, Hg, Mn, Ni, Pb, Zn and As are mobilized after fire with increased concentrations in soil and water resources and this might pose a risk to human health and ecosystems. Climate change may increase the intensity, frequency and areal extend of fire events and hence increase the metal concentrations and their potential health impacts. This paper reviews post-fire (wild fire) mobility of metals in soil common in contaminated forest ecosystems. The human and ecological health risks of these metals are also considered.","container-title":"Water, Air, &amp; Soil Pollution","DOI":"10.1007/s11270-017-3338-0","ISSN":"1573-2932","issue":"5","journalAbbreviation":"Water Air Soil Pollut","language":"en","page":"175","source":"Springer Link","title":"The Unquantified Risk of Post-Fire Metal Concentration in Soil: a Review","title-short":"The Unquantified Risk of Post-Fire Metal Concentration in Soil","volume":"228","author":[{"family":"Abraham","given":"Joji"},{"family":"Dowling","given":"Kim"},{"family":"Florentine","given":"Singarayer"}],"issued":{"date-parts":[["2017",4,11]]}}},{"id":3831,"uris":["http://zotero.org/users/15329994/items/YKCT249V"],"itemData":{"id":3831,"type":"article-journal","abstract":"The presence of toxic substances is one of the major causes of degradation of soil quality. Wildfires, besides affecting various chemical, physical, and biological soil properties, produce a mixture of potentially toxic substances which can reach the soil and water bodies and cause harm to these media. This review intends to summarise the current knowledge on the generation by wildfires of potentially toxic substances, their effects on soil organisms, and other associated risks, addressing the effects of fire on metal mobilisation, the pyrolytic production of potentially toxic compounds, and the detoxifying effect of charcoal. Numerous studies ascertained inhibitory effects of ash on seed germination and seedling growth as well as its toxicity to soil and aquatic organisms. Abundant publications addressed the mobilisation of heavy metals and trace elements by fire, including analyses of total concentrations, speciation, availability, and risk of exportation to water bodies. Many publications studied the presence of polycyclic aromatic hydrocarbons (PAH) and other organic pollutants in soils after fire, their composition, decline over time, the risk of contamination of surface and ground waters, and their toxicity to plants, soil, and water organisms. Finally, the review addresses the possible detoxifying role of charcoal in soils affected by fire.","container-title":"Toxics","DOI":"10.3390/toxics10010031","ISSN":"2305-6304","issue":"1","language":"en","license":"http://creativecommons.org/licenses/by/3.0/","page":"31","publisher":"Multidisciplinary Digital Publishing Institute","source":"www.mdpi.com","title":"Potentially Toxic Substances and Associated Risks in Soils Affected by Wildfires: A Review","title-short":"Potentially Toxic Substances and Associated Risks in Soils Affected by Wildfires","volume":"10","author":[{"family":"Fernandez-Marcos","given":"Maria Luisa"}],"issued":{"date-parts":[["2022",1]]}}},{"id":780,"uris":["http://zotero.org/users/15329994/items/VKUYLSJQ"],"itemData":{"id":780,"type":"article-journal","abstract":"Wildfires at the wildland–urban interface (WUI) are increasing in frequency and intensity, driven by climate change and anthropogenic ignitions. Few studies have characterized the variability in the metal content in ash generated from burned structures in order to determine the potential risk to human and environmental health. Using inductively coupled plasma optical emission spectroscopy (ICP-OES) and inductively coupled plasma mass spectrometry (ICP-MS), we analyzed leachable trace metal concentration in soils and ash from structures burned by the Marshall Fire, a WUI fire that destroyed over 1000 structures in Boulder County, Colorado. Acid digestion revealed that ash derived from structures contained 22 times more Cu and 3 times more Pb on average than surrounding soils on a mg/kg basis. Ash liberated 12 times more Ni (mg/kg) and twice as much Cr (mg/kg) as soils in a water leach. By comparing the amount of acid-extractable metals to that released by water and simulated epithelial lung fluid (SELF), we estimated their potential for environmental mobility and human bioaccessibility. The SELF leach showed that Cu and Ni were more bioaccessible (mg of leachable metal/mg of acid-extractable metal) in ash than in soils. These results suggest that structure ash is an important source of trace metals that can negatively impact the health of both humans and the environment.","container-title":"Environmental Science &amp; Technology","DOI":"10.1021/acs.est.3c08446","ISSN":"0013-936X","issue":"5","journalAbbreviation":"Environ. Sci. Technol.","page":"2502-2513","source":"ACS Publications","title":"Quantification of Bioaccessible and Environmentally Relevant Trace Metals in Structure Ash from a Wildland–Urban Interface Fire","volume":"58","author":[{"family":"Villarruel","given":"Carmen M."},{"family":"Figueroa","given":"Linda A."},{"family":"Ranville","given":"James F."}],"issued":{"date-parts":[["2024",2,6]]}}}],"schema":"https://github.com/citation-style-language/schema/raw/master/csl-citation.json"} </w:instrText>
      </w:r>
      <w:r w:rsidR="00272D52">
        <w:rPr>
          <w:rFonts w:ascii="Calibri" w:hAnsi="Calibri" w:cs="Calibri"/>
        </w:rPr>
        <w:fldChar w:fldCharType="separate"/>
      </w:r>
      <w:r w:rsidR="00937AC5" w:rsidRPr="00937AC5">
        <w:rPr>
          <w:rFonts w:ascii="Calibri" w:hAnsi="Calibri" w:cs="Calibri"/>
          <w:kern w:val="0"/>
          <w:vertAlign w:val="superscript"/>
        </w:rPr>
        <w:t>3,4,6,8</w:t>
      </w:r>
      <w:r w:rsidR="00272D52">
        <w:rPr>
          <w:rFonts w:ascii="Calibri" w:hAnsi="Calibri" w:cs="Calibri"/>
        </w:rPr>
        <w:fldChar w:fldCharType="end"/>
      </w:r>
      <w:r w:rsidR="00272D52">
        <w:rPr>
          <w:rFonts w:ascii="Calibri" w:hAnsi="Calibri" w:cs="Calibri"/>
        </w:rPr>
        <w:t xml:space="preserve">. </w:t>
      </w:r>
      <w:r w:rsidR="00574C02">
        <w:rPr>
          <w:rFonts w:ascii="Calibri" w:hAnsi="Calibri" w:cs="Calibri"/>
        </w:rPr>
        <w:t xml:space="preserve">Pre-fire </w:t>
      </w:r>
      <w:r w:rsidR="00272D52">
        <w:rPr>
          <w:rFonts w:ascii="Calibri" w:hAnsi="Calibri" w:cs="Calibri"/>
        </w:rPr>
        <w:t xml:space="preserve">WUI </w:t>
      </w:r>
      <w:r w:rsidR="00574C02">
        <w:rPr>
          <w:rFonts w:ascii="Calibri" w:hAnsi="Calibri" w:cs="Calibri"/>
        </w:rPr>
        <w:t xml:space="preserve">regions can be very dissimilar, and thus the wildfire events that occur in the WUI can be highly variable. The unique source of combusted </w:t>
      </w:r>
      <w:r w:rsidR="00FC5082">
        <w:rPr>
          <w:rFonts w:ascii="Calibri" w:hAnsi="Calibri" w:cs="Calibri"/>
          <w:noProof/>
        </w:rPr>
        <mc:AlternateContent>
          <mc:Choice Requires="wps">
            <w:drawing>
              <wp:anchor distT="0" distB="0" distL="114300" distR="114300" simplePos="0" relativeHeight="251669504" behindDoc="1" locked="0" layoutInCell="1" allowOverlap="1" wp14:anchorId="7C23AC53" wp14:editId="57AD17EF">
                <wp:simplePos x="0" y="0"/>
                <wp:positionH relativeFrom="column">
                  <wp:posOffset>0</wp:posOffset>
                </wp:positionH>
                <wp:positionV relativeFrom="paragraph">
                  <wp:posOffset>1728470</wp:posOffset>
                </wp:positionV>
                <wp:extent cx="5943600" cy="4538345"/>
                <wp:effectExtent l="0" t="0" r="12700" b="8255"/>
                <wp:wrapTight wrapText="bothSides">
                  <wp:wrapPolygon edited="0">
                    <wp:start x="0" y="0"/>
                    <wp:lineTo x="0" y="21579"/>
                    <wp:lineTo x="21600" y="21579"/>
                    <wp:lineTo x="21600" y="0"/>
                    <wp:lineTo x="0" y="0"/>
                  </wp:wrapPolygon>
                </wp:wrapTight>
                <wp:docPr id="776405825" name="Text Box 1"/>
                <wp:cNvGraphicFramePr/>
                <a:graphic xmlns:a="http://schemas.openxmlformats.org/drawingml/2006/main">
                  <a:graphicData uri="http://schemas.microsoft.com/office/word/2010/wordprocessingShape">
                    <wps:wsp>
                      <wps:cNvSpPr txBox="1"/>
                      <wps:spPr>
                        <a:xfrm>
                          <a:off x="0" y="0"/>
                          <a:ext cx="5943600" cy="4538345"/>
                        </a:xfrm>
                        <a:prstGeom prst="rect">
                          <a:avLst/>
                        </a:prstGeom>
                        <a:solidFill>
                          <a:schemeClr val="lt1"/>
                        </a:solidFill>
                        <a:ln w="6350">
                          <a:solidFill>
                            <a:prstClr val="black"/>
                          </a:solidFill>
                        </a:ln>
                      </wps:spPr>
                      <wps:txbx>
                        <w:txbxContent>
                          <w:p w14:paraId="2B461887" w14:textId="2575B91A" w:rsidR="007B129E" w:rsidRDefault="00A92A78" w:rsidP="007B129E">
                            <w:pPr>
                              <w:jc w:val="center"/>
                            </w:pPr>
                            <w:r w:rsidRPr="00A92A78">
                              <w:drawing>
                                <wp:inline distT="0" distB="0" distL="0" distR="0" wp14:anchorId="304AED9E" wp14:editId="039FAF78">
                                  <wp:extent cx="5754370" cy="3897630"/>
                                  <wp:effectExtent l="0" t="0" r="0" b="1270"/>
                                  <wp:docPr id="1976322549" name="Picture 1" descr="A map of metal concen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95184" name="Picture 1" descr="A map of metal concentration&#10;&#10;AI-generated content may be incorrect."/>
                                          <pic:cNvPicPr/>
                                        </pic:nvPicPr>
                                        <pic:blipFill>
                                          <a:blip r:embed="rId15"/>
                                          <a:stretch>
                                            <a:fillRect/>
                                          </a:stretch>
                                        </pic:blipFill>
                                        <pic:spPr>
                                          <a:xfrm>
                                            <a:off x="0" y="0"/>
                                            <a:ext cx="5754370" cy="3897630"/>
                                          </a:xfrm>
                                          <a:prstGeom prst="rect">
                                            <a:avLst/>
                                          </a:prstGeom>
                                        </pic:spPr>
                                      </pic:pic>
                                    </a:graphicData>
                                  </a:graphic>
                                </wp:inline>
                              </w:drawing>
                            </w:r>
                          </w:p>
                          <w:p w14:paraId="03A37B85" w14:textId="3408424A" w:rsidR="008C603B" w:rsidRPr="008C603B" w:rsidRDefault="008C603B" w:rsidP="007B129E">
                            <w:pPr>
                              <w:jc w:val="center"/>
                              <w:rPr>
                                <w:b/>
                                <w:bCs/>
                              </w:rPr>
                            </w:pPr>
                            <w:r>
                              <w:rPr>
                                <w:b/>
                                <w:bCs/>
                              </w:rPr>
                              <w:t xml:space="preserve">Figure 4. </w:t>
                            </w:r>
                            <w:r>
                              <w:t xml:space="preserve">Map of the ash samples with color symbology reflecting screening thresholds for metal contaminants including Pb, Zn, Cu, and Co. </w:t>
                            </w:r>
                            <w:r>
                              <w:rPr>
                                <w:b/>
                                <w:bC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C23AC53" id="_x0000_s1034" type="#_x0000_t202" style="position:absolute;left:0;text-align:left;margin-left:0;margin-top:136.1pt;width:468pt;height:357.3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" fillcolor="white [3201]" strokeweight=".5pt">
                <v:textbox>
                  <w:txbxContent>
                    <w:p w14:paraId="2B461887" w14:textId="2575B91A" w:rsidR="007B129E" w:rsidRDefault="00A92A78" w:rsidP="007B129E">
                      <w:pPr>
                        <w:jc w:val="center"/>
                      </w:pPr>
                      <w:r w:rsidRPr="00A92A78">
                        <w:drawing>
                          <wp:inline distT="0" distB="0" distL="0" distR="0" wp14:anchorId="304AED9E" wp14:editId="039FAF78">
                            <wp:extent cx="5754370" cy="3897630"/>
                            <wp:effectExtent l="0" t="0" r="0" b="1270"/>
                            <wp:docPr id="1976322549" name="Picture 1" descr="A map of metal concent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195184" name="Picture 1" descr="A map of metal concentration&#10;&#10;AI-generated content may be incorrect."/>
                                    <pic:cNvPicPr/>
                                  </pic:nvPicPr>
                                  <pic:blipFill>
                                    <a:blip r:embed="rId15"/>
                                    <a:stretch>
                                      <a:fillRect/>
                                    </a:stretch>
                                  </pic:blipFill>
                                  <pic:spPr>
                                    <a:xfrm>
                                      <a:off x="0" y="0"/>
                                      <a:ext cx="5754370" cy="3897630"/>
                                    </a:xfrm>
                                    <a:prstGeom prst="rect">
                                      <a:avLst/>
                                    </a:prstGeom>
                                  </pic:spPr>
                                </pic:pic>
                              </a:graphicData>
                            </a:graphic>
                          </wp:inline>
                        </w:drawing>
                      </w:r>
                    </w:p>
                    <w:p w14:paraId="03A37B85" w14:textId="3408424A" w:rsidR="008C603B" w:rsidRPr="008C603B" w:rsidRDefault="008C603B" w:rsidP="007B129E">
                      <w:pPr>
                        <w:jc w:val="center"/>
                        <w:rPr>
                          <w:b/>
                          <w:bCs/>
                        </w:rPr>
                      </w:pPr>
                      <w:r>
                        <w:rPr>
                          <w:b/>
                          <w:bCs/>
                        </w:rPr>
                        <w:t xml:space="preserve">Figure 4. </w:t>
                      </w:r>
                      <w:r>
                        <w:t xml:space="preserve">Map of the ash samples with color symbology reflecting screening thresholds for metal contaminants including Pb, Zn, Cu, and Co. </w:t>
                      </w:r>
                      <w:r>
                        <w:rPr>
                          <w:b/>
                          <w:bCs/>
                        </w:rPr>
                        <w:t xml:space="preserve"> </w:t>
                      </w:r>
                    </w:p>
                  </w:txbxContent>
                </v:textbox>
                <w10:wrap type="tight"/>
              </v:shape>
            </w:pict>
          </mc:Fallback>
        </mc:AlternateContent>
      </w:r>
      <w:r w:rsidR="00574C02">
        <w:rPr>
          <w:rFonts w:ascii="Calibri" w:hAnsi="Calibri" w:cs="Calibri"/>
        </w:rPr>
        <w:t xml:space="preserve">material likely affects the composition and distribution of fire-related contaminants.  </w:t>
      </w:r>
    </w:p>
    <w:p w14:paraId="180FA553" w14:textId="5EE76E8F" w:rsidR="007B129E" w:rsidRDefault="00607EAF" w:rsidP="00A92A78">
      <w:pPr>
        <w:spacing w:line="240" w:lineRule="auto"/>
        <w:ind w:firstLine="720"/>
        <w:jc w:val="both"/>
        <w:rPr>
          <w:rFonts w:ascii="Calibri" w:hAnsi="Calibri" w:cs="Calibri"/>
        </w:rPr>
      </w:pPr>
      <w:r>
        <w:rPr>
          <w:rFonts w:ascii="Calibri" w:hAnsi="Calibri" w:cs="Calibri"/>
        </w:rPr>
        <w:t>WUI fires are complex disasters that contaminate multiple environmental media</w:t>
      </w:r>
      <w:r w:rsidR="00734760">
        <w:rPr>
          <w:rFonts w:ascii="Calibri" w:hAnsi="Calibri" w:cs="Calibri"/>
        </w:rPr>
        <w:t xml:space="preserve"> including the air, land, and water</w:t>
      </w:r>
      <w:r w:rsidR="00DE32F5">
        <w:rPr>
          <w:rFonts w:ascii="Calibri" w:hAnsi="Calibri" w:cs="Calibri"/>
        </w:rPr>
        <w:t xml:space="preserve"> </w:t>
      </w:r>
      <w:r>
        <w:rPr>
          <w:rFonts w:ascii="Calibri" w:hAnsi="Calibri" w:cs="Calibri"/>
        </w:rPr>
        <w:t>with ash</w:t>
      </w:r>
      <w:r w:rsidR="00734760">
        <w:rPr>
          <w:rFonts w:ascii="Calibri" w:hAnsi="Calibri" w:cs="Calibri"/>
        </w:rPr>
        <w:t xml:space="preserve">es. Presently, wildfire evacuation guidelines do not consider the additional pathways of wildfire ash exposure on risk assessment. Furthermore, </w:t>
      </w:r>
      <w:r w:rsidR="00CC78D8">
        <w:rPr>
          <w:rFonts w:ascii="Calibri" w:hAnsi="Calibri" w:cs="Calibri"/>
        </w:rPr>
        <w:t xml:space="preserve">there exists no uniform emergency response framework that addresses post-fire habitability and reoccupancy based on </w:t>
      </w:r>
      <w:r w:rsidR="00574C02">
        <w:rPr>
          <w:rFonts w:ascii="Calibri" w:hAnsi="Calibri" w:cs="Calibri"/>
        </w:rPr>
        <w:t>environmental</w:t>
      </w:r>
      <w:r w:rsidR="00CC78D8">
        <w:rPr>
          <w:rFonts w:ascii="Calibri" w:hAnsi="Calibri" w:cs="Calibri"/>
        </w:rPr>
        <w:t xml:space="preserve"> exposure.</w:t>
      </w:r>
      <w:r w:rsidR="00DE32F5">
        <w:rPr>
          <w:rFonts w:ascii="Calibri" w:hAnsi="Calibri" w:cs="Calibri"/>
        </w:rPr>
        <w:t xml:space="preserve"> </w:t>
      </w:r>
      <w:r w:rsidR="00CC78D8">
        <w:rPr>
          <w:rFonts w:ascii="Calibri" w:hAnsi="Calibri" w:cs="Calibri"/>
        </w:rPr>
        <w:t xml:space="preserve"> </w:t>
      </w:r>
      <w:r w:rsidR="002768F1">
        <w:rPr>
          <w:rFonts w:ascii="Calibri" w:hAnsi="Calibri" w:cs="Calibri"/>
        </w:rPr>
        <w:t xml:space="preserve">Lead (Pb) is a toxic metal that can cause damage to almost all </w:t>
      </w:r>
      <w:r w:rsidR="00A42C39">
        <w:rPr>
          <w:rFonts w:ascii="Calibri" w:hAnsi="Calibri" w:cs="Calibri"/>
        </w:rPr>
        <w:t xml:space="preserve">organs and organ systems </w:t>
      </w:r>
      <w:r>
        <w:rPr>
          <w:rFonts w:ascii="Calibri" w:hAnsi="Calibri" w:cs="Calibri"/>
        </w:rPr>
        <w:t xml:space="preserve">with even very low levels of lead exposure </w:t>
      </w:r>
      <w:r w:rsidR="00A42C39">
        <w:rPr>
          <w:rFonts w:ascii="Calibri" w:hAnsi="Calibri" w:cs="Calibri"/>
        </w:rPr>
        <w:fldChar w:fldCharType="begin"/>
      </w:r>
      <w:r w:rsidR="00937AC5">
        <w:rPr>
          <w:rFonts w:ascii="Calibri" w:hAnsi="Calibri" w:cs="Calibri"/>
        </w:rPr>
        <w:instrText xml:space="preserve"> ADDIN ZOTERO_ITEM CSL_CITATION {"citationID":"xlmY6JJU","properties":{"formattedCitation":"\\super 20\\uc0\\u8211{}22\\nosupersub{}","plainCitation":"20–22","noteIndex":0},"citationItems":[{"id":3810,"uris":["http://zotero.org/users/15329994/items/FQ96SZLR"],"itemData":{"id":3810,"type":"article-journal","abstract":"Lead is the most abundant of the heavy metals in the Earth's crust. It has been used since prehistoric times, and has become widely distributed and mobilized in the environment. Exposure to and uptake of this non-essential element have consequently increased. Both occupational and environmental exposures to lead remain a serious problem in many developing and industrializing countries, as well as in some developed countries. In most developed countries, however, introduction of lead into the human environment has decreased in recent years, largely due to public health campaigns and a decline in its commercial usage, particularly in petrol. Acute lead poisoning has become rare in such countries, but chronic exposure to low levels of the metal is still a public health issue, especially among some minorities and socioeconomically disadvantaged groups. In developing countries, awareness of the public health impact of exposure to lead is growing but relatively few of these countries have introduced policies and regulations for significantly combating the problem. This article reviews the nature and importance of environmental exposure to lead in developing and developed countries, outlining past actions, and indicating requirements for future policy responses and interventions.","container-title":"Bulletin of the World Health Organization","ISSN":"0042-9686","issue":"9","journalAbbreviation":"Bull World Health Organ","language":"eng","page":"1068-1077","PMID":"11019456","PMCID":"PMC2560844","source":"PubMed","title":"Environmental lead exposure: a public health problem of global dimensions","title-short":"Environmental lead exposure","volume":"78","author":[{"family":"Tong","given":"S."},{"family":"Schirnding","given":"Y. E.","non-dropping-particle":"von"},{"family":"Prapamontol","given":"T."}],"issued":{"date-parts":[["2000"]]}}},{"id":3815,"uris":["http://zotero.org/users/15329994/items/237FGA64"],"itemData":{"id":3815,"type":"article-journal","abstract":"Background\nFew studies provide data directly relevant to the question of whether blood lead concentrations &lt; 10 μg/dL adversely affect children’s cognitive function.\n\nObjective\nWe examined the association between blood lead concentrations assessed throughout early childhood and children’s IQ at 6 years of age.\n\nMethods\nChildren were followed from 6 months to 6 years of age, with determination of blood lead concentrations at 6, 12, 18, and 24 months, and 3, 4, 5, and 6 years of age. At 6 years of age, intelligence was assessed in 194 children using the Wechsler Preschool and Primary Scale of Intelligence–Revised. We used general linear and semiparametic models to estimate and test the association between blood lead concentration and IQ.\n\nResults\nAfter adjustment for maternal IQ, HOME scale scores, and other potential confounding factors, lifetime average blood lead concentration (mean = 7.2 μg/dL; median = 6.2 μg/dL) was inversely associated with Full-Scale IQ (p = 0.006) and Performance IQ scores (p = 0.002). Compared with children who had lifetime average blood lead concentrations &lt; 5 μg/dL, children with lifetime average concentrations between 5 and 9.9 μg/dL scored 4.9 points lower on Full-Scale IQ (91.3 vs. 86.4, p = 0.03). Nonlinear modeling of the peak blood lead concentration revealed an inverse association (p = 0.003) between peak blood lead levels and Full-Scale IQ down to 2.1 μg/dL, the lowest observed peak blood lead concentration in our study.\n\nConclusions\nEvidence from this cohort indicates that children’s intellectual functioning at 6 years of age is impaired by blood lead concentrations well below 10 μg/dL, the Centers for Disease Control and Prevention definition of an elevated blood lead level.","container-title":"Environmental Health Perspectives","DOI":"10.1289/ehp.10424","ISSN":"0091-6765","issue":"2","journalAbbreviation":"Environ Health Perspect","page":"243-248","PMID":"18288325","PMCID":"PMC2235210","source":"PubMed Central","title":"Blood Lead Concentrations &lt; 10 μg/dL and Child Intelligence at 6 Years of Age","volume":"116","author":[{"family":"Jusko","given":"Todd A."},{"family":"Henderson","given":"Charles R."},{"family":"Lanphear","given":"Bruce P."},{"family":"Cory-Slechta","given":"Deborah A."},{"family":"Parsons","given":"Patrick J."},{"family":"Canfield","given":"Richard L."}],"issued":{"date-parts":[["2008",2]]}}},{"id":3813,"uris":["http://zotero.org/users/15329994/items/VLN7GEZ7"],"itemData":{"id":3813,"type":"article-journal","abstract":"OBJECTIVE: We reviewed the sources of lead in the environments of U.S. children, contributions to children's blood lead levels, source elimination and control efforts, and existing federal authorities. Our context is the U.S. public health goal to eliminate pediatric elevated blood lead levels (EBLs) by 2010.\nDATA SOURCES: National, state, and local exposure assessments over the past half century have identified risk factors for EBLs among U.S. children, including age, race, income, age and location of housing, parental occupation, and season.\nDATA EXTRACTION AND SYNTHESIS: Recent national policies have greatly reduced lead exposure among U.S. children, but even very low exposure levels compromise children's later intellectual development and lifetime achievement. No threshold for these effects has been demonstrated. Although lead paint and dust may still account for up to 70% of EBLs in U.S. children, the U.S. Centers for Disease Control and Prevention estimates that &gt;or=30% of current EBLs do not have an immediate lead paint source, and numerous studies indicate that lead exposures result from multiple sources. EBLs and even deaths have been associated with inadequately controlled sources including ethnic remedies and goods, consumer products, and food-related items such as ceramics. Lead in public drinking water and in older urban centers remain exposure sources in many areas.\nCONCLUSIONS: Achieving the 2010 goal requires maintaining current efforts, especially programs addressing lead paint, while developing interventions that prevent exposure before children are poisoned. It also requires active collaboration across all levels of government to identify and control all potential sources of lead exposure, as well as primary prevention.","container-title":"Environmental Health Perspectives","DOI":"10.1289/ehp.11241","ISSN":"0091-6765","issue":"10","journalAbbreviation":"Environ Health Perspect","language":"eng","page":"1285-1293","PMID":"18941567","PMCID":"PMC2569084","source":"PubMed","title":"Lead exposures in U.S. Children, 2008: implications for prevention","title-short":"Lead exposures in U.S. Children, 2008","volume":"116","author":[{"family":"Levin","given":"Ronnie"},{"family":"Brown","given":"Mary Jean"},{"family":"Kashtock","given":"Michael E."},{"family":"Jacobs","given":"David E."},{"family":"Whelan","given":"Elizabeth A."},{"family":"Rodman","given":"Joanne"},{"family":"Schock","given":"Michael R."},{"family":"Padilla","given":"Alma"},{"family":"Sinks","given":"Thomas"}],"issued":{"date-parts":[["2008",10]]}}}],"schema":"https://github.com/citation-style-language/schema/raw/master/csl-citation.json"} </w:instrText>
      </w:r>
      <w:r w:rsidR="00A42C39">
        <w:rPr>
          <w:rFonts w:ascii="Calibri" w:hAnsi="Calibri" w:cs="Calibri"/>
        </w:rPr>
        <w:fldChar w:fldCharType="separate"/>
      </w:r>
      <w:r w:rsidR="00937AC5" w:rsidRPr="00937AC5">
        <w:rPr>
          <w:rFonts w:ascii="Calibri" w:hAnsi="Calibri" w:cs="Calibri"/>
          <w:kern w:val="0"/>
          <w:vertAlign w:val="superscript"/>
        </w:rPr>
        <w:t>20–22</w:t>
      </w:r>
      <w:r w:rsidR="00A42C39">
        <w:rPr>
          <w:rFonts w:ascii="Calibri" w:hAnsi="Calibri" w:cs="Calibri"/>
        </w:rPr>
        <w:fldChar w:fldCharType="end"/>
      </w:r>
      <w:r w:rsidR="00A42C39">
        <w:rPr>
          <w:rFonts w:ascii="Calibri" w:hAnsi="Calibri" w:cs="Calibri"/>
        </w:rPr>
        <w:t xml:space="preserve">. </w:t>
      </w:r>
      <w:r>
        <w:rPr>
          <w:rFonts w:ascii="Calibri" w:hAnsi="Calibri" w:cs="Calibri"/>
        </w:rPr>
        <w:t xml:space="preserve">The rapid detection of a spike in suspended Pb aerosols </w:t>
      </w:r>
      <w:r w:rsidR="00DE32F5">
        <w:rPr>
          <w:rFonts w:ascii="Calibri" w:hAnsi="Calibri" w:cs="Calibri"/>
        </w:rPr>
        <w:fldChar w:fldCharType="begin"/>
      </w:r>
      <w:r w:rsidR="00937AC5">
        <w:rPr>
          <w:rFonts w:ascii="Calibri" w:hAnsi="Calibri" w:cs="Calibri"/>
        </w:rPr>
        <w:instrText xml:space="preserve"> ADDIN ZOTERO_ITEM CSL_CITATION {"citationID":"YbJI0V33","properties":{"formattedCitation":"\\super 19\\nosupersub{}","plainCitation":"19","noteIndex":0},"citationItems":[{"id":3807,"uris":["http://zotero.org/users/15329994/items/CTYNA39H"],"itemData":{"id":3807,"type":"article-journal","abstract":"This report describes an increase in particulate matter lead levels in Los Angeles, California during the January 2025 fires.","container-title":"MMWR. Morbidity and Mortality Weekly Report","DOI":"10.15585/mmwr.mm7405a4","ISSN":"0149-21951545-861X","journalAbbreviation":"MMWR Morb Mortal Wkly Rep","language":"en-us","source":"www.cdc.gov","title":"Notes from the Field: Elevated Atmospheric Lead Levels During the Los Angeles Urban Fires — California, January 2025","title-short":"Notes from the Field","URL":"https://www.cdc.gov/mmwr/volumes/74/wr/mm7405a4.htm","volume":"74","author":[{"family":"Baliaka","given":"Haroula D."}],"accessed":{"date-parts":[["2026",3,25]]},"issued":{"date-parts":[["2025"]]}}}],"schema":"https://github.com/citation-style-language/schema/raw/master/csl-citation.json"} </w:instrText>
      </w:r>
      <w:r w:rsidR="00DE32F5">
        <w:rPr>
          <w:rFonts w:ascii="Calibri" w:hAnsi="Calibri" w:cs="Calibri"/>
        </w:rPr>
        <w:fldChar w:fldCharType="separate"/>
      </w:r>
      <w:r w:rsidR="00937AC5" w:rsidRPr="00937AC5">
        <w:rPr>
          <w:rFonts w:ascii="Calibri" w:hAnsi="Calibri" w:cs="Calibri"/>
          <w:kern w:val="0"/>
          <w:vertAlign w:val="superscript"/>
        </w:rPr>
        <w:t>19</w:t>
      </w:r>
      <w:r w:rsidR="00DE32F5">
        <w:rPr>
          <w:rFonts w:ascii="Calibri" w:hAnsi="Calibri" w:cs="Calibri"/>
        </w:rPr>
        <w:fldChar w:fldCharType="end"/>
      </w:r>
      <w:r w:rsidR="00DE32F5">
        <w:rPr>
          <w:rFonts w:ascii="Calibri" w:hAnsi="Calibri" w:cs="Calibri"/>
        </w:rPr>
        <w:t xml:space="preserve"> </w:t>
      </w:r>
      <w:r w:rsidR="007A3D8E">
        <w:rPr>
          <w:rFonts w:ascii="Calibri" w:hAnsi="Calibri" w:cs="Calibri"/>
        </w:rPr>
        <w:t>preceded</w:t>
      </w:r>
      <w:r w:rsidR="00DE32F5">
        <w:rPr>
          <w:rFonts w:ascii="Calibri" w:hAnsi="Calibri" w:cs="Calibri"/>
        </w:rPr>
        <w:t xml:space="preserve"> our parallel discovery of </w:t>
      </w:r>
      <w:r w:rsidR="00272D52">
        <w:rPr>
          <w:rFonts w:ascii="Calibri" w:hAnsi="Calibri" w:cs="Calibri"/>
        </w:rPr>
        <w:t>high</w:t>
      </w:r>
      <w:r w:rsidR="00DE32F5">
        <w:rPr>
          <w:rFonts w:ascii="Calibri" w:hAnsi="Calibri" w:cs="Calibri"/>
        </w:rPr>
        <w:t xml:space="preserve"> concentrations of Pb in ashes on outdoor urban surfaces, including two samples from within the burned perimeter that exceed the State of California’s Total Toxicity Threshold Limit of 1000 ppm.</w:t>
      </w:r>
      <w:r w:rsidR="00272D52">
        <w:rPr>
          <w:rFonts w:ascii="Calibri" w:hAnsi="Calibri" w:cs="Calibri"/>
        </w:rPr>
        <w:t xml:space="preserve"> </w:t>
      </w:r>
      <w:r w:rsidR="007A3D8E">
        <w:rPr>
          <w:rFonts w:ascii="Calibri" w:hAnsi="Calibri" w:cs="Calibri"/>
        </w:rPr>
        <w:t>Notably, ash samples down-wind from the urban fire perimeter</w:t>
      </w:r>
      <w:r w:rsidR="00806512">
        <w:rPr>
          <w:rFonts w:ascii="Calibri" w:hAnsi="Calibri" w:cs="Calibri"/>
        </w:rPr>
        <w:t xml:space="preserve"> also</w:t>
      </w:r>
      <w:r w:rsidR="007A3D8E">
        <w:rPr>
          <w:rFonts w:ascii="Calibri" w:hAnsi="Calibri" w:cs="Calibri"/>
        </w:rPr>
        <w:t xml:space="preserve"> exceeded</w:t>
      </w:r>
      <w:r w:rsidR="00806512">
        <w:rPr>
          <w:rFonts w:ascii="Calibri" w:hAnsi="Calibri" w:cs="Calibri"/>
        </w:rPr>
        <w:t xml:space="preserve"> Pb concentration thresholds for</w:t>
      </w:r>
      <w:r w:rsidR="007A3D8E">
        <w:rPr>
          <w:rFonts w:ascii="Calibri" w:hAnsi="Calibri" w:cs="Calibri"/>
        </w:rPr>
        <w:t xml:space="preserve"> </w:t>
      </w:r>
      <w:r w:rsidR="007A3D8E">
        <w:rPr>
          <w:rFonts w:ascii="Calibri" w:hAnsi="Calibri" w:cs="Calibri"/>
        </w:rPr>
        <w:lastRenderedPageBreak/>
        <w:t xml:space="preserve">Regional Screening Levels (RSLs) </w:t>
      </w:r>
      <w:r w:rsidR="00806512">
        <w:rPr>
          <w:rFonts w:ascii="Calibri" w:hAnsi="Calibri" w:cs="Calibri"/>
        </w:rPr>
        <w:t xml:space="preserve">usually applied to soils contaminated by industrial metal processing plants. The South-west prevailing wind direction during the fire suggests </w:t>
      </w:r>
      <w:r w:rsidR="00CB22A5">
        <w:rPr>
          <w:rFonts w:ascii="Calibri" w:hAnsi="Calibri" w:cs="Calibri"/>
        </w:rPr>
        <w:t>the</w:t>
      </w:r>
      <w:r w:rsidR="00806512">
        <w:rPr>
          <w:rFonts w:ascii="Calibri" w:hAnsi="Calibri" w:cs="Calibri"/>
        </w:rPr>
        <w:t xml:space="preserve"> aeolian transport of WUI ash contaminated with metals from a</w:t>
      </w:r>
      <w:r w:rsidR="007A3D8E">
        <w:rPr>
          <w:rFonts w:ascii="Calibri" w:hAnsi="Calibri" w:cs="Calibri"/>
        </w:rPr>
        <w:t xml:space="preserve"> dense pre-fire concentration of combustible </w:t>
      </w:r>
      <w:r w:rsidR="00806512">
        <w:rPr>
          <w:rFonts w:ascii="Calibri" w:hAnsi="Calibri" w:cs="Calibri"/>
        </w:rPr>
        <w:t xml:space="preserve">urban </w:t>
      </w:r>
      <w:r w:rsidR="007A3D8E">
        <w:rPr>
          <w:rFonts w:ascii="Calibri" w:hAnsi="Calibri" w:cs="Calibri"/>
        </w:rPr>
        <w:t xml:space="preserve">materials including </w:t>
      </w:r>
      <w:r w:rsidR="00806512">
        <w:rPr>
          <w:rFonts w:ascii="Calibri" w:hAnsi="Calibri" w:cs="Calibri"/>
        </w:rPr>
        <w:t xml:space="preserve">housing and </w:t>
      </w:r>
      <w:r w:rsidR="00B0176D">
        <w:rPr>
          <w:rFonts w:ascii="Calibri" w:hAnsi="Calibri" w:cs="Calibri"/>
        </w:rPr>
        <w:t>buisness</w:t>
      </w:r>
      <w:r w:rsidR="00806512">
        <w:rPr>
          <w:rFonts w:ascii="Calibri" w:hAnsi="Calibri" w:cs="Calibri"/>
        </w:rPr>
        <w:t xml:space="preserve"> structures, electronic wiring and infrastructure, and other metal</w:t>
      </w:r>
      <w:r w:rsidR="00B0176D">
        <w:rPr>
          <w:rFonts w:ascii="Calibri" w:hAnsi="Calibri" w:cs="Calibri"/>
        </w:rPr>
        <w:t>s</w:t>
      </w:r>
      <w:r w:rsidR="00806512">
        <w:rPr>
          <w:rFonts w:ascii="Calibri" w:hAnsi="Calibri" w:cs="Calibri"/>
        </w:rPr>
        <w:t>-rich manufactured goods and products like electric vehicles (EVs). T</w:t>
      </w:r>
      <w:r w:rsidR="00E77D25">
        <w:rPr>
          <w:rFonts w:ascii="Calibri" w:hAnsi="Calibri" w:cs="Calibri"/>
        </w:rPr>
        <w:t xml:space="preserve">he following conclusion </w:t>
      </w:r>
      <w:r w:rsidR="00806512">
        <w:rPr>
          <w:rFonts w:ascii="Calibri" w:hAnsi="Calibri" w:cs="Calibri"/>
        </w:rPr>
        <w:t>is dedicated to the application of X-Ray Fluorescence (XRF) spectroscopy for the purpose of rapid</w:t>
      </w:r>
      <w:r w:rsidR="007124A7">
        <w:rPr>
          <w:rFonts w:ascii="Calibri" w:hAnsi="Calibri" w:cs="Calibri"/>
        </w:rPr>
        <w:t xml:space="preserve"> </w:t>
      </w:r>
      <w:r w:rsidR="00CB22A5">
        <w:rPr>
          <w:rFonts w:ascii="Calibri" w:hAnsi="Calibri" w:cs="Calibri"/>
        </w:rPr>
        <w:t xml:space="preserve">WUI </w:t>
      </w:r>
      <w:r w:rsidR="007124A7">
        <w:rPr>
          <w:rFonts w:ascii="Calibri" w:hAnsi="Calibri" w:cs="Calibri"/>
        </w:rPr>
        <w:t>ash assessment in the field and delineation of toxic ash zones.</w:t>
      </w:r>
    </w:p>
    <w:p w14:paraId="30F790F5" w14:textId="7F1B5750" w:rsidR="003C4663" w:rsidRDefault="003C4663" w:rsidP="003F17D2">
      <w:pPr>
        <w:spacing w:line="240" w:lineRule="auto"/>
        <w:ind w:firstLine="720"/>
        <w:jc w:val="both"/>
        <w:rPr>
          <w:rFonts w:ascii="Calibri" w:hAnsi="Calibri" w:cs="Calibri"/>
        </w:rPr>
      </w:pPr>
      <w:r>
        <w:rPr>
          <w:rFonts w:ascii="Calibri" w:hAnsi="Calibri" w:cs="Calibri"/>
        </w:rPr>
        <w:t xml:space="preserve">XRF </w:t>
      </w:r>
      <w:r w:rsidR="00A92A78">
        <w:rPr>
          <w:rFonts w:ascii="Calibri" w:hAnsi="Calibri" w:cs="Calibri"/>
        </w:rPr>
        <w:t>spectroscopy</w:t>
      </w:r>
      <w:r w:rsidRPr="003C4663">
        <w:rPr>
          <w:rFonts w:ascii="Calibri" w:hAnsi="Calibri" w:cs="Calibri"/>
        </w:rPr>
        <w:t xml:space="preserve"> quantifies elemental composition by measuring characteristic X-ray emissions induced by primary X-ray excitation of a sample. The technique is widely used for environmental screening due to its non-destructive nature, rapid analysis time, and portability. Commercially available instruments range from handheld field-portable devices to benchtop laboratory systems, with varying excitation sources (tube vs. radioisotope), detector technologies (Si-PIN, SDD, proportional counter), and quantification algorithms. These differences influence detection limits, spectral resolution, and matrix correction capabilities</w:t>
      </w:r>
      <w:r>
        <w:rPr>
          <w:rFonts w:ascii="Calibri" w:hAnsi="Calibri" w:cs="Calibri"/>
        </w:rPr>
        <w:t>.</w:t>
      </w:r>
      <w:r w:rsidR="00574C02">
        <w:rPr>
          <w:rFonts w:ascii="Calibri" w:hAnsi="Calibri" w:cs="Calibri"/>
        </w:rPr>
        <w:t xml:space="preserve"> </w:t>
      </w:r>
      <w:r w:rsidRPr="003C4663">
        <w:rPr>
          <w:rFonts w:ascii="Calibri" w:hAnsi="Calibri" w:cs="Calibri"/>
        </w:rPr>
        <w:t>XRF analysis of heterogeneous environmental matrices such as wildfire ash is not straightforward. Physical matrix effects arise from variations in sample density, particle size, surface roughness, and moisture content, which influence X-ray penetration depth and fluorescence yield. Chemical matrix effects occur when major element composition affects X-ray absorption and secondary fluorescence,</w:t>
      </w:r>
      <w:r w:rsidR="00574C02">
        <w:rPr>
          <w:rFonts w:ascii="Calibri" w:hAnsi="Calibri" w:cs="Calibri"/>
        </w:rPr>
        <w:t xml:space="preserve"> </w:t>
      </w:r>
      <w:r w:rsidRPr="003C4663">
        <w:rPr>
          <w:rFonts w:ascii="Calibri" w:hAnsi="Calibri" w:cs="Calibri"/>
        </w:rPr>
        <w:t xml:space="preserve">requiring empirical or fundamental parameters corrections that may not be optimized for </w:t>
      </w:r>
      <w:r w:rsidR="00574C02">
        <w:rPr>
          <w:rFonts w:ascii="Calibri" w:hAnsi="Calibri" w:cs="Calibri"/>
        </w:rPr>
        <w:t xml:space="preserve">all sample types </w:t>
      </w:r>
      <w:r w:rsidR="00574C02">
        <w:rPr>
          <w:rFonts w:ascii="Calibri" w:hAnsi="Calibri" w:cs="Calibri"/>
        </w:rPr>
        <w:fldChar w:fldCharType="begin"/>
      </w:r>
      <w:r w:rsidR="00937AC5">
        <w:rPr>
          <w:rFonts w:ascii="Calibri" w:hAnsi="Calibri" w:cs="Calibri"/>
        </w:rPr>
        <w:instrText xml:space="preserve"> ADDIN ZOTERO_ITEM CSL_CITATION {"citationID":"C2SmFgEC","properties":{"formattedCitation":"\\super 23\\nosupersub{}","plainCitation":"23","noteIndex":0},"citationItems":[{"id":1753,"uris":["http://zotero.org/users/15329994/items/CUY9JF6M"],"itemData":{"id":1753,"type":"article-journal","abstract":"Portable XRF is a rapid, mobile, high throughput, and potentially cost effective instrumental analytical technique capable of elemental assessment. It is widely used for environmental assessment of soils in a variety of contexts such as agriculture and pollution both in-situ and ex-situ, to varying levels of success. Portable XRF performance for soil analysis is often validated against wet chemistry techniques but a range of factors may give rise to elementally dependent disparities affecting accuracy and precision assessments. These include heterogeneity, analysis times, instrument stability during analyses, protective thin films, incident X-rays, sample thickness, sample width, analyte interferences, detector resolution, power source fluctuations and instrumental drift. Light elements comprising water and organic matter (i.e. carbon, oxygen) also negatively affect measurements due to X-ray scattering and attenuation. The often-overlooked phenomenon of variability in both soil organic matter and water can also affect soil density (e.g. shrink-swell clays) and thus sample critical thickness which in turn affects the effective volume of sample analyzed. Compounding this, for elements having lower characteristic fluorescence energy, effective volumes of analyses are lower and thus measurements may not be representative of the whole sample. Understanding the effects and interplay between determined elemental concentrations and soil organic matter, water, and critical thickness together with the subtlety of theoretical effective volumes of analyses will help analysts mitigate potential problems and assess the applicability, advantages and limitations of PXRF for a given site. We demonstrate that with careful consideration of these factors and a systematic approach to analysis which we summarize and present, PXRF can provide highly accurate results.","container-title":"Environment International","DOI":"10.1016/j.envint.2019.105250","ISSN":"01604120","journalAbbreviation":"Environment International","language":"en","page":"105250","source":"DOI.org (Crossref)","title":"Portable X-ray fluorescence for environmental assessment of soils: Not just a point and shoot method","title-short":"Portable X-ray fluorescence for environmental assessment of soils","volume":"134","author":[{"family":"Ravansari","given":"Roozbeh"},{"family":"Wilson","given":"Susan C."},{"family":"Tighe","given":"Matthew"}],"issued":{"date-parts":[["2020",1]]}}}],"schema":"https://github.com/citation-style-language/schema/raw/master/csl-citation.json"} </w:instrText>
      </w:r>
      <w:r w:rsidR="00574C02">
        <w:rPr>
          <w:rFonts w:ascii="Calibri" w:hAnsi="Calibri" w:cs="Calibri"/>
        </w:rPr>
        <w:fldChar w:fldCharType="separate"/>
      </w:r>
      <w:r w:rsidR="00937AC5" w:rsidRPr="00937AC5">
        <w:rPr>
          <w:rFonts w:ascii="Calibri" w:hAnsi="Calibri" w:cs="Calibri"/>
          <w:kern w:val="0"/>
          <w:vertAlign w:val="superscript"/>
        </w:rPr>
        <w:t>23</w:t>
      </w:r>
      <w:r w:rsidR="00574C02">
        <w:rPr>
          <w:rFonts w:ascii="Calibri" w:hAnsi="Calibri" w:cs="Calibri"/>
        </w:rPr>
        <w:fldChar w:fldCharType="end"/>
      </w:r>
      <w:r w:rsidR="00574C02">
        <w:rPr>
          <w:rFonts w:ascii="Calibri" w:hAnsi="Calibri" w:cs="Calibri"/>
        </w:rPr>
        <w:t>.</w:t>
      </w:r>
      <w:r w:rsidRPr="003C4663">
        <w:rPr>
          <w:rFonts w:ascii="Calibri" w:hAnsi="Calibri" w:cs="Calibri"/>
        </w:rPr>
        <w:t xml:space="preserve"> </w:t>
      </w:r>
    </w:p>
    <w:p w14:paraId="68C21168" w14:textId="68293485" w:rsidR="003E20F0" w:rsidRDefault="003E20F0" w:rsidP="0013469A">
      <w:pPr>
        <w:spacing w:line="240" w:lineRule="auto"/>
        <w:ind w:firstLine="720"/>
        <w:jc w:val="both"/>
        <w:rPr>
          <w:rFonts w:ascii="Calibri" w:hAnsi="Calibri" w:cs="Calibri"/>
        </w:rPr>
      </w:pPr>
      <w:r w:rsidRPr="003E20F0">
        <w:rPr>
          <w:rFonts w:ascii="Calibri" w:hAnsi="Calibri" w:cs="Calibri"/>
        </w:rPr>
        <w:t>Empirical calibration using cumulative L-line intensities (Lα + Lβ) improved both quantitative accuracy and threshold classification performance. The L-line model achieved 100% sensitivity at the 1000 ppm threshold, 83% sensitivity at 400 ppm, and 86% sensitivity at 200 ppm, with 100% specificity at all three thresholds (i.e., no false positives). Classification performance declined at the 80 ppm threshold (64% sensitivity, 96% specificity), reflecting increased uncertainty at concentrations approaching the calibration intercept. These results indicate that field-portable XRF with site-specific calibration can reliably identify samples exceeding moderate-to-high regulatory thresholds (≥200 ppm) but may underestimate contamination at lower screening levels.</w:t>
      </w:r>
    </w:p>
    <w:p w14:paraId="7F1AF501" w14:textId="0343EA69" w:rsidR="003C4663" w:rsidRDefault="003C4663" w:rsidP="003F17D2">
      <w:pPr>
        <w:spacing w:line="240" w:lineRule="auto"/>
        <w:ind w:firstLine="720"/>
        <w:jc w:val="both"/>
        <w:rPr>
          <w:rFonts w:ascii="Calibri" w:hAnsi="Calibri" w:cs="Calibri"/>
        </w:rPr>
      </w:pPr>
      <w:r w:rsidRPr="003C4663">
        <w:rPr>
          <w:rFonts w:ascii="Calibri" w:hAnsi="Calibri" w:cs="Calibri"/>
        </w:rPr>
        <w:t xml:space="preserve">Based on these findings, we recommend the following practices for </w:t>
      </w:r>
      <w:r w:rsidR="00C479A2">
        <w:rPr>
          <w:rFonts w:ascii="Calibri" w:hAnsi="Calibri" w:cs="Calibri"/>
        </w:rPr>
        <w:t xml:space="preserve">similar </w:t>
      </w:r>
      <w:r w:rsidRPr="003C4663">
        <w:rPr>
          <w:rFonts w:ascii="Calibri" w:hAnsi="Calibri" w:cs="Calibri"/>
        </w:rPr>
        <w:t>analys</w:t>
      </w:r>
      <w:r w:rsidR="00C479A2">
        <w:rPr>
          <w:rFonts w:ascii="Calibri" w:hAnsi="Calibri" w:cs="Calibri"/>
        </w:rPr>
        <w:t>e</w:t>
      </w:r>
      <w:r w:rsidRPr="003C4663">
        <w:rPr>
          <w:rFonts w:ascii="Calibri" w:hAnsi="Calibri" w:cs="Calibri"/>
        </w:rPr>
        <w:t xml:space="preserve">s of </w:t>
      </w:r>
      <w:r w:rsidR="003E20F0">
        <w:rPr>
          <w:rFonts w:ascii="Calibri" w:hAnsi="Calibri" w:cs="Calibri"/>
        </w:rPr>
        <w:t>WUI</w:t>
      </w:r>
      <w:r w:rsidRPr="003C4663">
        <w:rPr>
          <w:rFonts w:ascii="Calibri" w:hAnsi="Calibri" w:cs="Calibri"/>
        </w:rPr>
        <w:t xml:space="preserve"> ash: (1) develop site-specific calibration models </w:t>
      </w:r>
      <w:r w:rsidR="00FD65F0">
        <w:rPr>
          <w:rFonts w:ascii="Calibri" w:hAnsi="Calibri" w:cs="Calibri"/>
        </w:rPr>
        <w:t>with</w:t>
      </w:r>
      <w:r w:rsidRPr="003C4663">
        <w:rPr>
          <w:rFonts w:ascii="Calibri" w:hAnsi="Calibri" w:cs="Calibri"/>
        </w:rPr>
        <w:t xml:space="preserve"> paired XRF</w:t>
      </w:r>
      <w:r w:rsidR="003E20F0">
        <w:rPr>
          <w:rFonts w:ascii="Calibri" w:hAnsi="Calibri" w:cs="Calibri"/>
        </w:rPr>
        <w:t xml:space="preserve"> and </w:t>
      </w:r>
      <w:r w:rsidRPr="003C4663">
        <w:rPr>
          <w:rFonts w:ascii="Calibri" w:hAnsi="Calibri" w:cs="Calibri"/>
        </w:rPr>
        <w:t>ICP-MS measurements spanning the expected concentration range; (2) report raw emission line intensities alongside</w:t>
      </w:r>
      <w:r w:rsidR="00C479A2">
        <w:rPr>
          <w:rFonts w:ascii="Calibri" w:hAnsi="Calibri" w:cs="Calibri"/>
        </w:rPr>
        <w:t xml:space="preserve"> any </w:t>
      </w:r>
      <w:r w:rsidRPr="003C4663">
        <w:rPr>
          <w:rFonts w:ascii="Calibri" w:hAnsi="Calibri" w:cs="Calibri"/>
        </w:rPr>
        <w:t xml:space="preserve"> </w:t>
      </w:r>
      <w:r w:rsidR="00FD65F0">
        <w:rPr>
          <w:rFonts w:ascii="Calibri" w:hAnsi="Calibri" w:cs="Calibri"/>
        </w:rPr>
        <w:t>instrument</w:t>
      </w:r>
      <w:r w:rsidRPr="003C4663">
        <w:rPr>
          <w:rFonts w:ascii="Calibri" w:hAnsi="Calibri" w:cs="Calibri"/>
        </w:rPr>
        <w:t xml:space="preserve">-derived concentrations to enable </w:t>
      </w:r>
      <w:r>
        <w:rPr>
          <w:rFonts w:ascii="Calibri" w:hAnsi="Calibri" w:cs="Calibri"/>
        </w:rPr>
        <w:t>cross-instrument</w:t>
      </w:r>
      <w:r w:rsidRPr="003C4663">
        <w:rPr>
          <w:rFonts w:ascii="Calibri" w:hAnsi="Calibri" w:cs="Calibri"/>
        </w:rPr>
        <w:t xml:space="preserve"> recalibration; (3</w:t>
      </w:r>
      <w:r w:rsidR="00C479A2">
        <w:rPr>
          <w:rFonts w:ascii="Calibri" w:hAnsi="Calibri" w:cs="Calibri"/>
        </w:rPr>
        <w:t xml:space="preserve">) consider </w:t>
      </w:r>
      <w:r w:rsidRPr="003C4663">
        <w:rPr>
          <w:rFonts w:ascii="Calibri" w:hAnsi="Calibri" w:cs="Calibri"/>
        </w:rPr>
        <w:t>screening thresholds (e.g., 200</w:t>
      </w:r>
      <w:r w:rsidR="00C479A2">
        <w:rPr>
          <w:rFonts w:ascii="Calibri" w:hAnsi="Calibri" w:cs="Calibri"/>
        </w:rPr>
        <w:t xml:space="preserve"> ppm</w:t>
      </w:r>
      <w:r w:rsidRPr="003C4663">
        <w:rPr>
          <w:rFonts w:ascii="Calibri" w:hAnsi="Calibri" w:cs="Calibri"/>
        </w:rPr>
        <w:t>)</w:t>
      </w:r>
      <w:r w:rsidR="00C479A2">
        <w:rPr>
          <w:rFonts w:ascii="Calibri" w:hAnsi="Calibri" w:cs="Calibri"/>
        </w:rPr>
        <w:t xml:space="preserve"> for field sampling with</w:t>
      </w:r>
      <w:r w:rsidR="003E20F0">
        <w:rPr>
          <w:rFonts w:ascii="Calibri" w:hAnsi="Calibri" w:cs="Calibri"/>
        </w:rPr>
        <w:t xml:space="preserve"> portable</w:t>
      </w:r>
      <w:r w:rsidR="00C479A2">
        <w:rPr>
          <w:rFonts w:ascii="Calibri" w:hAnsi="Calibri" w:cs="Calibri"/>
        </w:rPr>
        <w:t xml:space="preserve"> XRF</w:t>
      </w:r>
      <w:r w:rsidR="003E20F0">
        <w:rPr>
          <w:rFonts w:ascii="Calibri" w:hAnsi="Calibri" w:cs="Calibri"/>
        </w:rPr>
        <w:t xml:space="preserve"> in a post-fire WUI</w:t>
      </w:r>
      <w:r w:rsidRPr="003C4663">
        <w:rPr>
          <w:rFonts w:ascii="Calibri" w:hAnsi="Calibri" w:cs="Calibri"/>
        </w:rPr>
        <w:t>; and (4) confirm exceedances and borderline samples with laboratory ICP-MS analysis.</w:t>
      </w:r>
    </w:p>
    <w:p w14:paraId="202C5E0F" w14:textId="4F8EB254" w:rsidR="003E20F0" w:rsidRPr="00937AC5" w:rsidRDefault="00937AC5" w:rsidP="003F17D2">
      <w:pPr>
        <w:spacing w:line="240" w:lineRule="auto"/>
        <w:jc w:val="both"/>
        <w:rPr>
          <w:rFonts w:ascii="Calibri" w:hAnsi="Calibri" w:cs="Calibri"/>
          <w:b/>
          <w:bCs/>
        </w:rPr>
      </w:pPr>
      <w:r w:rsidRPr="00937AC5">
        <w:rPr>
          <w:rFonts w:ascii="Calibri" w:hAnsi="Calibri" w:cs="Calibri"/>
          <w:b/>
          <w:bCs/>
        </w:rPr>
        <w:t>References</w:t>
      </w:r>
    </w:p>
    <w:p w14:paraId="43268F7C" w14:textId="77777777" w:rsidR="00937AC5" w:rsidRPr="00937AC5" w:rsidRDefault="00937AC5" w:rsidP="003F17D2">
      <w:pPr>
        <w:pStyle w:val="Bibliography"/>
        <w:spacing w:line="240" w:lineRule="auto"/>
        <w:rPr>
          <w:rFonts w:ascii="Calibri" w:hAnsi="Calibri" w:cs="Calibri"/>
        </w:rPr>
      </w:pPr>
      <w:r>
        <w:rPr>
          <w:rFonts w:ascii="Calibri" w:hAnsi="Calibri" w:cs="Calibri"/>
        </w:rPr>
        <w:fldChar w:fldCharType="begin"/>
      </w:r>
      <w:r>
        <w:rPr>
          <w:rFonts w:ascii="Calibri" w:hAnsi="Calibri" w:cs="Calibri"/>
        </w:rPr>
        <w:instrText xml:space="preserve"> ADDIN ZOTERO_BIBL {"uncited":[],"omitted":[],"custom":[]} CSL_BIBLIOGRAPHY </w:instrText>
      </w:r>
      <w:r>
        <w:rPr>
          <w:rFonts w:ascii="Calibri" w:hAnsi="Calibri" w:cs="Calibri"/>
        </w:rPr>
        <w:fldChar w:fldCharType="separate"/>
      </w:r>
      <w:r w:rsidRPr="00937AC5">
        <w:rPr>
          <w:rFonts w:ascii="Calibri" w:hAnsi="Calibri" w:cs="Calibri"/>
        </w:rPr>
        <w:t>1.</w:t>
      </w:r>
      <w:r w:rsidRPr="00937AC5">
        <w:rPr>
          <w:rFonts w:ascii="Calibri" w:hAnsi="Calibri" w:cs="Calibri"/>
        </w:rPr>
        <w:tab/>
        <w:t xml:space="preserve">Radeloff, V. C. </w:t>
      </w:r>
      <w:r w:rsidRPr="00937AC5">
        <w:rPr>
          <w:rFonts w:ascii="Calibri" w:hAnsi="Calibri" w:cs="Calibri"/>
          <w:i/>
          <w:iCs/>
        </w:rPr>
        <w:t>et al.</w:t>
      </w:r>
      <w:r w:rsidRPr="00937AC5">
        <w:rPr>
          <w:rFonts w:ascii="Calibri" w:hAnsi="Calibri" w:cs="Calibri"/>
        </w:rPr>
        <w:t xml:space="preserve"> Rapid growth of the US wildland-urban interface raises wildfire risk. </w:t>
      </w:r>
      <w:r w:rsidRPr="00937AC5">
        <w:rPr>
          <w:rFonts w:ascii="Calibri" w:hAnsi="Calibri" w:cs="Calibri"/>
          <w:i/>
          <w:iCs/>
        </w:rPr>
        <w:t>Proc. Natl. Acad. Sci.</w:t>
      </w:r>
      <w:r w:rsidRPr="00937AC5">
        <w:rPr>
          <w:rFonts w:ascii="Calibri" w:hAnsi="Calibri" w:cs="Calibri"/>
        </w:rPr>
        <w:t xml:space="preserve"> </w:t>
      </w:r>
      <w:r w:rsidRPr="00937AC5">
        <w:rPr>
          <w:rFonts w:ascii="Calibri" w:hAnsi="Calibri" w:cs="Calibri"/>
          <w:b/>
          <w:bCs/>
        </w:rPr>
        <w:t>115</w:t>
      </w:r>
      <w:r w:rsidRPr="00937AC5">
        <w:rPr>
          <w:rFonts w:ascii="Calibri" w:hAnsi="Calibri" w:cs="Calibri"/>
        </w:rPr>
        <w:t>, 3314–3319 (2018).</w:t>
      </w:r>
    </w:p>
    <w:p w14:paraId="395B64BC"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2.</w:t>
      </w:r>
      <w:r w:rsidRPr="00937AC5">
        <w:rPr>
          <w:rFonts w:ascii="Calibri" w:hAnsi="Calibri" w:cs="Calibri"/>
        </w:rPr>
        <w:tab/>
        <w:t xml:space="preserve">Young, S., </w:t>
      </w:r>
      <w:proofErr w:type="spellStart"/>
      <w:r w:rsidRPr="00937AC5">
        <w:rPr>
          <w:rFonts w:ascii="Calibri" w:hAnsi="Calibri" w:cs="Calibri"/>
        </w:rPr>
        <w:t>Balluz</w:t>
      </w:r>
      <w:proofErr w:type="spellEnd"/>
      <w:r w:rsidRPr="00937AC5">
        <w:rPr>
          <w:rFonts w:ascii="Calibri" w:hAnsi="Calibri" w:cs="Calibri"/>
        </w:rPr>
        <w:t xml:space="preserve">, L. &amp; Malilay, J. Natural and technologic hazardous material releases during and after natural disasters: a review. </w:t>
      </w:r>
      <w:r w:rsidRPr="00937AC5">
        <w:rPr>
          <w:rFonts w:ascii="Calibri" w:hAnsi="Calibri" w:cs="Calibri"/>
          <w:i/>
          <w:iCs/>
        </w:rPr>
        <w:t>Sci. Total Environ.</w:t>
      </w:r>
      <w:r w:rsidRPr="00937AC5">
        <w:rPr>
          <w:rFonts w:ascii="Calibri" w:hAnsi="Calibri" w:cs="Calibri"/>
        </w:rPr>
        <w:t xml:space="preserve"> </w:t>
      </w:r>
      <w:r w:rsidRPr="00937AC5">
        <w:rPr>
          <w:rFonts w:ascii="Calibri" w:hAnsi="Calibri" w:cs="Calibri"/>
          <w:b/>
          <w:bCs/>
        </w:rPr>
        <w:t>322</w:t>
      </w:r>
      <w:r w:rsidRPr="00937AC5">
        <w:rPr>
          <w:rFonts w:ascii="Calibri" w:hAnsi="Calibri" w:cs="Calibri"/>
        </w:rPr>
        <w:t>, 3–20 (2004).</w:t>
      </w:r>
    </w:p>
    <w:p w14:paraId="02344E3A"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lastRenderedPageBreak/>
        <w:t>3.</w:t>
      </w:r>
      <w:r w:rsidRPr="00937AC5">
        <w:rPr>
          <w:rFonts w:ascii="Calibri" w:hAnsi="Calibri" w:cs="Calibri"/>
        </w:rPr>
        <w:tab/>
        <w:t xml:space="preserve">Jech, S. </w:t>
      </w:r>
      <w:r w:rsidRPr="00937AC5">
        <w:rPr>
          <w:rFonts w:ascii="Calibri" w:hAnsi="Calibri" w:cs="Calibri"/>
          <w:i/>
          <w:iCs/>
        </w:rPr>
        <w:t>et al.</w:t>
      </w:r>
      <w:r w:rsidRPr="00937AC5">
        <w:rPr>
          <w:rFonts w:ascii="Calibri" w:hAnsi="Calibri" w:cs="Calibri"/>
        </w:rPr>
        <w:t xml:space="preserve"> Determination of Soil Contamination at the Wildland-Urban Interface after the 2021 Marshall Fire in Colorado, USA. </w:t>
      </w:r>
      <w:r w:rsidRPr="00937AC5">
        <w:rPr>
          <w:rFonts w:ascii="Calibri" w:hAnsi="Calibri" w:cs="Calibri"/>
          <w:i/>
          <w:iCs/>
        </w:rPr>
        <w:t>Environ. Sci. Technol.</w:t>
      </w:r>
      <w:r w:rsidRPr="00937AC5">
        <w:rPr>
          <w:rFonts w:ascii="Calibri" w:hAnsi="Calibri" w:cs="Calibri"/>
        </w:rPr>
        <w:t xml:space="preserve"> </w:t>
      </w:r>
      <w:r w:rsidRPr="00937AC5">
        <w:rPr>
          <w:rFonts w:ascii="Calibri" w:hAnsi="Calibri" w:cs="Calibri"/>
          <w:b/>
          <w:bCs/>
        </w:rPr>
        <w:t>58</w:t>
      </w:r>
      <w:r w:rsidRPr="00937AC5">
        <w:rPr>
          <w:rFonts w:ascii="Calibri" w:hAnsi="Calibri" w:cs="Calibri"/>
        </w:rPr>
        <w:t>, 4326–4333 (2024).</w:t>
      </w:r>
    </w:p>
    <w:p w14:paraId="2BA9B6F3"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4.</w:t>
      </w:r>
      <w:r w:rsidRPr="00937AC5">
        <w:rPr>
          <w:rFonts w:ascii="Calibri" w:hAnsi="Calibri" w:cs="Calibri"/>
        </w:rPr>
        <w:tab/>
        <w:t xml:space="preserve">Villarruel, C. M., Figueroa, L. A. &amp; Ranville, J. F. Quantification of </w:t>
      </w:r>
      <w:proofErr w:type="spellStart"/>
      <w:r w:rsidRPr="00937AC5">
        <w:rPr>
          <w:rFonts w:ascii="Calibri" w:hAnsi="Calibri" w:cs="Calibri"/>
        </w:rPr>
        <w:t>Bioaccessible</w:t>
      </w:r>
      <w:proofErr w:type="spellEnd"/>
      <w:r w:rsidRPr="00937AC5">
        <w:rPr>
          <w:rFonts w:ascii="Calibri" w:hAnsi="Calibri" w:cs="Calibri"/>
        </w:rPr>
        <w:t xml:space="preserve"> and Environmentally Relevant Trace Metals in Structure Ash from a Wildland–Urban Interface Fire. </w:t>
      </w:r>
      <w:r w:rsidRPr="00937AC5">
        <w:rPr>
          <w:rFonts w:ascii="Calibri" w:hAnsi="Calibri" w:cs="Calibri"/>
          <w:i/>
          <w:iCs/>
        </w:rPr>
        <w:t>Environ. Sci. Technol.</w:t>
      </w:r>
      <w:r w:rsidRPr="00937AC5">
        <w:rPr>
          <w:rFonts w:ascii="Calibri" w:hAnsi="Calibri" w:cs="Calibri"/>
        </w:rPr>
        <w:t xml:space="preserve"> </w:t>
      </w:r>
      <w:r w:rsidRPr="00937AC5">
        <w:rPr>
          <w:rFonts w:ascii="Calibri" w:hAnsi="Calibri" w:cs="Calibri"/>
          <w:b/>
          <w:bCs/>
        </w:rPr>
        <w:t>58</w:t>
      </w:r>
      <w:r w:rsidRPr="00937AC5">
        <w:rPr>
          <w:rFonts w:ascii="Calibri" w:hAnsi="Calibri" w:cs="Calibri"/>
        </w:rPr>
        <w:t>, 2502–2513 (2024).</w:t>
      </w:r>
    </w:p>
    <w:p w14:paraId="28DC64BE"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5.</w:t>
      </w:r>
      <w:r w:rsidRPr="00937AC5">
        <w:rPr>
          <w:rFonts w:ascii="Calibri" w:hAnsi="Calibri" w:cs="Calibri"/>
        </w:rPr>
        <w:tab/>
        <w:t xml:space="preserve">Pereira, P. &amp; Úbeda, X. Spatial distribution of heavy metals released from ashes after a wildfire. </w:t>
      </w:r>
      <w:r w:rsidRPr="00937AC5">
        <w:rPr>
          <w:rFonts w:ascii="Calibri" w:hAnsi="Calibri" w:cs="Calibri"/>
          <w:i/>
          <w:iCs/>
        </w:rPr>
        <w:t xml:space="preserve">J. Environ. Eng. </w:t>
      </w:r>
      <w:proofErr w:type="spellStart"/>
      <w:r w:rsidRPr="00937AC5">
        <w:rPr>
          <w:rFonts w:ascii="Calibri" w:hAnsi="Calibri" w:cs="Calibri"/>
          <w:i/>
          <w:iCs/>
        </w:rPr>
        <w:t>Landsc</w:t>
      </w:r>
      <w:proofErr w:type="spellEnd"/>
      <w:r w:rsidRPr="00937AC5">
        <w:rPr>
          <w:rFonts w:ascii="Calibri" w:hAnsi="Calibri" w:cs="Calibri"/>
          <w:i/>
          <w:iCs/>
        </w:rPr>
        <w:t>. Manag.</w:t>
      </w:r>
      <w:r w:rsidRPr="00937AC5">
        <w:rPr>
          <w:rFonts w:ascii="Calibri" w:hAnsi="Calibri" w:cs="Calibri"/>
        </w:rPr>
        <w:t xml:space="preserve"> </w:t>
      </w:r>
      <w:r w:rsidRPr="00937AC5">
        <w:rPr>
          <w:rFonts w:ascii="Calibri" w:hAnsi="Calibri" w:cs="Calibri"/>
          <w:b/>
          <w:bCs/>
        </w:rPr>
        <w:t>18</w:t>
      </w:r>
      <w:r w:rsidRPr="00937AC5">
        <w:rPr>
          <w:rFonts w:ascii="Calibri" w:hAnsi="Calibri" w:cs="Calibri"/>
        </w:rPr>
        <w:t>, 13–22 (2010).</w:t>
      </w:r>
    </w:p>
    <w:p w14:paraId="2A119D0C"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6.</w:t>
      </w:r>
      <w:r w:rsidRPr="00937AC5">
        <w:rPr>
          <w:rFonts w:ascii="Calibri" w:hAnsi="Calibri" w:cs="Calibri"/>
        </w:rPr>
        <w:tab/>
        <w:t xml:space="preserve">Fernandez-Marcos, M. L. Potentially Toxic Substances and Associated Risks in Soils Affected by Wildfires: A Review. </w:t>
      </w:r>
      <w:r w:rsidRPr="00937AC5">
        <w:rPr>
          <w:rFonts w:ascii="Calibri" w:hAnsi="Calibri" w:cs="Calibri"/>
          <w:i/>
          <w:iCs/>
        </w:rPr>
        <w:t>Toxics</w:t>
      </w:r>
      <w:r w:rsidRPr="00937AC5">
        <w:rPr>
          <w:rFonts w:ascii="Calibri" w:hAnsi="Calibri" w:cs="Calibri"/>
        </w:rPr>
        <w:t xml:space="preserve"> </w:t>
      </w:r>
      <w:r w:rsidRPr="00937AC5">
        <w:rPr>
          <w:rFonts w:ascii="Calibri" w:hAnsi="Calibri" w:cs="Calibri"/>
          <w:b/>
          <w:bCs/>
        </w:rPr>
        <w:t>10</w:t>
      </w:r>
      <w:r w:rsidRPr="00937AC5">
        <w:rPr>
          <w:rFonts w:ascii="Calibri" w:hAnsi="Calibri" w:cs="Calibri"/>
        </w:rPr>
        <w:t>, 31 (2022).</w:t>
      </w:r>
    </w:p>
    <w:p w14:paraId="00C2AEE7"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7.</w:t>
      </w:r>
      <w:r w:rsidRPr="00937AC5">
        <w:rPr>
          <w:rFonts w:ascii="Calibri" w:hAnsi="Calibri" w:cs="Calibri"/>
        </w:rPr>
        <w:tab/>
        <w:t xml:space="preserve">Terzano, R. </w:t>
      </w:r>
      <w:r w:rsidRPr="00937AC5">
        <w:rPr>
          <w:rFonts w:ascii="Calibri" w:hAnsi="Calibri" w:cs="Calibri"/>
          <w:i/>
          <w:iCs/>
        </w:rPr>
        <w:t>et al.</w:t>
      </w:r>
      <w:r w:rsidRPr="00937AC5">
        <w:rPr>
          <w:rFonts w:ascii="Calibri" w:hAnsi="Calibri" w:cs="Calibri"/>
        </w:rPr>
        <w:t xml:space="preserve"> Fire effects on the distribution and bioavailability of potentially toxic elements (PTEs) in agricultural soils. </w:t>
      </w:r>
      <w:r w:rsidRPr="00937AC5">
        <w:rPr>
          <w:rFonts w:ascii="Calibri" w:hAnsi="Calibri" w:cs="Calibri"/>
          <w:i/>
          <w:iCs/>
        </w:rPr>
        <w:t>Chemosphere</w:t>
      </w:r>
      <w:r w:rsidRPr="00937AC5">
        <w:rPr>
          <w:rFonts w:ascii="Calibri" w:hAnsi="Calibri" w:cs="Calibri"/>
        </w:rPr>
        <w:t xml:space="preserve"> </w:t>
      </w:r>
      <w:r w:rsidRPr="00937AC5">
        <w:rPr>
          <w:rFonts w:ascii="Calibri" w:hAnsi="Calibri" w:cs="Calibri"/>
          <w:b/>
          <w:bCs/>
        </w:rPr>
        <w:t>281</w:t>
      </w:r>
      <w:r w:rsidRPr="00937AC5">
        <w:rPr>
          <w:rFonts w:ascii="Calibri" w:hAnsi="Calibri" w:cs="Calibri"/>
        </w:rPr>
        <w:t>, 130752 (2021).</w:t>
      </w:r>
    </w:p>
    <w:p w14:paraId="47BC89B7"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8.</w:t>
      </w:r>
      <w:r w:rsidRPr="00937AC5">
        <w:rPr>
          <w:rFonts w:ascii="Calibri" w:hAnsi="Calibri" w:cs="Calibri"/>
        </w:rPr>
        <w:tab/>
        <w:t xml:space="preserve">Abraham, J., Dowling, K. &amp; Florentine, S. The Unquantified Risk of Post-Fire Metal Concentration in Soil: a Review. </w:t>
      </w:r>
      <w:r w:rsidRPr="00937AC5">
        <w:rPr>
          <w:rFonts w:ascii="Calibri" w:hAnsi="Calibri" w:cs="Calibri"/>
          <w:i/>
          <w:iCs/>
        </w:rPr>
        <w:t xml:space="preserve">Water. Air. Soil </w:t>
      </w:r>
      <w:proofErr w:type="spellStart"/>
      <w:r w:rsidRPr="00937AC5">
        <w:rPr>
          <w:rFonts w:ascii="Calibri" w:hAnsi="Calibri" w:cs="Calibri"/>
          <w:i/>
          <w:iCs/>
        </w:rPr>
        <w:t>Pollut</w:t>
      </w:r>
      <w:proofErr w:type="spellEnd"/>
      <w:r w:rsidRPr="00937AC5">
        <w:rPr>
          <w:rFonts w:ascii="Calibri" w:hAnsi="Calibri" w:cs="Calibri"/>
          <w:i/>
          <w:iCs/>
        </w:rPr>
        <w:t>.</w:t>
      </w:r>
      <w:r w:rsidRPr="00937AC5">
        <w:rPr>
          <w:rFonts w:ascii="Calibri" w:hAnsi="Calibri" w:cs="Calibri"/>
        </w:rPr>
        <w:t xml:space="preserve"> </w:t>
      </w:r>
      <w:r w:rsidRPr="00937AC5">
        <w:rPr>
          <w:rFonts w:ascii="Calibri" w:hAnsi="Calibri" w:cs="Calibri"/>
          <w:b/>
          <w:bCs/>
        </w:rPr>
        <w:t>228</w:t>
      </w:r>
      <w:r w:rsidRPr="00937AC5">
        <w:rPr>
          <w:rFonts w:ascii="Calibri" w:hAnsi="Calibri" w:cs="Calibri"/>
        </w:rPr>
        <w:t>, 175 (2017).</w:t>
      </w:r>
    </w:p>
    <w:p w14:paraId="26FC1B5B"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9.</w:t>
      </w:r>
      <w:r w:rsidRPr="00937AC5">
        <w:rPr>
          <w:rFonts w:ascii="Calibri" w:hAnsi="Calibri" w:cs="Calibri"/>
        </w:rPr>
        <w:tab/>
        <w:t xml:space="preserve">Alshehri, T. </w:t>
      </w:r>
      <w:r w:rsidRPr="00937AC5">
        <w:rPr>
          <w:rFonts w:ascii="Calibri" w:hAnsi="Calibri" w:cs="Calibri"/>
          <w:i/>
          <w:iCs/>
        </w:rPr>
        <w:t>et al.</w:t>
      </w:r>
      <w:r w:rsidRPr="00937AC5">
        <w:rPr>
          <w:rFonts w:ascii="Calibri" w:hAnsi="Calibri" w:cs="Calibri"/>
        </w:rPr>
        <w:t xml:space="preserve"> Wildland-urban interface fire ashes as a major source of incidental nanomaterials. </w:t>
      </w:r>
      <w:r w:rsidRPr="00937AC5">
        <w:rPr>
          <w:rFonts w:ascii="Calibri" w:hAnsi="Calibri" w:cs="Calibri"/>
          <w:i/>
          <w:iCs/>
        </w:rPr>
        <w:t>J. Hazard. Mater.</w:t>
      </w:r>
      <w:r w:rsidRPr="00937AC5">
        <w:rPr>
          <w:rFonts w:ascii="Calibri" w:hAnsi="Calibri" w:cs="Calibri"/>
        </w:rPr>
        <w:t xml:space="preserve"> </w:t>
      </w:r>
      <w:r w:rsidRPr="00937AC5">
        <w:rPr>
          <w:rFonts w:ascii="Calibri" w:hAnsi="Calibri" w:cs="Calibri"/>
          <w:b/>
          <w:bCs/>
        </w:rPr>
        <w:t>443</w:t>
      </w:r>
      <w:r w:rsidRPr="00937AC5">
        <w:rPr>
          <w:rFonts w:ascii="Calibri" w:hAnsi="Calibri" w:cs="Calibri"/>
        </w:rPr>
        <w:t>, 130311 (2023).</w:t>
      </w:r>
    </w:p>
    <w:p w14:paraId="30B24A40"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10.</w:t>
      </w:r>
      <w:r w:rsidRPr="00937AC5">
        <w:rPr>
          <w:rFonts w:ascii="Calibri" w:hAnsi="Calibri" w:cs="Calibri"/>
        </w:rPr>
        <w:tab/>
        <w:t xml:space="preserve">Alexakis, D. E. Suburban areas in flames: Dispersion of potentially toxic elements from burned vegetation and buildings. Estimation of the associated ecological and human health risk. </w:t>
      </w:r>
      <w:r w:rsidRPr="00937AC5">
        <w:rPr>
          <w:rFonts w:ascii="Calibri" w:hAnsi="Calibri" w:cs="Calibri"/>
          <w:i/>
          <w:iCs/>
        </w:rPr>
        <w:t>Environ. Res.</w:t>
      </w:r>
      <w:r w:rsidRPr="00937AC5">
        <w:rPr>
          <w:rFonts w:ascii="Calibri" w:hAnsi="Calibri" w:cs="Calibri"/>
        </w:rPr>
        <w:t xml:space="preserve"> </w:t>
      </w:r>
      <w:r w:rsidRPr="00937AC5">
        <w:rPr>
          <w:rFonts w:ascii="Calibri" w:hAnsi="Calibri" w:cs="Calibri"/>
          <w:b/>
          <w:bCs/>
        </w:rPr>
        <w:t>183</w:t>
      </w:r>
      <w:r w:rsidRPr="00937AC5">
        <w:rPr>
          <w:rFonts w:ascii="Calibri" w:hAnsi="Calibri" w:cs="Calibri"/>
        </w:rPr>
        <w:t>, 109153 (2020).</w:t>
      </w:r>
    </w:p>
    <w:p w14:paraId="42D74B12"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11.</w:t>
      </w:r>
      <w:r w:rsidRPr="00937AC5">
        <w:rPr>
          <w:rFonts w:ascii="Calibri" w:hAnsi="Calibri" w:cs="Calibri"/>
        </w:rPr>
        <w:tab/>
        <w:t xml:space="preserve">Committee on the Chemistry of Urban Wildfires, Board on Chemical Sciences and Technology, Division on Earth and Life Studies, &amp; National Academies of Sciences, Engineering, and Medicine. </w:t>
      </w:r>
      <w:r w:rsidRPr="00937AC5">
        <w:rPr>
          <w:rFonts w:ascii="Calibri" w:hAnsi="Calibri" w:cs="Calibri"/>
          <w:i/>
          <w:iCs/>
        </w:rPr>
        <w:t>The Chemistry of Fires at the Wildland-Urban Interface</w:t>
      </w:r>
      <w:r w:rsidRPr="00937AC5">
        <w:rPr>
          <w:rFonts w:ascii="Calibri" w:hAnsi="Calibri" w:cs="Calibri"/>
        </w:rPr>
        <w:t>. 26460 (National Academies Press, Washington, D.C., 2022). doi:10.17226/26460.</w:t>
      </w:r>
    </w:p>
    <w:p w14:paraId="5867D8DD"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12.</w:t>
      </w:r>
      <w:r w:rsidRPr="00937AC5">
        <w:rPr>
          <w:rFonts w:ascii="Calibri" w:hAnsi="Calibri" w:cs="Calibri"/>
        </w:rPr>
        <w:tab/>
        <w:t xml:space="preserve">Senior, C. L., Bool, L. E., </w:t>
      </w:r>
      <w:proofErr w:type="spellStart"/>
      <w:r w:rsidRPr="00937AC5">
        <w:rPr>
          <w:rFonts w:ascii="Calibri" w:hAnsi="Calibri" w:cs="Calibri"/>
        </w:rPr>
        <w:t>Srinivasachar</w:t>
      </w:r>
      <w:proofErr w:type="spellEnd"/>
      <w:r w:rsidRPr="00937AC5">
        <w:rPr>
          <w:rFonts w:ascii="Calibri" w:hAnsi="Calibri" w:cs="Calibri"/>
        </w:rPr>
        <w:t xml:space="preserve">, S., Pease, B. R. &amp; </w:t>
      </w:r>
      <w:proofErr w:type="spellStart"/>
      <w:r w:rsidRPr="00937AC5">
        <w:rPr>
          <w:rFonts w:ascii="Calibri" w:hAnsi="Calibri" w:cs="Calibri"/>
        </w:rPr>
        <w:t>Porle</w:t>
      </w:r>
      <w:proofErr w:type="spellEnd"/>
      <w:r w:rsidRPr="00937AC5">
        <w:rPr>
          <w:rFonts w:ascii="Calibri" w:hAnsi="Calibri" w:cs="Calibri"/>
        </w:rPr>
        <w:t xml:space="preserve">, K. Pilot scale study of trace element vaporization and condensation during combustion of a pulverized sub-bituminous coal. </w:t>
      </w:r>
      <w:r w:rsidRPr="00937AC5">
        <w:rPr>
          <w:rFonts w:ascii="Calibri" w:hAnsi="Calibri" w:cs="Calibri"/>
          <w:i/>
          <w:iCs/>
        </w:rPr>
        <w:t>Fuel Process. Technol.</w:t>
      </w:r>
      <w:r w:rsidRPr="00937AC5">
        <w:rPr>
          <w:rFonts w:ascii="Calibri" w:hAnsi="Calibri" w:cs="Calibri"/>
        </w:rPr>
        <w:t xml:space="preserve"> </w:t>
      </w:r>
      <w:r w:rsidRPr="00937AC5">
        <w:rPr>
          <w:rFonts w:ascii="Calibri" w:hAnsi="Calibri" w:cs="Calibri"/>
          <w:b/>
          <w:bCs/>
        </w:rPr>
        <w:t>63</w:t>
      </w:r>
      <w:r w:rsidRPr="00937AC5">
        <w:rPr>
          <w:rFonts w:ascii="Calibri" w:hAnsi="Calibri" w:cs="Calibri"/>
        </w:rPr>
        <w:t>, 149–165 (2000).</w:t>
      </w:r>
    </w:p>
    <w:p w14:paraId="22F782A2"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13.</w:t>
      </w:r>
      <w:r w:rsidRPr="00937AC5">
        <w:rPr>
          <w:rFonts w:ascii="Calibri" w:hAnsi="Calibri" w:cs="Calibri"/>
        </w:rPr>
        <w:tab/>
        <w:t xml:space="preserve">Sánchez-García, C. </w:t>
      </w:r>
      <w:r w:rsidRPr="00937AC5">
        <w:rPr>
          <w:rFonts w:ascii="Calibri" w:hAnsi="Calibri" w:cs="Calibri"/>
          <w:i/>
          <w:iCs/>
        </w:rPr>
        <w:t>et al.</w:t>
      </w:r>
      <w:r w:rsidRPr="00937AC5">
        <w:rPr>
          <w:rFonts w:ascii="Calibri" w:hAnsi="Calibri" w:cs="Calibri"/>
        </w:rPr>
        <w:t xml:space="preserve"> Chemical characteristics of wildfire ash across the globe and their environmental and socio-economic implications. </w:t>
      </w:r>
      <w:r w:rsidRPr="00937AC5">
        <w:rPr>
          <w:rFonts w:ascii="Calibri" w:hAnsi="Calibri" w:cs="Calibri"/>
          <w:i/>
          <w:iCs/>
        </w:rPr>
        <w:t>Environ. Int.</w:t>
      </w:r>
      <w:r w:rsidRPr="00937AC5">
        <w:rPr>
          <w:rFonts w:ascii="Calibri" w:hAnsi="Calibri" w:cs="Calibri"/>
        </w:rPr>
        <w:t xml:space="preserve"> </w:t>
      </w:r>
      <w:r w:rsidRPr="00937AC5">
        <w:rPr>
          <w:rFonts w:ascii="Calibri" w:hAnsi="Calibri" w:cs="Calibri"/>
          <w:b/>
          <w:bCs/>
        </w:rPr>
        <w:t>178</w:t>
      </w:r>
      <w:r w:rsidRPr="00937AC5">
        <w:rPr>
          <w:rFonts w:ascii="Calibri" w:hAnsi="Calibri" w:cs="Calibri"/>
        </w:rPr>
        <w:t>, 108065 (2023).</w:t>
      </w:r>
    </w:p>
    <w:p w14:paraId="0C5B4D5B"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14.</w:t>
      </w:r>
      <w:r w:rsidRPr="00937AC5">
        <w:rPr>
          <w:rFonts w:ascii="Calibri" w:hAnsi="Calibri" w:cs="Calibri"/>
        </w:rPr>
        <w:tab/>
      </w:r>
      <w:proofErr w:type="spellStart"/>
      <w:r w:rsidRPr="00937AC5">
        <w:rPr>
          <w:rFonts w:ascii="Calibri" w:hAnsi="Calibri" w:cs="Calibri"/>
        </w:rPr>
        <w:t>Etiégni</w:t>
      </w:r>
      <w:proofErr w:type="spellEnd"/>
      <w:r w:rsidRPr="00937AC5">
        <w:rPr>
          <w:rFonts w:ascii="Calibri" w:hAnsi="Calibri" w:cs="Calibri"/>
        </w:rPr>
        <w:t xml:space="preserve">, L. &amp; Campbell, A. G. Physical and chemical characteristics of wood ash. </w:t>
      </w:r>
      <w:proofErr w:type="spellStart"/>
      <w:r w:rsidRPr="00937AC5">
        <w:rPr>
          <w:rFonts w:ascii="Calibri" w:hAnsi="Calibri" w:cs="Calibri"/>
          <w:i/>
          <w:iCs/>
        </w:rPr>
        <w:t>Bioresour</w:t>
      </w:r>
      <w:proofErr w:type="spellEnd"/>
      <w:r w:rsidRPr="00937AC5">
        <w:rPr>
          <w:rFonts w:ascii="Calibri" w:hAnsi="Calibri" w:cs="Calibri"/>
          <w:i/>
          <w:iCs/>
        </w:rPr>
        <w:t>. Technol.</w:t>
      </w:r>
      <w:r w:rsidRPr="00937AC5">
        <w:rPr>
          <w:rFonts w:ascii="Calibri" w:hAnsi="Calibri" w:cs="Calibri"/>
        </w:rPr>
        <w:t xml:space="preserve"> </w:t>
      </w:r>
      <w:r w:rsidRPr="00937AC5">
        <w:rPr>
          <w:rFonts w:ascii="Calibri" w:hAnsi="Calibri" w:cs="Calibri"/>
          <w:b/>
          <w:bCs/>
        </w:rPr>
        <w:t>37</w:t>
      </w:r>
      <w:r w:rsidRPr="00937AC5">
        <w:rPr>
          <w:rFonts w:ascii="Calibri" w:hAnsi="Calibri" w:cs="Calibri"/>
        </w:rPr>
        <w:t>, 173–178 (1991).</w:t>
      </w:r>
    </w:p>
    <w:p w14:paraId="25B360FF"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15.</w:t>
      </w:r>
      <w:r w:rsidRPr="00937AC5">
        <w:rPr>
          <w:rFonts w:ascii="Calibri" w:hAnsi="Calibri" w:cs="Calibri"/>
        </w:rPr>
        <w:tab/>
        <w:t xml:space="preserve">Campos, I., Abrantes, N., Keizer, J. J., Vale, C. &amp; Pereira, P. Major and trace elements in soils and ashes of eucalypt and pine forest plantations in Portugal following a wildfire. </w:t>
      </w:r>
      <w:r w:rsidRPr="00937AC5">
        <w:rPr>
          <w:rFonts w:ascii="Calibri" w:hAnsi="Calibri" w:cs="Calibri"/>
          <w:i/>
          <w:iCs/>
        </w:rPr>
        <w:t>Sci. Total Environ.</w:t>
      </w:r>
      <w:r w:rsidRPr="00937AC5">
        <w:rPr>
          <w:rFonts w:ascii="Calibri" w:hAnsi="Calibri" w:cs="Calibri"/>
        </w:rPr>
        <w:t xml:space="preserve"> </w:t>
      </w:r>
      <w:r w:rsidRPr="00937AC5">
        <w:rPr>
          <w:rFonts w:ascii="Calibri" w:hAnsi="Calibri" w:cs="Calibri"/>
          <w:b/>
          <w:bCs/>
        </w:rPr>
        <w:t>572</w:t>
      </w:r>
      <w:r w:rsidRPr="00937AC5">
        <w:rPr>
          <w:rFonts w:ascii="Calibri" w:hAnsi="Calibri" w:cs="Calibri"/>
        </w:rPr>
        <w:t>, 1363–1376 (2016).</w:t>
      </w:r>
    </w:p>
    <w:p w14:paraId="6D9CCE4E"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16.</w:t>
      </w:r>
      <w:r w:rsidRPr="00937AC5">
        <w:rPr>
          <w:rFonts w:ascii="Calibri" w:hAnsi="Calibri" w:cs="Calibri"/>
        </w:rPr>
        <w:tab/>
        <w:t xml:space="preserve">Schissel, C. </w:t>
      </w:r>
      <w:r w:rsidRPr="00937AC5">
        <w:rPr>
          <w:rFonts w:ascii="Calibri" w:hAnsi="Calibri" w:cs="Calibri"/>
          <w:i/>
          <w:iCs/>
        </w:rPr>
        <w:t>et al.</w:t>
      </w:r>
      <w:r w:rsidRPr="00937AC5">
        <w:rPr>
          <w:rFonts w:ascii="Calibri" w:hAnsi="Calibri" w:cs="Calibri"/>
        </w:rPr>
        <w:t xml:space="preserve"> Fine Spatial and Temporal Scale Fuel and Emissions Inventories for the Eaton and Palisades Wildland Urban Interface (WUI) Fires. </w:t>
      </w:r>
      <w:r w:rsidRPr="00937AC5">
        <w:rPr>
          <w:rFonts w:ascii="Calibri" w:hAnsi="Calibri" w:cs="Calibri"/>
          <w:i/>
          <w:iCs/>
        </w:rPr>
        <w:t>ACS EST Air</w:t>
      </w:r>
      <w:r w:rsidRPr="00937AC5">
        <w:rPr>
          <w:rFonts w:ascii="Calibri" w:hAnsi="Calibri" w:cs="Calibri"/>
        </w:rPr>
        <w:t xml:space="preserve"> https://doi.org/10.1021/acsestair.5c00287 (2025) doi:10.1021/acsestair.5c00287.</w:t>
      </w:r>
    </w:p>
    <w:p w14:paraId="33A384F7"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17.</w:t>
      </w:r>
      <w:r w:rsidRPr="00937AC5">
        <w:rPr>
          <w:rFonts w:ascii="Calibri" w:hAnsi="Calibri" w:cs="Calibri"/>
        </w:rPr>
        <w:tab/>
        <w:t xml:space="preserve">CAL FIRE. </w:t>
      </w:r>
      <w:r w:rsidRPr="00937AC5">
        <w:rPr>
          <w:rFonts w:ascii="Calibri" w:hAnsi="Calibri" w:cs="Calibri"/>
          <w:i/>
          <w:iCs/>
        </w:rPr>
        <w:t>Eaton Fire Incident Report</w:t>
      </w:r>
      <w:r w:rsidRPr="00937AC5">
        <w:rPr>
          <w:rFonts w:ascii="Calibri" w:hAnsi="Calibri" w:cs="Calibri"/>
        </w:rPr>
        <w:t>. (2025).</w:t>
      </w:r>
    </w:p>
    <w:p w14:paraId="2330D086"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18.</w:t>
      </w:r>
      <w:r w:rsidRPr="00937AC5">
        <w:rPr>
          <w:rFonts w:ascii="Calibri" w:hAnsi="Calibri" w:cs="Calibri"/>
        </w:rPr>
        <w:tab/>
        <w:t xml:space="preserve">National Weather Service. </w:t>
      </w:r>
      <w:r w:rsidRPr="00937AC5">
        <w:rPr>
          <w:rFonts w:ascii="Calibri" w:hAnsi="Calibri" w:cs="Calibri"/>
          <w:i/>
          <w:iCs/>
        </w:rPr>
        <w:t>Wind Event Advisory</w:t>
      </w:r>
      <w:r w:rsidRPr="00937AC5">
        <w:rPr>
          <w:rFonts w:ascii="Calibri" w:hAnsi="Calibri" w:cs="Calibri"/>
        </w:rPr>
        <w:t>. (2025).</w:t>
      </w:r>
    </w:p>
    <w:p w14:paraId="22BC6186"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19.</w:t>
      </w:r>
      <w:r w:rsidRPr="00937AC5">
        <w:rPr>
          <w:rFonts w:ascii="Calibri" w:hAnsi="Calibri" w:cs="Calibri"/>
        </w:rPr>
        <w:tab/>
      </w:r>
      <w:proofErr w:type="spellStart"/>
      <w:r w:rsidRPr="00937AC5">
        <w:rPr>
          <w:rFonts w:ascii="Calibri" w:hAnsi="Calibri" w:cs="Calibri"/>
        </w:rPr>
        <w:t>Baliaka</w:t>
      </w:r>
      <w:proofErr w:type="spellEnd"/>
      <w:r w:rsidRPr="00937AC5">
        <w:rPr>
          <w:rFonts w:ascii="Calibri" w:hAnsi="Calibri" w:cs="Calibri"/>
        </w:rPr>
        <w:t xml:space="preserve">, H. D. Notes from the Field: Elevated Atmospheric Lead Levels During the Los Angeles Urban Fires — California, January 2025. </w:t>
      </w:r>
      <w:r w:rsidRPr="00937AC5">
        <w:rPr>
          <w:rFonts w:ascii="Calibri" w:hAnsi="Calibri" w:cs="Calibri"/>
          <w:i/>
          <w:iCs/>
        </w:rPr>
        <w:t xml:space="preserve">MMWR </w:t>
      </w:r>
      <w:proofErr w:type="spellStart"/>
      <w:r w:rsidRPr="00937AC5">
        <w:rPr>
          <w:rFonts w:ascii="Calibri" w:hAnsi="Calibri" w:cs="Calibri"/>
          <w:i/>
          <w:iCs/>
        </w:rPr>
        <w:t>Morb</w:t>
      </w:r>
      <w:proofErr w:type="spellEnd"/>
      <w:r w:rsidRPr="00937AC5">
        <w:rPr>
          <w:rFonts w:ascii="Calibri" w:hAnsi="Calibri" w:cs="Calibri"/>
          <w:i/>
          <w:iCs/>
        </w:rPr>
        <w:t>. Mortal. Wkly. Rep.</w:t>
      </w:r>
      <w:r w:rsidRPr="00937AC5">
        <w:rPr>
          <w:rFonts w:ascii="Calibri" w:hAnsi="Calibri" w:cs="Calibri"/>
        </w:rPr>
        <w:t xml:space="preserve"> </w:t>
      </w:r>
      <w:r w:rsidRPr="00937AC5">
        <w:rPr>
          <w:rFonts w:ascii="Calibri" w:hAnsi="Calibri" w:cs="Calibri"/>
          <w:b/>
          <w:bCs/>
        </w:rPr>
        <w:t>74</w:t>
      </w:r>
      <w:r w:rsidRPr="00937AC5">
        <w:rPr>
          <w:rFonts w:ascii="Calibri" w:hAnsi="Calibri" w:cs="Calibri"/>
        </w:rPr>
        <w:t>, (2025).</w:t>
      </w:r>
    </w:p>
    <w:p w14:paraId="2FF6180A"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20.</w:t>
      </w:r>
      <w:r w:rsidRPr="00937AC5">
        <w:rPr>
          <w:rFonts w:ascii="Calibri" w:hAnsi="Calibri" w:cs="Calibri"/>
        </w:rPr>
        <w:tab/>
        <w:t xml:space="preserve">Tong, S., von </w:t>
      </w:r>
      <w:proofErr w:type="spellStart"/>
      <w:r w:rsidRPr="00937AC5">
        <w:rPr>
          <w:rFonts w:ascii="Calibri" w:hAnsi="Calibri" w:cs="Calibri"/>
        </w:rPr>
        <w:t>Schirnding</w:t>
      </w:r>
      <w:proofErr w:type="spellEnd"/>
      <w:r w:rsidRPr="00937AC5">
        <w:rPr>
          <w:rFonts w:ascii="Calibri" w:hAnsi="Calibri" w:cs="Calibri"/>
        </w:rPr>
        <w:t xml:space="preserve">, Y. E. &amp; </w:t>
      </w:r>
      <w:proofErr w:type="spellStart"/>
      <w:r w:rsidRPr="00937AC5">
        <w:rPr>
          <w:rFonts w:ascii="Calibri" w:hAnsi="Calibri" w:cs="Calibri"/>
        </w:rPr>
        <w:t>Prapamontol</w:t>
      </w:r>
      <w:proofErr w:type="spellEnd"/>
      <w:r w:rsidRPr="00937AC5">
        <w:rPr>
          <w:rFonts w:ascii="Calibri" w:hAnsi="Calibri" w:cs="Calibri"/>
        </w:rPr>
        <w:t xml:space="preserve">, T. Environmental lead exposure: a public health problem of global dimensions. </w:t>
      </w:r>
      <w:r w:rsidRPr="00937AC5">
        <w:rPr>
          <w:rFonts w:ascii="Calibri" w:hAnsi="Calibri" w:cs="Calibri"/>
          <w:i/>
          <w:iCs/>
        </w:rPr>
        <w:t>Bull. World Health Organ.</w:t>
      </w:r>
      <w:r w:rsidRPr="00937AC5">
        <w:rPr>
          <w:rFonts w:ascii="Calibri" w:hAnsi="Calibri" w:cs="Calibri"/>
        </w:rPr>
        <w:t xml:space="preserve"> </w:t>
      </w:r>
      <w:r w:rsidRPr="00937AC5">
        <w:rPr>
          <w:rFonts w:ascii="Calibri" w:hAnsi="Calibri" w:cs="Calibri"/>
          <w:b/>
          <w:bCs/>
        </w:rPr>
        <w:t>78</w:t>
      </w:r>
      <w:r w:rsidRPr="00937AC5">
        <w:rPr>
          <w:rFonts w:ascii="Calibri" w:hAnsi="Calibri" w:cs="Calibri"/>
        </w:rPr>
        <w:t>, 1068–1077 (2000).</w:t>
      </w:r>
    </w:p>
    <w:p w14:paraId="0F05009E"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21.</w:t>
      </w:r>
      <w:r w:rsidRPr="00937AC5">
        <w:rPr>
          <w:rFonts w:ascii="Calibri" w:hAnsi="Calibri" w:cs="Calibri"/>
        </w:rPr>
        <w:tab/>
        <w:t xml:space="preserve">Jusko, T. A. </w:t>
      </w:r>
      <w:r w:rsidRPr="00937AC5">
        <w:rPr>
          <w:rFonts w:ascii="Calibri" w:hAnsi="Calibri" w:cs="Calibri"/>
          <w:i/>
          <w:iCs/>
        </w:rPr>
        <w:t>et al.</w:t>
      </w:r>
      <w:r w:rsidRPr="00937AC5">
        <w:rPr>
          <w:rFonts w:ascii="Calibri" w:hAnsi="Calibri" w:cs="Calibri"/>
        </w:rPr>
        <w:t xml:space="preserve"> Blood Lead Concentrations &lt; 10 </w:t>
      </w:r>
      <w:proofErr w:type="spellStart"/>
      <w:r w:rsidRPr="00937AC5">
        <w:rPr>
          <w:rFonts w:ascii="Calibri" w:hAnsi="Calibri" w:cs="Calibri"/>
        </w:rPr>
        <w:t>μg</w:t>
      </w:r>
      <w:proofErr w:type="spellEnd"/>
      <w:r w:rsidRPr="00937AC5">
        <w:rPr>
          <w:rFonts w:ascii="Calibri" w:hAnsi="Calibri" w:cs="Calibri"/>
        </w:rPr>
        <w:t xml:space="preserve">/dL and Child Intelligence at 6 Years of Age. </w:t>
      </w:r>
      <w:r w:rsidRPr="00937AC5">
        <w:rPr>
          <w:rFonts w:ascii="Calibri" w:hAnsi="Calibri" w:cs="Calibri"/>
          <w:i/>
          <w:iCs/>
        </w:rPr>
        <w:t xml:space="preserve">Environ. Health </w:t>
      </w:r>
      <w:proofErr w:type="spellStart"/>
      <w:r w:rsidRPr="00937AC5">
        <w:rPr>
          <w:rFonts w:ascii="Calibri" w:hAnsi="Calibri" w:cs="Calibri"/>
          <w:i/>
          <w:iCs/>
        </w:rPr>
        <w:t>Perspect</w:t>
      </w:r>
      <w:proofErr w:type="spellEnd"/>
      <w:r w:rsidRPr="00937AC5">
        <w:rPr>
          <w:rFonts w:ascii="Calibri" w:hAnsi="Calibri" w:cs="Calibri"/>
          <w:i/>
          <w:iCs/>
        </w:rPr>
        <w:t>.</w:t>
      </w:r>
      <w:r w:rsidRPr="00937AC5">
        <w:rPr>
          <w:rFonts w:ascii="Calibri" w:hAnsi="Calibri" w:cs="Calibri"/>
        </w:rPr>
        <w:t xml:space="preserve"> </w:t>
      </w:r>
      <w:r w:rsidRPr="00937AC5">
        <w:rPr>
          <w:rFonts w:ascii="Calibri" w:hAnsi="Calibri" w:cs="Calibri"/>
          <w:b/>
          <w:bCs/>
        </w:rPr>
        <w:t>116</w:t>
      </w:r>
      <w:r w:rsidRPr="00937AC5">
        <w:rPr>
          <w:rFonts w:ascii="Calibri" w:hAnsi="Calibri" w:cs="Calibri"/>
        </w:rPr>
        <w:t>, 243–248 (2008).</w:t>
      </w:r>
    </w:p>
    <w:p w14:paraId="4DF55DBA"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lastRenderedPageBreak/>
        <w:t>22.</w:t>
      </w:r>
      <w:r w:rsidRPr="00937AC5">
        <w:rPr>
          <w:rFonts w:ascii="Calibri" w:hAnsi="Calibri" w:cs="Calibri"/>
        </w:rPr>
        <w:tab/>
        <w:t xml:space="preserve">Levin, R. </w:t>
      </w:r>
      <w:r w:rsidRPr="00937AC5">
        <w:rPr>
          <w:rFonts w:ascii="Calibri" w:hAnsi="Calibri" w:cs="Calibri"/>
          <w:i/>
          <w:iCs/>
        </w:rPr>
        <w:t>et al.</w:t>
      </w:r>
      <w:r w:rsidRPr="00937AC5">
        <w:rPr>
          <w:rFonts w:ascii="Calibri" w:hAnsi="Calibri" w:cs="Calibri"/>
        </w:rPr>
        <w:t xml:space="preserve"> Lead exposures in U.S. Children, 2008: implications for prevention. </w:t>
      </w:r>
      <w:r w:rsidRPr="00937AC5">
        <w:rPr>
          <w:rFonts w:ascii="Calibri" w:hAnsi="Calibri" w:cs="Calibri"/>
          <w:i/>
          <w:iCs/>
        </w:rPr>
        <w:t xml:space="preserve">Environ. Health </w:t>
      </w:r>
      <w:proofErr w:type="spellStart"/>
      <w:r w:rsidRPr="00937AC5">
        <w:rPr>
          <w:rFonts w:ascii="Calibri" w:hAnsi="Calibri" w:cs="Calibri"/>
          <w:i/>
          <w:iCs/>
        </w:rPr>
        <w:t>Perspect</w:t>
      </w:r>
      <w:proofErr w:type="spellEnd"/>
      <w:r w:rsidRPr="00937AC5">
        <w:rPr>
          <w:rFonts w:ascii="Calibri" w:hAnsi="Calibri" w:cs="Calibri"/>
          <w:i/>
          <w:iCs/>
        </w:rPr>
        <w:t>.</w:t>
      </w:r>
      <w:r w:rsidRPr="00937AC5">
        <w:rPr>
          <w:rFonts w:ascii="Calibri" w:hAnsi="Calibri" w:cs="Calibri"/>
        </w:rPr>
        <w:t xml:space="preserve"> </w:t>
      </w:r>
      <w:r w:rsidRPr="00937AC5">
        <w:rPr>
          <w:rFonts w:ascii="Calibri" w:hAnsi="Calibri" w:cs="Calibri"/>
          <w:b/>
          <w:bCs/>
        </w:rPr>
        <w:t>116</w:t>
      </w:r>
      <w:r w:rsidRPr="00937AC5">
        <w:rPr>
          <w:rFonts w:ascii="Calibri" w:hAnsi="Calibri" w:cs="Calibri"/>
        </w:rPr>
        <w:t>, 1285–1293 (2008).</w:t>
      </w:r>
    </w:p>
    <w:p w14:paraId="5919887A" w14:textId="77777777" w:rsidR="00937AC5" w:rsidRPr="00937AC5" w:rsidRDefault="00937AC5" w:rsidP="003F17D2">
      <w:pPr>
        <w:pStyle w:val="Bibliography"/>
        <w:spacing w:line="240" w:lineRule="auto"/>
        <w:rPr>
          <w:rFonts w:ascii="Calibri" w:hAnsi="Calibri" w:cs="Calibri"/>
        </w:rPr>
      </w:pPr>
      <w:r w:rsidRPr="00937AC5">
        <w:rPr>
          <w:rFonts w:ascii="Calibri" w:hAnsi="Calibri" w:cs="Calibri"/>
        </w:rPr>
        <w:t>23.</w:t>
      </w:r>
      <w:r w:rsidRPr="00937AC5">
        <w:rPr>
          <w:rFonts w:ascii="Calibri" w:hAnsi="Calibri" w:cs="Calibri"/>
        </w:rPr>
        <w:tab/>
      </w:r>
      <w:proofErr w:type="spellStart"/>
      <w:r w:rsidRPr="00937AC5">
        <w:rPr>
          <w:rFonts w:ascii="Calibri" w:hAnsi="Calibri" w:cs="Calibri"/>
        </w:rPr>
        <w:t>Ravansari</w:t>
      </w:r>
      <w:proofErr w:type="spellEnd"/>
      <w:r w:rsidRPr="00937AC5">
        <w:rPr>
          <w:rFonts w:ascii="Calibri" w:hAnsi="Calibri" w:cs="Calibri"/>
        </w:rPr>
        <w:t xml:space="preserve">, R., Wilson, S. C. &amp; Tighe, M. Portable X-ray fluorescence for environmental assessment of soils: Not just a point and shoot method. </w:t>
      </w:r>
      <w:r w:rsidRPr="00937AC5">
        <w:rPr>
          <w:rFonts w:ascii="Calibri" w:hAnsi="Calibri" w:cs="Calibri"/>
          <w:i/>
          <w:iCs/>
        </w:rPr>
        <w:t>Environ. Int.</w:t>
      </w:r>
      <w:r w:rsidRPr="00937AC5">
        <w:rPr>
          <w:rFonts w:ascii="Calibri" w:hAnsi="Calibri" w:cs="Calibri"/>
        </w:rPr>
        <w:t xml:space="preserve"> </w:t>
      </w:r>
      <w:r w:rsidRPr="00937AC5">
        <w:rPr>
          <w:rFonts w:ascii="Calibri" w:hAnsi="Calibri" w:cs="Calibri"/>
          <w:b/>
          <w:bCs/>
        </w:rPr>
        <w:t>134</w:t>
      </w:r>
      <w:r w:rsidRPr="00937AC5">
        <w:rPr>
          <w:rFonts w:ascii="Calibri" w:hAnsi="Calibri" w:cs="Calibri"/>
        </w:rPr>
        <w:t>, 105250 (2020).</w:t>
      </w:r>
    </w:p>
    <w:p w14:paraId="56D978D6" w14:textId="43959D57" w:rsidR="00937AC5" w:rsidRPr="007124A7" w:rsidRDefault="00937AC5" w:rsidP="003F17D2">
      <w:pPr>
        <w:pStyle w:val="Bibliography"/>
        <w:spacing w:line="240" w:lineRule="auto"/>
        <w:rPr>
          <w:rFonts w:ascii="Calibri" w:hAnsi="Calibri" w:cs="Calibri"/>
        </w:rPr>
      </w:pPr>
      <w:r>
        <w:rPr>
          <w:rFonts w:ascii="Calibri" w:hAnsi="Calibri" w:cs="Calibri"/>
        </w:rPr>
        <w:fldChar w:fldCharType="end"/>
      </w:r>
    </w:p>
    <w:sectPr w:rsidR="00937AC5" w:rsidRPr="007124A7" w:rsidSect="003F17D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15E64" w14:textId="77777777" w:rsidR="007E27E3" w:rsidRDefault="007E27E3" w:rsidP="006A3628">
      <w:pPr>
        <w:spacing w:after="0" w:line="240" w:lineRule="auto"/>
      </w:pPr>
      <w:r>
        <w:separator/>
      </w:r>
    </w:p>
  </w:endnote>
  <w:endnote w:type="continuationSeparator" w:id="0">
    <w:p w14:paraId="1649730C" w14:textId="77777777" w:rsidR="007E27E3" w:rsidRDefault="007E27E3" w:rsidP="006A3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icron">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9049D" w14:textId="77777777" w:rsidR="007E27E3" w:rsidRDefault="007E27E3" w:rsidP="006A3628">
      <w:pPr>
        <w:spacing w:after="0" w:line="240" w:lineRule="auto"/>
      </w:pPr>
      <w:r>
        <w:separator/>
      </w:r>
    </w:p>
  </w:footnote>
  <w:footnote w:type="continuationSeparator" w:id="0">
    <w:p w14:paraId="48EC5796" w14:textId="77777777" w:rsidR="007E27E3" w:rsidRDefault="007E27E3" w:rsidP="006A36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E0447"/>
    <w:multiLevelType w:val="hybridMultilevel"/>
    <w:tmpl w:val="77C41782"/>
    <w:lvl w:ilvl="0" w:tplc="DDF0CF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889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628"/>
    <w:rsid w:val="000A62C6"/>
    <w:rsid w:val="000A6BB8"/>
    <w:rsid w:val="000D0291"/>
    <w:rsid w:val="000D50C8"/>
    <w:rsid w:val="000E0C79"/>
    <w:rsid w:val="0013469A"/>
    <w:rsid w:val="00137D2A"/>
    <w:rsid w:val="001A69F7"/>
    <w:rsid w:val="001C21A9"/>
    <w:rsid w:val="001D353B"/>
    <w:rsid w:val="001E0D71"/>
    <w:rsid w:val="001E36E3"/>
    <w:rsid w:val="00272D52"/>
    <w:rsid w:val="002768F1"/>
    <w:rsid w:val="002866E4"/>
    <w:rsid w:val="00296A66"/>
    <w:rsid w:val="002A58D7"/>
    <w:rsid w:val="003269FE"/>
    <w:rsid w:val="00396991"/>
    <w:rsid w:val="003C2A8F"/>
    <w:rsid w:val="003C4663"/>
    <w:rsid w:val="003D141B"/>
    <w:rsid w:val="003E20F0"/>
    <w:rsid w:val="003F17D2"/>
    <w:rsid w:val="00437750"/>
    <w:rsid w:val="004462A0"/>
    <w:rsid w:val="00450515"/>
    <w:rsid w:val="00457029"/>
    <w:rsid w:val="004B167B"/>
    <w:rsid w:val="004C40FB"/>
    <w:rsid w:val="004F05FE"/>
    <w:rsid w:val="004F18BF"/>
    <w:rsid w:val="0056253E"/>
    <w:rsid w:val="00574C02"/>
    <w:rsid w:val="005C2ABA"/>
    <w:rsid w:val="005E7A4C"/>
    <w:rsid w:val="005F2810"/>
    <w:rsid w:val="005F5ED8"/>
    <w:rsid w:val="005F75E2"/>
    <w:rsid w:val="00607EAF"/>
    <w:rsid w:val="006330A6"/>
    <w:rsid w:val="00662478"/>
    <w:rsid w:val="00662F09"/>
    <w:rsid w:val="006779E5"/>
    <w:rsid w:val="006A28EE"/>
    <w:rsid w:val="006A3628"/>
    <w:rsid w:val="006E446C"/>
    <w:rsid w:val="006F262E"/>
    <w:rsid w:val="007037DA"/>
    <w:rsid w:val="007124A7"/>
    <w:rsid w:val="007140B4"/>
    <w:rsid w:val="00734760"/>
    <w:rsid w:val="00742D1B"/>
    <w:rsid w:val="0075221E"/>
    <w:rsid w:val="007814F2"/>
    <w:rsid w:val="00782225"/>
    <w:rsid w:val="00794D20"/>
    <w:rsid w:val="007A1FAB"/>
    <w:rsid w:val="007A3D8E"/>
    <w:rsid w:val="007B129E"/>
    <w:rsid w:val="007C1A38"/>
    <w:rsid w:val="007E229C"/>
    <w:rsid w:val="007E27E3"/>
    <w:rsid w:val="007E465F"/>
    <w:rsid w:val="007F4FD9"/>
    <w:rsid w:val="00806512"/>
    <w:rsid w:val="0081556E"/>
    <w:rsid w:val="00876994"/>
    <w:rsid w:val="008843D9"/>
    <w:rsid w:val="00897B47"/>
    <w:rsid w:val="008A26CB"/>
    <w:rsid w:val="008A6A1B"/>
    <w:rsid w:val="008C0E4C"/>
    <w:rsid w:val="008C2E10"/>
    <w:rsid w:val="008C603B"/>
    <w:rsid w:val="0092481E"/>
    <w:rsid w:val="00937AC5"/>
    <w:rsid w:val="009512DE"/>
    <w:rsid w:val="00962E47"/>
    <w:rsid w:val="009849AA"/>
    <w:rsid w:val="00A03E55"/>
    <w:rsid w:val="00A05940"/>
    <w:rsid w:val="00A42C39"/>
    <w:rsid w:val="00A5141F"/>
    <w:rsid w:val="00A74AC8"/>
    <w:rsid w:val="00A7504B"/>
    <w:rsid w:val="00A83889"/>
    <w:rsid w:val="00A92A78"/>
    <w:rsid w:val="00AD19D1"/>
    <w:rsid w:val="00B0176D"/>
    <w:rsid w:val="00B31919"/>
    <w:rsid w:val="00BB5B56"/>
    <w:rsid w:val="00BD0EC8"/>
    <w:rsid w:val="00C479A2"/>
    <w:rsid w:val="00C509A3"/>
    <w:rsid w:val="00C623AE"/>
    <w:rsid w:val="00CB00BB"/>
    <w:rsid w:val="00CB22A5"/>
    <w:rsid w:val="00CB644D"/>
    <w:rsid w:val="00CC78D8"/>
    <w:rsid w:val="00CE5E72"/>
    <w:rsid w:val="00D407F1"/>
    <w:rsid w:val="00D5204E"/>
    <w:rsid w:val="00D561FC"/>
    <w:rsid w:val="00D8117F"/>
    <w:rsid w:val="00DA20DF"/>
    <w:rsid w:val="00DE32F5"/>
    <w:rsid w:val="00E7321B"/>
    <w:rsid w:val="00E77D25"/>
    <w:rsid w:val="00F05A23"/>
    <w:rsid w:val="00FC5082"/>
    <w:rsid w:val="00FD1C43"/>
    <w:rsid w:val="00FD65F0"/>
    <w:rsid w:val="00FE22B0"/>
    <w:rsid w:val="00FF6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E2E61"/>
  <w15:chartTrackingRefBased/>
  <w15:docId w15:val="{EF6A5CA9-03D2-E249-A168-8FB3E6DF0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36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36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36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36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36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36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36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36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36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36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36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36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36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36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36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36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36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3628"/>
    <w:rPr>
      <w:rFonts w:eastAsiaTheme="majorEastAsia" w:cstheme="majorBidi"/>
      <w:color w:val="272727" w:themeColor="text1" w:themeTint="D8"/>
    </w:rPr>
  </w:style>
  <w:style w:type="paragraph" w:styleId="Title">
    <w:name w:val="Title"/>
    <w:basedOn w:val="Normal"/>
    <w:next w:val="Normal"/>
    <w:link w:val="TitleChar"/>
    <w:uiPriority w:val="10"/>
    <w:qFormat/>
    <w:rsid w:val="006A36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36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36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36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3628"/>
    <w:pPr>
      <w:spacing w:before="160"/>
      <w:jc w:val="center"/>
    </w:pPr>
    <w:rPr>
      <w:i/>
      <w:iCs/>
      <w:color w:val="404040" w:themeColor="text1" w:themeTint="BF"/>
    </w:rPr>
  </w:style>
  <w:style w:type="character" w:customStyle="1" w:styleId="QuoteChar">
    <w:name w:val="Quote Char"/>
    <w:basedOn w:val="DefaultParagraphFont"/>
    <w:link w:val="Quote"/>
    <w:uiPriority w:val="29"/>
    <w:rsid w:val="006A3628"/>
    <w:rPr>
      <w:i/>
      <w:iCs/>
      <w:color w:val="404040" w:themeColor="text1" w:themeTint="BF"/>
    </w:rPr>
  </w:style>
  <w:style w:type="paragraph" w:styleId="ListParagraph">
    <w:name w:val="List Paragraph"/>
    <w:basedOn w:val="Normal"/>
    <w:uiPriority w:val="34"/>
    <w:qFormat/>
    <w:rsid w:val="006A3628"/>
    <w:pPr>
      <w:ind w:left="720"/>
      <w:contextualSpacing/>
    </w:pPr>
  </w:style>
  <w:style w:type="character" w:styleId="IntenseEmphasis">
    <w:name w:val="Intense Emphasis"/>
    <w:basedOn w:val="DefaultParagraphFont"/>
    <w:uiPriority w:val="21"/>
    <w:qFormat/>
    <w:rsid w:val="006A3628"/>
    <w:rPr>
      <w:i/>
      <w:iCs/>
      <w:color w:val="0F4761" w:themeColor="accent1" w:themeShade="BF"/>
    </w:rPr>
  </w:style>
  <w:style w:type="paragraph" w:styleId="IntenseQuote">
    <w:name w:val="Intense Quote"/>
    <w:basedOn w:val="Normal"/>
    <w:next w:val="Normal"/>
    <w:link w:val="IntenseQuoteChar"/>
    <w:uiPriority w:val="30"/>
    <w:qFormat/>
    <w:rsid w:val="006A36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3628"/>
    <w:rPr>
      <w:i/>
      <w:iCs/>
      <w:color w:val="0F4761" w:themeColor="accent1" w:themeShade="BF"/>
    </w:rPr>
  </w:style>
  <w:style w:type="character" w:styleId="IntenseReference">
    <w:name w:val="Intense Reference"/>
    <w:basedOn w:val="DefaultParagraphFont"/>
    <w:uiPriority w:val="32"/>
    <w:qFormat/>
    <w:rsid w:val="006A3628"/>
    <w:rPr>
      <w:b/>
      <w:bCs/>
      <w:smallCaps/>
      <w:color w:val="0F4761" w:themeColor="accent1" w:themeShade="BF"/>
      <w:spacing w:val="5"/>
    </w:rPr>
  </w:style>
  <w:style w:type="paragraph" w:styleId="Header">
    <w:name w:val="header"/>
    <w:basedOn w:val="Normal"/>
    <w:link w:val="HeaderChar"/>
    <w:uiPriority w:val="99"/>
    <w:unhideWhenUsed/>
    <w:rsid w:val="006A36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628"/>
  </w:style>
  <w:style w:type="paragraph" w:styleId="Footer">
    <w:name w:val="footer"/>
    <w:basedOn w:val="Normal"/>
    <w:link w:val="FooterChar"/>
    <w:uiPriority w:val="99"/>
    <w:unhideWhenUsed/>
    <w:rsid w:val="006A36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628"/>
  </w:style>
  <w:style w:type="paragraph" w:styleId="Bibliography">
    <w:name w:val="Bibliography"/>
    <w:basedOn w:val="Normal"/>
    <w:next w:val="Normal"/>
    <w:uiPriority w:val="37"/>
    <w:unhideWhenUsed/>
    <w:rsid w:val="002A58D7"/>
    <w:pPr>
      <w:tabs>
        <w:tab w:val="left" w:pos="380"/>
      </w:tabs>
      <w:spacing w:after="0" w:line="480" w:lineRule="auto"/>
      <w:ind w:left="384" w:hanging="384"/>
    </w:pPr>
  </w:style>
  <w:style w:type="character" w:styleId="CommentReference">
    <w:name w:val="annotation reference"/>
    <w:basedOn w:val="DefaultParagraphFont"/>
    <w:uiPriority w:val="99"/>
    <w:semiHidden/>
    <w:unhideWhenUsed/>
    <w:rsid w:val="00457029"/>
    <w:rPr>
      <w:sz w:val="16"/>
      <w:szCs w:val="16"/>
    </w:rPr>
  </w:style>
  <w:style w:type="paragraph" w:styleId="CommentText">
    <w:name w:val="annotation text"/>
    <w:basedOn w:val="Normal"/>
    <w:link w:val="CommentTextChar"/>
    <w:uiPriority w:val="99"/>
    <w:semiHidden/>
    <w:unhideWhenUsed/>
    <w:rsid w:val="00457029"/>
    <w:pPr>
      <w:spacing w:line="240" w:lineRule="auto"/>
    </w:pPr>
    <w:rPr>
      <w:sz w:val="20"/>
      <w:szCs w:val="20"/>
    </w:rPr>
  </w:style>
  <w:style w:type="character" w:customStyle="1" w:styleId="CommentTextChar">
    <w:name w:val="Comment Text Char"/>
    <w:basedOn w:val="DefaultParagraphFont"/>
    <w:link w:val="CommentText"/>
    <w:uiPriority w:val="99"/>
    <w:semiHidden/>
    <w:rsid w:val="00457029"/>
    <w:rPr>
      <w:sz w:val="20"/>
      <w:szCs w:val="20"/>
    </w:rPr>
  </w:style>
  <w:style w:type="paragraph" w:styleId="CommentSubject">
    <w:name w:val="annotation subject"/>
    <w:basedOn w:val="CommentText"/>
    <w:next w:val="CommentText"/>
    <w:link w:val="CommentSubjectChar"/>
    <w:uiPriority w:val="99"/>
    <w:semiHidden/>
    <w:unhideWhenUsed/>
    <w:rsid w:val="00457029"/>
    <w:rPr>
      <w:b/>
      <w:bCs/>
    </w:rPr>
  </w:style>
  <w:style w:type="character" w:customStyle="1" w:styleId="CommentSubjectChar">
    <w:name w:val="Comment Subject Char"/>
    <w:basedOn w:val="CommentTextChar"/>
    <w:link w:val="CommentSubject"/>
    <w:uiPriority w:val="99"/>
    <w:semiHidden/>
    <w:rsid w:val="0045702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1160</TotalTime>
  <Pages>11</Pages>
  <Words>14517</Words>
  <Characters>79992</Characters>
  <Application>Microsoft Office Word</Application>
  <DocSecurity>0</DocSecurity>
  <Lines>1509</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Aguilar Rivera, Isaac N.</dc:creator>
  <cp:keywords/>
  <dc:description/>
  <cp:lastModifiedBy>Aguilar Rivera, Isaac N.</cp:lastModifiedBy>
  <cp:revision>15</cp:revision>
  <dcterms:created xsi:type="dcterms:W3CDTF">2026-03-25T21:49:00Z</dcterms:created>
  <dcterms:modified xsi:type="dcterms:W3CDTF">2026-03-31T07:16:00Z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id="S5DEaK2f"/&gt;&lt;style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