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9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05"/>
        <w:gridCol w:w="2800"/>
        <w:gridCol w:w="1275"/>
        <w:gridCol w:w="993"/>
        <w:gridCol w:w="1135"/>
        <w:gridCol w:w="1259"/>
        <w:gridCol w:w="2797"/>
        <w:gridCol w:w="3455"/>
      </w:tblGrid>
      <w:tr w:rsidR="00943EAD" w:rsidRPr="00B94292" w:rsidTr="00943EAD">
        <w:trPr>
          <w:trHeight w:val="481"/>
          <w:tblHeader/>
        </w:trPr>
        <w:tc>
          <w:tcPr>
            <w:tcW w:w="605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S/n</w:t>
            </w:r>
          </w:p>
        </w:tc>
        <w:tc>
          <w:tcPr>
            <w:tcW w:w="2800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Recommendation</w:t>
            </w:r>
          </w:p>
        </w:tc>
        <w:tc>
          <w:tcPr>
            <w:tcW w:w="1275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4292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Schedule</w:t>
            </w:r>
          </w:p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Reduction</w:t>
            </w:r>
          </w:p>
        </w:tc>
        <w:tc>
          <w:tcPr>
            <w:tcW w:w="993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Cost Savings</w:t>
            </w:r>
          </w:p>
        </w:tc>
        <w:tc>
          <w:tcPr>
            <w:tcW w:w="1135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Action Party</w:t>
            </w:r>
          </w:p>
        </w:tc>
        <w:tc>
          <w:tcPr>
            <w:tcW w:w="1259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Target</w:t>
            </w:r>
          </w:p>
        </w:tc>
        <w:tc>
          <w:tcPr>
            <w:tcW w:w="2797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  <w:lang w:val="en-GB"/>
              </w:rPr>
              <w:t>Sponsor’s Comments/Steer &amp; Other remarks</w:t>
            </w:r>
          </w:p>
        </w:tc>
        <w:tc>
          <w:tcPr>
            <w:tcW w:w="3455" w:type="dxa"/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B94292" w:rsidRDefault="00B94292" w:rsidP="00943EAD">
            <w:pPr>
              <w:jc w:val="center"/>
            </w:pPr>
            <w:r w:rsidRPr="00B94292">
              <w:rPr>
                <w:b/>
                <w:bCs/>
              </w:rPr>
              <w:t>Project Champion Comments on the Recommendations of Published Kaizen Report on Location LEAN Project</w:t>
            </w:r>
          </w:p>
        </w:tc>
      </w:tr>
      <w:tr w:rsidR="00943EAD" w:rsidRPr="00B94292" w:rsidTr="00943EAD">
        <w:trPr>
          <w:trHeight w:val="408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rPr>
                <w:color w:val="1F497D" w:themeColor="text2"/>
              </w:rPr>
            </w:pPr>
            <w:r w:rsidRPr="00B94292">
              <w:rPr>
                <w:b/>
                <w:bCs/>
                <w:color w:val="1F497D" w:themeColor="text2"/>
                <w:lang w:val="en-GB"/>
              </w:rPr>
              <w:t>PREMOB</w:t>
            </w:r>
            <w:r w:rsidRPr="00B94292">
              <w:rPr>
                <w:b/>
                <w:bCs/>
                <w:color w:val="1F497D" w:themeColor="text2"/>
              </w:rPr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(days)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(f$)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/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943EAD">
            <w:r w:rsidRPr="00B94292">
              <w:rPr>
                <w:lang w:val="en-GB"/>
              </w:rPr>
              <w:t xml:space="preserve">For all premob requests, CH to quality check </w:t>
            </w:r>
            <w:r w:rsidR="00417DDC">
              <w:rPr>
                <w:lang w:val="en-GB"/>
              </w:rPr>
              <w:t>c</w:t>
            </w:r>
            <w:r w:rsidRPr="00B94292">
              <w:rPr>
                <w:lang w:val="en-GB"/>
              </w:rPr>
              <w:t>ontractor’s proposal to avoid rework.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Default="00B94292" w:rsidP="00B94292"/>
          <w:p w:rsidR="0007520A" w:rsidRPr="0007520A" w:rsidRDefault="0007520A" w:rsidP="00B94292">
            <w:pPr>
              <w:rPr>
                <w:color w:val="0000FF"/>
              </w:rPr>
            </w:pPr>
            <w:r w:rsidRPr="0007520A">
              <w:rPr>
                <w:color w:val="0000FF"/>
              </w:rPr>
              <w:t>No comments</w:t>
            </w:r>
          </w:p>
        </w:tc>
      </w:tr>
      <w:tr w:rsidR="00943EAD" w:rsidRPr="00B94292" w:rsidTr="00943EAD">
        <w:trPr>
          <w:trHeight w:val="408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</w:t>
            </w: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943EAD">
            <w:r w:rsidRPr="00B94292">
              <w:rPr>
                <w:lang w:val="en-GB"/>
              </w:rPr>
              <w:t>Improve time taken to secure FTO (from 42 days to 30 days)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12</w:t>
            </w: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SD</w:t>
            </w: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Ok. </w:t>
            </w:r>
          </w:p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D41041">
            <w:r w:rsidRPr="00B94292">
              <w:t>FTO i</w:t>
            </w:r>
            <w:r w:rsidR="00D41041">
              <w:t xml:space="preserve">s </w:t>
            </w:r>
            <w:r w:rsidRPr="00B94292">
              <w:t>n</w:t>
            </w:r>
            <w:r w:rsidR="00D41041">
              <w:t>ot</w:t>
            </w:r>
            <w:r w:rsidRPr="00B94292">
              <w:t xml:space="preserve"> a Precise Science</w:t>
            </w:r>
            <w:r w:rsidR="00D41041">
              <w:t xml:space="preserve"> and securing of FTO varies from  Community to Community. Records shows that some sites take longer time to secure FTO</w:t>
            </w:r>
            <w:r w:rsidRPr="00B94292">
              <w:t>.</w:t>
            </w:r>
            <w:r w:rsidR="00D41041">
              <w:t xml:space="preserve"> TPEV will engage with SCD Team on what they will do differently to reduce timing. </w:t>
            </w:r>
            <w:r w:rsidRPr="00B94292">
              <w:t xml:space="preserve"> </w:t>
            </w:r>
          </w:p>
        </w:tc>
      </w:tr>
      <w:tr w:rsidR="00943EAD" w:rsidRPr="00B94292" w:rsidTr="00943EAD">
        <w:trPr>
          <w:trHeight w:val="523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2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943EAD">
            <w:r w:rsidRPr="00B94292">
              <w:rPr>
                <w:lang w:val="en-GB"/>
              </w:rPr>
              <w:t>Improve time taken to review project Security plan (from 21days to 3days )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18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Security Dept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Ok. (Gabriel to draft SOP based on VSM and review with Chuks). Target:31/07/12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33327B" w:rsidP="0033327B">
            <w:r>
              <w:rPr>
                <w:color w:val="0000FF"/>
              </w:rPr>
              <w:t xml:space="preserve">Will follow-up </w:t>
            </w:r>
            <w:r w:rsidR="00D427B9" w:rsidRPr="00D427B9">
              <w:rPr>
                <w:color w:val="0000FF"/>
              </w:rPr>
              <w:t>Process Owner (</w:t>
            </w:r>
            <w:r w:rsidR="00D427B9">
              <w:rPr>
                <w:color w:val="0000FF"/>
              </w:rPr>
              <w:t>Security</w:t>
            </w:r>
            <w:r w:rsidR="00D427B9" w:rsidRPr="00D427B9">
              <w:rPr>
                <w:color w:val="0000FF"/>
              </w:rPr>
              <w:t xml:space="preserve">) </w:t>
            </w:r>
            <w:r>
              <w:rPr>
                <w:color w:val="0000FF"/>
              </w:rPr>
              <w:t>to</w:t>
            </w:r>
            <w:r w:rsidR="00D427B9" w:rsidRPr="00D427B9">
              <w:rPr>
                <w:color w:val="0000FF"/>
              </w:rPr>
              <w:t xml:space="preserve"> draft SOP and demonstrate how the time reduction will be achieved</w:t>
            </w:r>
            <w:r w:rsidR="0007520A">
              <w:rPr>
                <w:color w:val="0000FF"/>
              </w:rPr>
              <w:t xml:space="preserve"> without compromising company policies and regulations</w:t>
            </w:r>
          </w:p>
        </w:tc>
      </w:tr>
      <w:tr w:rsidR="00943EAD" w:rsidRPr="00B94292" w:rsidTr="00943EAD">
        <w:trPr>
          <w:trHeight w:val="523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3</w:t>
            </w: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r w:rsidRPr="00B94292">
              <w:rPr>
                <w:lang w:val="en-GB"/>
              </w:rPr>
              <w:t xml:space="preserve">Improve time to review project HSE plan </w:t>
            </w:r>
          </w:p>
          <w:p w:rsidR="003A5647" w:rsidRPr="00B94292" w:rsidRDefault="00B94292" w:rsidP="00B94292">
            <w:r w:rsidRPr="00B94292">
              <w:rPr>
                <w:lang w:val="en-GB"/>
              </w:rPr>
              <w:t>(29 days to 3 days)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26</w:t>
            </w: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HSE &amp; Civil Engineering</w:t>
            </w: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Ok. (Gabriel to draft SOP based on VSM and review with Chuks). Target:31/07/12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33327B" w:rsidP="0033327B">
            <w:r>
              <w:rPr>
                <w:color w:val="0000FF"/>
              </w:rPr>
              <w:t xml:space="preserve">Will follow-up </w:t>
            </w:r>
            <w:r w:rsidR="0007520A" w:rsidRPr="00D427B9">
              <w:rPr>
                <w:color w:val="0000FF"/>
              </w:rPr>
              <w:t>Process Owner (</w:t>
            </w:r>
            <w:r w:rsidR="0007520A">
              <w:rPr>
                <w:color w:val="0000FF"/>
              </w:rPr>
              <w:t>Corporate HSE</w:t>
            </w:r>
            <w:r w:rsidR="0007520A" w:rsidRPr="00D427B9">
              <w:rPr>
                <w:color w:val="0000FF"/>
              </w:rPr>
              <w:t xml:space="preserve">) </w:t>
            </w:r>
            <w:r>
              <w:rPr>
                <w:color w:val="0000FF"/>
              </w:rPr>
              <w:t>t</w:t>
            </w:r>
            <w:r w:rsidR="0007520A" w:rsidRPr="00D427B9">
              <w:rPr>
                <w:color w:val="0000FF"/>
              </w:rPr>
              <w:t>o</w:t>
            </w:r>
            <w:r>
              <w:rPr>
                <w:color w:val="0000FF"/>
              </w:rPr>
              <w:t xml:space="preserve"> </w:t>
            </w:r>
            <w:r w:rsidR="0007520A" w:rsidRPr="00D427B9">
              <w:rPr>
                <w:color w:val="0000FF"/>
              </w:rPr>
              <w:t xml:space="preserve"> draft SOP and demonstrate how the time reduction will be achieved</w:t>
            </w:r>
            <w:r w:rsidR="0007520A">
              <w:rPr>
                <w:color w:val="0000FF"/>
              </w:rPr>
              <w:t xml:space="preserve"> without compromising company policies </w:t>
            </w:r>
            <w:r w:rsidR="0007520A">
              <w:rPr>
                <w:color w:val="0000FF"/>
              </w:rPr>
              <w:lastRenderedPageBreak/>
              <w:t>and regulations</w:t>
            </w:r>
          </w:p>
        </w:tc>
      </w:tr>
      <w:tr w:rsidR="00943EAD" w:rsidRPr="00B94292" w:rsidTr="00943EAD">
        <w:trPr>
          <w:trHeight w:val="1509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lastRenderedPageBreak/>
              <w:t>4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943EAD">
            <w:r w:rsidRPr="00B94292">
              <w:rPr>
                <w:lang w:val="en-GB"/>
              </w:rPr>
              <w:t>Carry out equipment inspection  within 3days of premob request and issue report &amp; sticker within next 2 days.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22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Logistics team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Ok. (Gabriel to draft SOP based on VSM and review with Chuks). Target:31/07/12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D427B9" w:rsidRDefault="0033327B" w:rsidP="0033327B">
            <w:pPr>
              <w:rPr>
                <w:color w:val="0000FF"/>
              </w:rPr>
            </w:pPr>
            <w:r>
              <w:rPr>
                <w:color w:val="0000FF"/>
              </w:rPr>
              <w:t xml:space="preserve">Will follow-up </w:t>
            </w:r>
            <w:r w:rsidR="0007520A" w:rsidRPr="00D427B9">
              <w:rPr>
                <w:color w:val="0000FF"/>
              </w:rPr>
              <w:t>Process Owner (</w:t>
            </w:r>
            <w:r w:rsidR="00907E2B">
              <w:rPr>
                <w:color w:val="0000FF"/>
              </w:rPr>
              <w:t>Logistics</w:t>
            </w:r>
            <w:r>
              <w:rPr>
                <w:color w:val="0000FF"/>
              </w:rPr>
              <w:t>) t</w:t>
            </w:r>
            <w:r w:rsidR="0007520A" w:rsidRPr="00D427B9">
              <w:rPr>
                <w:color w:val="0000FF"/>
              </w:rPr>
              <w:t>o draft SOP and demonstrate how the time reduction will be achieved</w:t>
            </w:r>
            <w:r w:rsidR="0007520A">
              <w:rPr>
                <w:color w:val="0000FF"/>
              </w:rPr>
              <w:t xml:space="preserve"> without compromising company policies and regulations</w:t>
            </w:r>
          </w:p>
        </w:tc>
      </w:tr>
      <w:tr w:rsidR="00943EAD" w:rsidRPr="00B94292" w:rsidTr="00943EAD">
        <w:trPr>
          <w:trHeight w:val="523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5</w:t>
            </w: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943EAD">
            <w:r w:rsidRPr="00B94292">
              <w:rPr>
                <w:lang w:val="en-GB"/>
              </w:rPr>
              <w:t>Improve time to secure wells for existing</w:t>
            </w:r>
            <w:r w:rsidR="00943EAD">
              <w:rPr>
                <w:lang w:val="en-GB"/>
              </w:rPr>
              <w:t xml:space="preserve"> </w:t>
            </w:r>
            <w:r w:rsidRPr="00B94292">
              <w:rPr>
                <w:lang w:val="en-GB"/>
              </w:rPr>
              <w:t>locations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14</w:t>
            </w: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Well Services</w:t>
            </w: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Depends on Production requirements. Civil Engineering to engage Well Services team.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t xml:space="preserve">No Comments </w:t>
            </w:r>
          </w:p>
        </w:tc>
      </w:tr>
      <w:tr w:rsidR="00943EAD" w:rsidRPr="00B94292" w:rsidTr="00943EAD">
        <w:trPr>
          <w:trHeight w:val="1098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6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r w:rsidRPr="00B94292">
              <w:rPr>
                <w:lang w:val="en-GB"/>
              </w:rPr>
              <w:t xml:space="preserve">Improve time to remove flowlines in </w:t>
            </w:r>
          </w:p>
          <w:p w:rsidR="003A5647" w:rsidRPr="00B94292" w:rsidRDefault="00B94292" w:rsidP="00B94292">
            <w:r w:rsidRPr="00B94292">
              <w:rPr>
                <w:lang w:val="en-GB"/>
              </w:rPr>
              <w:t>existing locations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14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Asset Engineering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Depends on Production requirement. Civil Eng to engage  Asset Engineering  team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t xml:space="preserve">No Comments </w:t>
            </w:r>
          </w:p>
        </w:tc>
      </w:tr>
      <w:tr w:rsidR="00943EAD" w:rsidRPr="00B94292" w:rsidTr="00943EAD">
        <w:trPr>
          <w:trHeight w:val="443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rPr>
                <w:color w:val="1F497D" w:themeColor="text2"/>
              </w:rPr>
            </w:pPr>
            <w:r w:rsidRPr="00B94292">
              <w:rPr>
                <w:b/>
                <w:bCs/>
                <w:color w:val="1F497D" w:themeColor="text2"/>
                <w:lang w:val="en-GB"/>
              </w:rPr>
              <w:t>HAULAGE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/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/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/>
        </w:tc>
      </w:tr>
      <w:tr w:rsidR="00943EAD" w:rsidRPr="00B94292" w:rsidTr="00943EAD">
        <w:trPr>
          <w:trHeight w:val="1328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For asphalt works, issue PO to Contractors with asphalt within 60km of site. Deviation subject to TPE </w:t>
            </w:r>
            <w:r w:rsidRPr="00B94292">
              <w:rPr>
                <w:lang w:val="en-GB"/>
              </w:rPr>
              <w:lastRenderedPageBreak/>
              <w:t>approval.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lastRenderedPageBreak/>
              <w:t>6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Civil Engineering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Ok.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731EB">
            <w:r w:rsidRPr="00B94292">
              <w:t>Cannot Practically be implemented. Work order issued for location works covered entire work scope. Injection of another contractor to carry out asphalting</w:t>
            </w:r>
            <w:r w:rsidR="00B731EB">
              <w:t xml:space="preserve"> </w:t>
            </w:r>
            <w:r w:rsidR="00B731EB">
              <w:lastRenderedPageBreak/>
              <w:t>which is one component of the overall workitems will</w:t>
            </w:r>
            <w:r w:rsidRPr="00B94292">
              <w:t xml:space="preserve"> creates an insurmountable interface problems and </w:t>
            </w:r>
            <w:r w:rsidR="00B731EB">
              <w:t xml:space="preserve">result in </w:t>
            </w:r>
            <w:r w:rsidRPr="00B94292">
              <w:t xml:space="preserve">lack of ownership of overall location delivery </w:t>
            </w:r>
            <w:r w:rsidR="00B731EB">
              <w:t>on completion of the Works</w:t>
            </w:r>
          </w:p>
        </w:tc>
      </w:tr>
      <w:tr w:rsidR="00943EAD" w:rsidRPr="00B94292" w:rsidTr="00943EAD">
        <w:trPr>
          <w:trHeight w:val="868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lastRenderedPageBreak/>
              <w:t>2</w:t>
            </w: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r w:rsidRPr="00B94292">
              <w:rPr>
                <w:lang w:val="en-GB"/>
              </w:rPr>
              <w:t xml:space="preserve">Relocate a set of Dura Base Materials to </w:t>
            </w:r>
          </w:p>
          <w:p w:rsidR="003A5647" w:rsidRPr="00B94292" w:rsidRDefault="00B94292" w:rsidP="00943EAD">
            <w:r w:rsidRPr="00B94292">
              <w:rPr>
                <w:lang w:val="en-GB"/>
              </w:rPr>
              <w:t>Gbaran field and retain a set in Kidney</w:t>
            </w:r>
            <w:r w:rsidR="00943EAD">
              <w:rPr>
                <w:lang w:val="en-GB"/>
              </w:rPr>
              <w:t xml:space="preserve"> </w:t>
            </w:r>
            <w:r w:rsidRPr="00B94292">
              <w:rPr>
                <w:lang w:val="en-GB"/>
              </w:rPr>
              <w:t>Island for quick intervention and reduction of logistics cost.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5</w:t>
            </w: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</w:p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60,000</w:t>
            </w: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Civil Eng &amp;</w:t>
            </w:r>
          </w:p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Prod Asset team</w:t>
            </w: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31/08/12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B94292" w:rsidRDefault="00B94292" w:rsidP="00B94292">
            <w:r w:rsidRPr="00B94292">
              <w:rPr>
                <w:lang w:val="en-GB"/>
              </w:rPr>
              <w:t xml:space="preserve">Ok. </w:t>
            </w:r>
          </w:p>
          <w:p w:rsidR="003A5647" w:rsidRPr="00B94292" w:rsidRDefault="00B94292" w:rsidP="00B94292">
            <w:r w:rsidRPr="00B94292">
              <w:rPr>
                <w:lang w:val="en-GB"/>
              </w:rPr>
              <w:t>(10m x30m space req)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Default="00B94292" w:rsidP="00B94292"/>
          <w:p w:rsidR="00D427B9" w:rsidRPr="00D427B9" w:rsidRDefault="00D427B9" w:rsidP="00B94292">
            <w:pPr>
              <w:rPr>
                <w:color w:val="0000FF"/>
              </w:rPr>
            </w:pPr>
            <w:r w:rsidRPr="00D427B9">
              <w:rPr>
                <w:color w:val="0000FF"/>
              </w:rPr>
              <w:t>No comments</w:t>
            </w:r>
          </w:p>
        </w:tc>
      </w:tr>
      <w:tr w:rsidR="00943EAD" w:rsidRPr="00B94292" w:rsidTr="00943EAD">
        <w:trPr>
          <w:trHeight w:val="638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3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Change pricing unit for haulage of Dura base mat from “per pc” to per “standard truck”. (save f$3000 per trip)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0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120,000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Civil Engineering &amp; SCM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In repl contract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Ok  subject to opportunity in repl contract.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Pr="00D427B9" w:rsidRDefault="00D427B9" w:rsidP="00D427B9">
            <w:pPr>
              <w:rPr>
                <w:color w:val="0000FF"/>
              </w:rPr>
            </w:pPr>
            <w:r>
              <w:rPr>
                <w:color w:val="0000FF"/>
              </w:rPr>
              <w:t xml:space="preserve">Recommendation overtaken by events. </w:t>
            </w:r>
            <w:r w:rsidRPr="00D427B9">
              <w:rPr>
                <w:color w:val="0000FF"/>
              </w:rPr>
              <w:t xml:space="preserve">Commercial bids for replacement contract already received and evaluated. Award recommendation approved by MTB and forwarded to NAPIMS for consideration and </w:t>
            </w:r>
            <w:r>
              <w:rPr>
                <w:color w:val="0000FF"/>
              </w:rPr>
              <w:t>a</w:t>
            </w:r>
            <w:r w:rsidRPr="00D427B9">
              <w:rPr>
                <w:color w:val="0000FF"/>
              </w:rPr>
              <w:t>pproval</w:t>
            </w:r>
          </w:p>
        </w:tc>
      </w:tr>
      <w:tr w:rsidR="00943EAD" w:rsidRPr="00B94292" w:rsidTr="00943EAD">
        <w:trPr>
          <w:trHeight w:val="408"/>
        </w:trPr>
        <w:tc>
          <w:tcPr>
            <w:tcW w:w="60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4</w:t>
            </w:r>
          </w:p>
        </w:tc>
        <w:tc>
          <w:tcPr>
            <w:tcW w:w="2800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Use Logistics contracts for transportation of Dura base </w:t>
            </w:r>
            <w:r w:rsidRPr="00B94292">
              <w:rPr>
                <w:lang w:val="en-GB"/>
              </w:rPr>
              <w:lastRenderedPageBreak/>
              <w:t xml:space="preserve">materials. </w:t>
            </w:r>
          </w:p>
        </w:tc>
        <w:tc>
          <w:tcPr>
            <w:tcW w:w="127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lastRenderedPageBreak/>
              <w:t>0</w:t>
            </w:r>
          </w:p>
        </w:tc>
        <w:tc>
          <w:tcPr>
            <w:tcW w:w="993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250,000</w:t>
            </w:r>
          </w:p>
        </w:tc>
        <w:tc>
          <w:tcPr>
            <w:tcW w:w="113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Civil Engineeri</w:t>
            </w:r>
            <w:r w:rsidRPr="00B94292">
              <w:rPr>
                <w:lang w:val="en-GB"/>
              </w:rPr>
              <w:lastRenderedPageBreak/>
              <w:t>ng</w:t>
            </w:r>
          </w:p>
        </w:tc>
        <w:tc>
          <w:tcPr>
            <w:tcW w:w="1259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lastRenderedPageBreak/>
              <w:t>immediate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 xml:space="preserve">Ok.  Proper upfront planning  and follow-up </w:t>
            </w:r>
            <w:r w:rsidRPr="00B94292">
              <w:rPr>
                <w:lang w:val="en-GB"/>
              </w:rPr>
              <w:lastRenderedPageBreak/>
              <w:t>necessary for success.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4292" w:rsidRDefault="00B94292" w:rsidP="00B94292"/>
          <w:p w:rsidR="0007520A" w:rsidRPr="00B94292" w:rsidRDefault="0007520A" w:rsidP="00B94292">
            <w:r>
              <w:lastRenderedPageBreak/>
              <w:t>No comments</w:t>
            </w:r>
          </w:p>
        </w:tc>
      </w:tr>
      <w:tr w:rsidR="00943EAD" w:rsidRPr="00B94292" w:rsidTr="00943EAD">
        <w:trPr>
          <w:trHeight w:val="1902"/>
        </w:trPr>
        <w:tc>
          <w:tcPr>
            <w:tcW w:w="60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lastRenderedPageBreak/>
              <w:t>5</w:t>
            </w:r>
          </w:p>
        </w:tc>
        <w:tc>
          <w:tcPr>
            <w:tcW w:w="2800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Reduce long haulage distance for sand and granite</w:t>
            </w:r>
            <w:r w:rsidRPr="00B94292">
              <w:t xml:space="preserve"> </w:t>
            </w:r>
          </w:p>
        </w:tc>
        <w:tc>
          <w:tcPr>
            <w:tcW w:w="127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TBA</w:t>
            </w:r>
          </w:p>
        </w:tc>
        <w:tc>
          <w:tcPr>
            <w:tcW w:w="993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TBA</w:t>
            </w:r>
          </w:p>
        </w:tc>
        <w:tc>
          <w:tcPr>
            <w:tcW w:w="113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pPr>
              <w:jc w:val="center"/>
            </w:pPr>
            <w:r w:rsidRPr="00B94292">
              <w:rPr>
                <w:lang w:val="en-GB"/>
              </w:rPr>
              <w:t>Civil Eng</w:t>
            </w:r>
          </w:p>
        </w:tc>
        <w:tc>
          <w:tcPr>
            <w:tcW w:w="1259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TBA</w:t>
            </w:r>
            <w:r w:rsidRPr="00B94292">
              <w:t xml:space="preserve"> </w:t>
            </w:r>
          </w:p>
        </w:tc>
        <w:tc>
          <w:tcPr>
            <w:tcW w:w="2797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94292">
            <w:r w:rsidRPr="00B94292">
              <w:rPr>
                <w:lang w:val="en-GB"/>
              </w:rPr>
              <w:t>Explore option for stockpiling of sand for location prep in campaign mode.</w:t>
            </w:r>
            <w:r w:rsidRPr="00B94292">
              <w:t xml:space="preserve"> </w:t>
            </w:r>
          </w:p>
        </w:tc>
        <w:tc>
          <w:tcPr>
            <w:tcW w:w="3455" w:type="dxa"/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B94292" w:rsidRDefault="00B94292" w:rsidP="00B731EB">
            <w:r w:rsidRPr="00B94292">
              <w:t xml:space="preserve">Further studies required for Sand Dump </w:t>
            </w:r>
            <w:r w:rsidR="00B731EB">
              <w:t>ONLY</w:t>
            </w:r>
            <w:r w:rsidRPr="00B94292">
              <w:t xml:space="preserve">. But emphasis </w:t>
            </w:r>
            <w:r w:rsidR="00B731EB">
              <w:t xml:space="preserve">should be </w:t>
            </w:r>
            <w:r w:rsidRPr="00B94292">
              <w:t xml:space="preserve">on </w:t>
            </w:r>
            <w:r w:rsidR="0033327B">
              <w:t>si</w:t>
            </w:r>
            <w:r w:rsidR="00B731EB">
              <w:t>ting of a Central</w:t>
            </w:r>
            <w:r w:rsidRPr="00B94292">
              <w:t xml:space="preserve"> Dumpsite </w:t>
            </w:r>
            <w:r w:rsidR="00B731EB">
              <w:t>in a</w:t>
            </w:r>
            <w:r w:rsidRPr="00B94292">
              <w:t xml:space="preserve"> location owned by SPDC like Gbaran-CPF. Use of Company Owned Sand Dump sites at Mbiama and Yenegoa discontinued on account of high prevalent cases of un-authorized sale of Sand by Security Guards and Blockage of Sand Dumps by Communities resulting in downtime claims by Location Preparation Contractors. </w:t>
            </w:r>
          </w:p>
        </w:tc>
      </w:tr>
    </w:tbl>
    <w:p w:rsidR="00344064" w:rsidRDefault="00344064"/>
    <w:p w:rsidR="00344064" w:rsidRDefault="00344064">
      <w:r>
        <w:br w:type="page"/>
      </w:r>
    </w:p>
    <w:tbl>
      <w:tblPr>
        <w:tblW w:w="14240" w:type="dxa"/>
        <w:tblCellMar>
          <w:left w:w="0" w:type="dxa"/>
          <w:right w:w="0" w:type="dxa"/>
        </w:tblCellMar>
        <w:tblLook w:val="04A0"/>
      </w:tblPr>
      <w:tblGrid>
        <w:gridCol w:w="605"/>
        <w:gridCol w:w="3378"/>
        <w:gridCol w:w="1218"/>
        <w:gridCol w:w="1179"/>
        <w:gridCol w:w="1499"/>
        <w:gridCol w:w="1259"/>
        <w:gridCol w:w="2533"/>
        <w:gridCol w:w="2569"/>
      </w:tblGrid>
      <w:tr w:rsidR="00943EAD" w:rsidRPr="00943EAD" w:rsidTr="00417DDC">
        <w:trPr>
          <w:tblHeader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lastRenderedPageBreak/>
              <w:t>S/n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Recommendation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3EAD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Schedule</w:t>
            </w:r>
          </w:p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Reduction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Cost Savings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Action Party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Target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  <w:lang w:val="en-GB"/>
              </w:rPr>
              <w:t>Sponsor’s Comments/Steer &amp; Other remarks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1175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647" w:rsidRPr="00943EAD" w:rsidRDefault="00943EAD" w:rsidP="00943EAD">
            <w:pPr>
              <w:jc w:val="center"/>
            </w:pPr>
            <w:r w:rsidRPr="00943EAD">
              <w:rPr>
                <w:b/>
                <w:bCs/>
              </w:rPr>
              <w:t>Project Champion Comments on Recommendations of LEAN Kaizen</w:t>
            </w:r>
          </w:p>
        </w:tc>
      </w:tr>
      <w:tr w:rsidR="00943EAD" w:rsidRPr="00943EAD" w:rsidTr="00943EAD">
        <w:trPr>
          <w:trHeight w:val="431"/>
        </w:trPr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3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pPr>
              <w:rPr>
                <w:color w:val="1F497D" w:themeColor="text2"/>
              </w:rPr>
            </w:pPr>
            <w:r w:rsidRPr="00943EAD">
              <w:rPr>
                <w:b/>
                <w:bCs/>
                <w:color w:val="1F497D" w:themeColor="text2"/>
                <w:lang w:val="en-GB"/>
              </w:rPr>
              <w:t>CONSTRUCTION</w:t>
            </w:r>
            <w:r w:rsidRPr="00943EAD">
              <w:rPr>
                <w:b/>
                <w:bCs/>
                <w:color w:val="1F497D" w:themeColor="text2"/>
              </w:rPr>
              <w:t xml:space="preserve"> 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(days)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(f$)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1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Enforce Clustering as the default option in new field development. Drill from existing slots in brown fields. Deviation shall be subject to VP-Technical’s approval.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245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4,000,000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Development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Immediate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Ok. Lack of well as-built drawings showing trajectory of some existing wells may be an issue. 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2257CB">
            <w:r w:rsidRPr="00943EAD">
              <w:t xml:space="preserve">Continue working with Development in </w:t>
            </w:r>
            <w:r w:rsidR="002257CB">
              <w:t>f</w:t>
            </w:r>
            <w:r w:rsidRPr="00943EAD">
              <w:t xml:space="preserve">uture Location Selections for New Wells. Exercise was </w:t>
            </w:r>
            <w:r w:rsidR="002257CB">
              <w:t xml:space="preserve">extensively </w:t>
            </w:r>
            <w:r w:rsidRPr="00943EAD">
              <w:t>carried out in High Pressure High Temperature Surface Location Selection Exercise</w:t>
            </w:r>
            <w:r w:rsidR="002257CB">
              <w:t xml:space="preserve"> with Exploration</w:t>
            </w:r>
            <w:r w:rsidRPr="00943EAD">
              <w:t xml:space="preserve">. 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2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Reduce the well slot spacing in high pressure wells from 6m to 5m. For a 6 slot cluster, save 5m x 20m of piled cellar slab.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15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142,000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Civil Engineering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Immediate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Ok as notional.  Each cluster will need specific design. 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B731EB">
            <w:r w:rsidRPr="00943EAD">
              <w:t xml:space="preserve">Ok. Will be </w:t>
            </w:r>
            <w:r w:rsidR="00B731EB">
              <w:t>implem</w:t>
            </w:r>
            <w:r w:rsidRPr="00943EAD">
              <w:t>e</w:t>
            </w:r>
            <w:r w:rsidR="00B731EB">
              <w:t>nt</w:t>
            </w:r>
            <w:r w:rsidRPr="00943EAD">
              <w:t xml:space="preserve">ed in designs of future multi-cellar locations for Gas Wells </w:t>
            </w:r>
            <w:r w:rsidR="00B731EB">
              <w:t>with FEED Team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Use Dura Base mat in campaign mode and when location is not planned to be</w:t>
            </w:r>
            <w:r>
              <w:rPr>
                <w:lang w:val="en-GB"/>
              </w:rPr>
              <w:t xml:space="preserve"> </w:t>
            </w:r>
            <w:r w:rsidRPr="00943EAD">
              <w:rPr>
                <w:lang w:val="en-GB"/>
              </w:rPr>
              <w:t>revisited in the near future e</w:t>
            </w:r>
            <w:r>
              <w:rPr>
                <w:lang w:val="en-GB"/>
              </w:rPr>
              <w:t>.</w:t>
            </w:r>
            <w:r w:rsidRPr="00943EAD">
              <w:rPr>
                <w:lang w:val="en-GB"/>
              </w:rPr>
              <w:t>g</w:t>
            </w:r>
            <w:r>
              <w:rPr>
                <w:lang w:val="en-GB"/>
              </w:rPr>
              <w:t>.</w:t>
            </w:r>
            <w:r w:rsidRPr="00943EAD">
              <w:rPr>
                <w:lang w:val="en-GB"/>
              </w:rPr>
              <w:t xml:space="preserve"> work over location. Deviation subject to TPE approval.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34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342,000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Civil Engineering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Immediate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Ok. Explore necessity to procure additional sets of Dura base mats.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Kicked off use of Dura Base for the Apara Well Decommissioning Projects at Apara Locations 1,4,7 &amp; 9 using Land Hoist. 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lastRenderedPageBreak/>
              <w:t>4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Eliminate concrete generator slab and chemical slabs and replace with asphalt surface.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30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78,000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Civil Engineering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Immediate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Freedom/Yinka to review Tech and HSE reqts for all concrete slabs, sub-base and pavements except cellar slab. Target:03/08/12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B731EB">
            <w:r w:rsidRPr="00943EAD">
              <w:t>Does not see any Solid Ju</w:t>
            </w:r>
            <w:r w:rsidR="00B731EB">
              <w:t>stification for recommendation.</w:t>
            </w:r>
            <w:r w:rsidRPr="00943EAD">
              <w:t xml:space="preserve"> Recommend</w:t>
            </w:r>
            <w:r w:rsidR="00B731EB">
              <w:t>ation Should Rather b</w:t>
            </w:r>
            <w:r w:rsidRPr="00943EAD">
              <w:t>e for a re-design of Location Layout for Current Rigs on Hire  for purposes o</w:t>
            </w:r>
            <w:r w:rsidR="00B731EB">
              <w:t>f</w:t>
            </w:r>
            <w:r w:rsidRPr="00943EAD">
              <w:t xml:space="preserve"> dete</w:t>
            </w:r>
            <w:r w:rsidR="00B731EB">
              <w:t>r</w:t>
            </w:r>
            <w:r w:rsidRPr="00943EAD">
              <w:t>mining actual area required as Generator Slab</w:t>
            </w:r>
            <w:r w:rsidR="00B731EB">
              <w:t xml:space="preserve"> and other Location Components</w:t>
            </w:r>
            <w:r w:rsidRPr="00943EAD">
              <w:t xml:space="preserve">. Location design </w:t>
            </w:r>
            <w:r w:rsidR="00B731EB">
              <w:t xml:space="preserve">now in use </w:t>
            </w:r>
            <w:r w:rsidRPr="00943EAD">
              <w:t xml:space="preserve">was developed in 2008 and Rigs then in use are off-hire and Compact /reliable Generators </w:t>
            </w:r>
            <w:r w:rsidR="00B731EB">
              <w:t xml:space="preserve">that can result in reduced spatial dimensions </w:t>
            </w:r>
            <w:r w:rsidRPr="00943EAD">
              <w:t xml:space="preserve">were </w:t>
            </w:r>
            <w:r w:rsidR="00B731EB">
              <w:t xml:space="preserve">possibly </w:t>
            </w:r>
            <w:r w:rsidRPr="00943EAD">
              <w:t xml:space="preserve">not in market </w:t>
            </w:r>
            <w:r w:rsidR="00B731EB">
              <w:t>in 2008 w</w:t>
            </w:r>
            <w:r w:rsidRPr="00943EAD">
              <w:t>hen</w:t>
            </w:r>
            <w:r w:rsidR="00B731EB">
              <w:t xml:space="preserve"> current design was produced </w:t>
            </w:r>
            <w:r w:rsidRPr="00943EAD">
              <w:t xml:space="preserve"> 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5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Eliminate waste pit. Change current waste management approach to pitless model. 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36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88,000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Wells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Immediate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Ok subject to outcome of pilot at </w:t>
            </w:r>
            <w:r w:rsidRPr="00943EAD">
              <w:t xml:space="preserve">Koroama SPUR &amp; EPU 1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t xml:space="preserve">Ok. Accepted. Pilot being planned 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lastRenderedPageBreak/>
              <w:t>6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Eliminate crushed stone base, asphalt surface and all concrete slabs (except cellar slab) and replace  with lean concrete 125mm with BRC.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Civil Engineering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Comments same as item 4 above.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t>Does not see any Soilid justification. Current specifications were determined from proper studies carried in 1989/99 and improvements resulting current specs is as a</w:t>
            </w:r>
            <w:r w:rsidR="00417DDC">
              <w:t xml:space="preserve"> </w:t>
            </w:r>
            <w:r w:rsidRPr="00943EAD">
              <w:t xml:space="preserve">result of onsite studies. Note has been prepared to explain the Location Preparation Journey the Project Champion participated actively in </w:t>
            </w: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7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Contractor to provide spare piling hammer as a standard condition for piling work.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14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0</w:t>
            </w:r>
            <w:r w:rsidRPr="00943EAD"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Civil engineering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In repl contracts</w:t>
            </w:r>
            <w:r w:rsidRPr="00943EAD">
              <w:t xml:space="preserve">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t xml:space="preserve">Institute periodic visual  site inspection of piling equipment 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FF5308" w:rsidRDefault="00FF5308" w:rsidP="00FF5308">
            <w:pPr>
              <w:rPr>
                <w:color w:val="0000FF"/>
              </w:rPr>
            </w:pPr>
            <w:r w:rsidRPr="00FF5308">
              <w:rPr>
                <w:color w:val="0000FF"/>
              </w:rPr>
              <w:t>No comments</w:t>
            </w:r>
          </w:p>
        </w:tc>
      </w:tr>
      <w:tr w:rsidR="00943EAD" w:rsidRPr="00943EAD" w:rsidTr="00943EAD">
        <w:trPr>
          <w:trHeight w:val="421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417DDC" w:rsidRDefault="00943EAD" w:rsidP="00943EAD">
            <w:pPr>
              <w:rPr>
                <w:color w:val="1F497D" w:themeColor="text2"/>
              </w:rPr>
            </w:pPr>
            <w:r w:rsidRPr="00417DDC">
              <w:rPr>
                <w:b/>
                <w:bCs/>
                <w:color w:val="1F497D" w:themeColor="text2"/>
                <w:lang w:val="en-GB"/>
              </w:rPr>
              <w:t>OTHERS</w:t>
            </w:r>
            <w:r w:rsidRPr="00417DDC">
              <w:rPr>
                <w:b/>
                <w:bCs/>
                <w:color w:val="1F497D" w:themeColor="text2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1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Release budget early for all location in the sequence to enable early commencement</w:t>
            </w:r>
            <w:r w:rsidRPr="00943EAD"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Wells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Default="00943EAD" w:rsidP="00943EAD"/>
          <w:p w:rsidR="00FF5308" w:rsidRPr="00FF5308" w:rsidRDefault="00FF5308" w:rsidP="00943EAD">
            <w:pPr>
              <w:rPr>
                <w:color w:val="0000FF"/>
              </w:rPr>
            </w:pPr>
          </w:p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lastRenderedPageBreak/>
              <w:t>2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Improve (standardise) Rig selection strategy .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Wells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</w:tr>
      <w:tr w:rsidR="00943EAD" w:rsidRPr="00943EAD" w:rsidTr="00943EAD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3</w:t>
            </w:r>
            <w:r w:rsidRPr="00943EAD">
              <w:t xml:space="preserve"> </w:t>
            </w:r>
          </w:p>
        </w:tc>
        <w:tc>
          <w:tcPr>
            <w:tcW w:w="3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 xml:space="preserve">Stabilise drilling sequence.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647" w:rsidRPr="00943EAD" w:rsidRDefault="00943EAD" w:rsidP="00943EAD">
            <w:r w:rsidRPr="00943EAD">
              <w:rPr>
                <w:lang w:val="en-GB"/>
              </w:rPr>
              <w:t>Wells</w:t>
            </w:r>
            <w:r w:rsidRPr="00943EAD">
              <w:t xml:space="preserve"> 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3EAD" w:rsidRPr="00943EAD" w:rsidRDefault="00943EAD" w:rsidP="00943EAD"/>
        </w:tc>
      </w:tr>
    </w:tbl>
    <w:p w:rsidR="00986C4C" w:rsidRDefault="00986C4C"/>
    <w:sectPr w:rsidR="00986C4C" w:rsidSect="00B94292">
      <w:headerReference w:type="default" r:id="rId6"/>
      <w:pgSz w:w="15840" w:h="12240" w:orient="landscape"/>
      <w:pgMar w:top="1134" w:right="1098" w:bottom="993" w:left="851" w:header="56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CDA" w:rsidRDefault="000A3CDA" w:rsidP="00B94292">
      <w:pPr>
        <w:spacing w:after="0" w:line="240" w:lineRule="auto"/>
      </w:pPr>
      <w:r>
        <w:separator/>
      </w:r>
    </w:p>
  </w:endnote>
  <w:endnote w:type="continuationSeparator" w:id="0">
    <w:p w:rsidR="000A3CDA" w:rsidRDefault="000A3CDA" w:rsidP="00B9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CDA" w:rsidRDefault="000A3CDA" w:rsidP="00B94292">
      <w:pPr>
        <w:spacing w:after="0" w:line="240" w:lineRule="auto"/>
      </w:pPr>
      <w:r>
        <w:separator/>
      </w:r>
    </w:p>
  </w:footnote>
  <w:footnote w:type="continuationSeparator" w:id="0">
    <w:p w:rsidR="000A3CDA" w:rsidRDefault="000A3CDA" w:rsidP="00B9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292" w:rsidRDefault="00B94292">
    <w:pPr>
      <w:pStyle w:val="Header"/>
    </w:pPr>
    <w:r w:rsidRPr="00B94292">
      <w:rPr>
        <w:noProof/>
        <w:sz w:val="28"/>
        <w:lang w:val="en-GB" w:eastAsia="en-GB"/>
      </w:rPr>
      <w:drawing>
        <wp:inline distT="0" distB="0" distL="0" distR="0">
          <wp:extent cx="8826186" cy="307818"/>
          <wp:effectExtent l="19050" t="0" r="0" b="0"/>
          <wp:docPr id="2" name="Object 1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8604448" cy="260648"/>
                    <a:chOff x="0" y="0"/>
                    <a:chExt cx="8604448" cy="260648"/>
                  </a:xfrm>
                </a:grpSpPr>
                <a:sp>
                  <a:nvSpPr>
                    <a:cNvPr id="2" name="Title 1"/>
                    <a:cNvSpPr>
                      <a:spLocks noGrp="1"/>
                    </a:cNvSpPr>
                  </a:nvSpPr>
                  <a:spPr bwMode="auto">
                    <a:xfrm>
                      <a:off x="0" y="0"/>
                      <a:ext cx="8604448" cy="260648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36830" algn="ctr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a:spPr>
                  <a:txSp>
                    <a:txBody>
                      <a:bodyPr vert="horz" wrap="square" lIns="864000" tIns="54000" rIns="0" bIns="0" numCol="1" anchor="t" anchorCtr="0" compatLnSpc="1">
                        <a:prstTxWarp prst="textNoShape">
                          <a:avLst/>
                        </a:prstTxWarp>
                        <a:spAutoFit/>
                      </a:bodyPr>
                      <a:lstStyle>
                        <a:lvl1pPr algn="l" rtl="0" eaLnBrk="0" fontAlgn="base" hangingPunct="0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+mj-lt"/>
                            <a:ea typeface="+mj-ea"/>
                            <a:cs typeface="+mj-cs"/>
                          </a:defRPr>
                        </a:lvl1pPr>
                        <a:lvl2pPr algn="l" rtl="0" eaLnBrk="0" fontAlgn="base" hangingPunct="0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2pPr>
                        <a:lvl3pPr algn="l" rtl="0" eaLnBrk="0" fontAlgn="base" hangingPunct="0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3pPr>
                        <a:lvl4pPr algn="l" rtl="0" eaLnBrk="0" fontAlgn="base" hangingPunct="0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4pPr>
                        <a:lvl5pPr algn="l" rtl="0" eaLnBrk="0" fontAlgn="base" hangingPunct="0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5pPr>
                        <a:lvl6pPr marL="457200" algn="l" rtl="0" fontAlgn="base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6pPr>
                        <a:lvl7pPr marL="914400" algn="l" rtl="0" fontAlgn="base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7pPr>
                        <a:lvl8pPr marL="1371600" algn="l" rtl="0" fontAlgn="base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8pPr>
                        <a:lvl9pPr marL="1828800" algn="l" rtl="0" fontAlgn="base">
                          <a:spcBef>
                            <a:spcPct val="0"/>
                          </a:spcBef>
                          <a:spcAft>
                            <a:spcPct val="0"/>
                          </a:spcAft>
                          <a:defRPr sz="2400">
                            <a:solidFill>
                              <a:schemeClr val="tx2"/>
                            </a:solidFill>
                            <a:latin typeface="Futura Medium" pitchFamily="2" charset="0"/>
                          </a:defRPr>
                        </a:lvl9pPr>
                      </a:lstStyle>
                      <a:p>
                        <a:pPr algn="ctr"/>
                        <a:r>
                          <a:rPr lang="en-GB" sz="2000" b="1" dirty="0" smtClean="0"/>
                          <a:t>RECOMMENDATIONS</a:t>
                        </a:r>
                        <a:endParaRPr lang="en-US" sz="2000" dirty="0"/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4292"/>
    <w:rsid w:val="00043790"/>
    <w:rsid w:val="000568E7"/>
    <w:rsid w:val="0007520A"/>
    <w:rsid w:val="000A3CDA"/>
    <w:rsid w:val="002257CB"/>
    <w:rsid w:val="002C2426"/>
    <w:rsid w:val="002C7EE6"/>
    <w:rsid w:val="0033327B"/>
    <w:rsid w:val="00344064"/>
    <w:rsid w:val="003A5647"/>
    <w:rsid w:val="00417DDC"/>
    <w:rsid w:val="004E5026"/>
    <w:rsid w:val="00581153"/>
    <w:rsid w:val="005D31C1"/>
    <w:rsid w:val="006D139F"/>
    <w:rsid w:val="006E7423"/>
    <w:rsid w:val="00803CBA"/>
    <w:rsid w:val="0085506D"/>
    <w:rsid w:val="00907E2B"/>
    <w:rsid w:val="009146A2"/>
    <w:rsid w:val="00943EAD"/>
    <w:rsid w:val="00965626"/>
    <w:rsid w:val="0098139E"/>
    <w:rsid w:val="00986C4C"/>
    <w:rsid w:val="00A36F7A"/>
    <w:rsid w:val="00B731EB"/>
    <w:rsid w:val="00B94292"/>
    <w:rsid w:val="00BE74C3"/>
    <w:rsid w:val="00C21B0E"/>
    <w:rsid w:val="00CC4612"/>
    <w:rsid w:val="00CF612D"/>
    <w:rsid w:val="00D13F01"/>
    <w:rsid w:val="00D231E0"/>
    <w:rsid w:val="00D41041"/>
    <w:rsid w:val="00D427B9"/>
    <w:rsid w:val="00D80D6E"/>
    <w:rsid w:val="00EA0207"/>
    <w:rsid w:val="00FD331F"/>
    <w:rsid w:val="00FF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292"/>
  </w:style>
  <w:style w:type="paragraph" w:styleId="Footer">
    <w:name w:val="footer"/>
    <w:basedOn w:val="Normal"/>
    <w:link w:val="FooterChar"/>
    <w:uiPriority w:val="99"/>
    <w:semiHidden/>
    <w:unhideWhenUsed/>
    <w:rsid w:val="00B9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Joy.J.David</dc:creator>
  <cp:lastModifiedBy>C.Bisike-Ojiako</cp:lastModifiedBy>
  <cp:revision>2</cp:revision>
  <cp:lastPrinted>2012-08-30T14:01:00Z</cp:lastPrinted>
  <dcterms:created xsi:type="dcterms:W3CDTF">2012-09-14T09:40:00Z</dcterms:created>
  <dcterms:modified xsi:type="dcterms:W3CDTF">2012-09-14T09:40:00Z</dcterms:modified>
</cp:coreProperties>
</file>