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</w:pPr>
      <w:r w:rsidRPr="00F61232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</w:rPr>
        <w:t>Условия покупки билетов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Соглашение об условиях предоставления ООО «</w:t>
      </w:r>
      <w:proofErr w:type="spellStart"/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» услуги дистанционной продажи электронных билетов на культурно-массовые мероприятия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Настоящий документ «Соглашение об условиях предоставления ООО «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>» услуги дистанционной продажи электронных билетов на культурно-массовые мероприятия» (далее – «Соглашение») в соответствии со статьей 437 Гражданского кодекса РФ является публичной офертой Общества с ограниченной ответственностью «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>» (далее – «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») (115191, г. Москва, ул.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Рощинская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2-я, д. 4, пом.</w:t>
      </w:r>
      <w:proofErr w:type="gram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I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, ком 15 </w:t>
      </w: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в.,</w:t>
      </w:r>
      <w:proofErr w:type="gram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ОГРН 1117746033723), (действующего при продаже билетов на основании договоров с кинотеатрами и иными партнерами), адресованной физическим лицам (далее – «Клиентам») заключить Соглашение на изложенных ниже условиях.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Совершая действия по заказу/покупке/оплате билета на культурно-массовое мероприятие с использованием функционала сайта </w:t>
      </w:r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www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kinohod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ru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(далее – Сайт), (включая случаи приобретения билетов с использованием функционала Сайта, но с осуществлением перехода на Сайт через любые иные сайты или площадки), Клиент тем самым полностью и безоговорочно принимает и обязуется неукоснительно соблюдать все условия настоящего Соглашения. </w:t>
      </w:r>
      <w:proofErr w:type="gramEnd"/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1. Термины и определения, применяемые в соглашении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«Сеанс»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– время посещения мероприятий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(кинотеатры, катки, зоопарки и т.п.).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proofErr w:type="gramStart"/>
      <w:r w:rsidRPr="00F61232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«Билет на Сеанс»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– документ, выполненный на бланке строгой отчетности, предоставляющий право Клиенту на посещение мероприятий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в определенные дату и время.</w:t>
      </w:r>
      <w:proofErr w:type="gramEnd"/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F61232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«Электронный билет»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– носитель информации в цифровой форме, подтверждающий приобретение Клиентом Билетов на Сеанс, дате и времени Сеанса, который предоставляется Клиенту Системой электронной продажи по факту оплаты Билетов на Сеанс с использованием Системы оплаты, подлежащий обмену на Билет на Сеанс. Электронный билет не является бланком строгой отчетности.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F61232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«Клиент»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– дееспособное физическое лицо, достигшее возраста, необходимого в соответствии с законодательством Российской Федерации для совершения указанных в настоящем Соглашении сделок, и осуществляющее приобретение Электронных билетов с использованием Системы электронной продажи.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F61232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«Система электронной продажи»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– программно-аппаратный комплекс, предоставляющий Клиентам возможность выбирать Билеты на Сеанс для их дальнейшей оплаты через Систему оплаты.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F61232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«Личная информация»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– данные Клиента, вводимые им на платежной странице в целях приобретения Электронного билета.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2. Для приобретения Билета на Сеанс с использованием Системы электронной продажи Клиент совершает следующие действия: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lastRenderedPageBreak/>
        <w:t>a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>. выбирает интересующее его мероприятие на Сайте, а также дату и время Сеанса;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b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>. вводит на Платежной странице запрашиваемую Личную информацию и подтверждает приобретение Билета на Сеанс нажатием на кнопку «Оплатить»;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</w:r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c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принимает подтверждение оплаты – номер Электронного билета, который высылается на электронный адрес или номер мобильного телефона, указанный Клиентом на Платежной странице Сайта.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Цена Билета на Сеанс указана на Сайте и включает в себя сервисный сбор, взимаемый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Кинопорталом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с Клиентов за пользование Системой электронной продажи, системой оплаты и иными услугами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и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3. </w:t>
      </w:r>
      <w:proofErr w:type="spellStart"/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 не несет ответственности </w:t>
      </w:r>
      <w:proofErr w:type="gramStart"/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за</w:t>
      </w:r>
      <w:proofErr w:type="gramEnd"/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: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3.1. Временные сбои и перерывы в работе Системы электронной продажи и вызванные ими потери информации, а также сохранность информации, правильность и своевременность ее передачи и доставки.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3.2. Надежность, качество и скорость работы Системы электронной продажи (а также сервисов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) и за сохранность создаваемой, используемой и получаемой Клиентами информации.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3.3. </w:t>
      </w: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Сбои, возникающие в сетях электросвязи и/или энергетических сетях, действие вредоносных программ, а также недобросовестные действия лиц, направленные на несанкционированный доступ и/или выведение из строя программного и/или аппаратного комплекса, повлекших за собой сбои Системы электронной продажи (сервисов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) или незаконный доступ, удаление или модификацию информации, хранящейся в рамках Системы электронной продажи (сервисов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). </w:t>
      </w:r>
      <w:proofErr w:type="gramEnd"/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3.4. Надежность, качество и скорость работы каналов связи, принадлежащих третьим лицам.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3.5. Действия третьих лиц, участвующих в расчетах при оплате Билетов на Сеанс, а равно за действия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, непосредственно оказывающих услуги Клиентам.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3.6. Правильность функционирования программного и/или аппаратного обеспечения, созданного третьими лицами и используемого при работе с Системой электронной продажи (сервисами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).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3.7. Правильность введения данных Клиентом и правильность осуществления транзакций между участниками расчетов (банками, операторами сотовой связи, платежными агентами и т.д.).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4. Возврат билетов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4.1. В случае если Клиент произвел оплату (произошло списание денег), но не получил подтверждения о том, что Билет на Сеанс оплачен (сообщением с указанием номера Электронного билета),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возвращает Клиенту оплаченную им стоимость Билета на Сеанс.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4.2. В случае если Клиент произвел оплату Билета на Сеанс и продажа (изменение статуса брони) прошла успешно, но Клиент отказался от Билета на Сеанс по собственной инициативе и уведомил об этом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не менее чем за 30 (тридцать) минут до начала Сеанса,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осуществляет возврат Клиенту оплаченной стоимости Билета на Сеанс. При этом если Клиент осуществил обмен Электронного билета на Билет на сеанс в кассе партнера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, то возврат уплаченных Клиентом денежных средств осуществляется только после оформления Клиентом письменного заявления на возврат Билетов на сеанс в кассе соответствующего партнера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4.3. </w:t>
      </w: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Возврат денежных средств Клиенту осуществляется в размере стоимости оплаченного Билета на Сеанс, за вычетом фактически понесенных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Кинопорталом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расходов (в соответствии со статьей 32 Федерального закона РФ «О защите прав потребителей в РФ» и части 1 статьи 782 Гражданского кодекса РФ) на счет Клиента в соответствии с выбранным способом оплаты Билета на Сеанс в течение 20 (двадцати) банковских дней с момента</w:t>
      </w:r>
      <w:proofErr w:type="gram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оформления возврата Билета на Сеанс в соответствии с п.4.2.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4.4. В случае если Клиент отказывается от Билета на Сеанс менее чем за 30 (тридцать) минут до начала Сеанса, вопрос возврата денежных средств решается Клиентом в кассе соответствующего партнера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При этом Клиенту необходимо оформить письменное заявление на возврат денежных средств, которое рассматривается партнером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>4.5. Возврат Билетов на Сеанс в сети кинотеатров «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Синема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Парк» осуществляется Клиентом в кассе/администрации соответствующего кинотеатра сети «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Синема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Парк» до начала сеанса. При этом Клиенту необходимо оформить письменное заявление на возврат денежных средств.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4.6. Возврат полной стоимости Билетов на Сеанс в сети кинотеатров «Формула Кино» возможен не позднее 60 минут до начала сеанса, если билеты не были распечатаны в кассе или терминале. 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br/>
        <w:t xml:space="preserve">Если билеты были распечатаны или до начала сеанса осталось менее 60 минут, возврат осуществляется через кассу кинотеатра с удержанием частичной стоимости заказа.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F61232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5. Заключительные положения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5.1. Принимая условия настоящего Соглашения, Клиент соглашается с получением в дальнейшем от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информации о новых услугах, новых доступных способах оплаты и др. При этом согласие Клиента на получение информационных рассылок в соответствии с настоящим пунктом будет действовать бессрочно, до тех </w:t>
      </w: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пор</w:t>
      </w:r>
      <w:proofErr w:type="gram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пока Клиент не отзовет свое согласие путем направления письменного уведомления в адрес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5.2. Принимая условия настоящего Соглашения, Клиент дает согласие на обработку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Кинопорталом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своих персональных данных, предоставленных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Кинопорталу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при заполнении платежной страницы, в объеме и способами, необходимыми для исполнения условий настоящего Соглашения, в том числе, передачу персональных данных третьим лицам, в том числе, </w:t>
      </w:r>
      <w:proofErr w:type="gram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но</w:t>
      </w:r>
      <w:proofErr w:type="gram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не ограничиваясь Закрытому акционерному обществу «Национальная Сервисная Компания» (ОГРН 1107746687641) и ОАО «Сбербанк России»), в соответствии с требованиями законодательства о персональных данных.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5.3. Принимая условия настоящего Соглашения, Клиент соглашается с тем, что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вправе в любое время в одностороннем порядке внести изменения/дополнения в текст настоящего Соглашения без уведомления Клиента. С актуальной версией настоящего Соглашения Клиент может ознакомиться в любое время на сайте </w:t>
      </w:r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www</w:t>
      </w:r>
      <w:r w:rsidRPr="00F61232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kinohod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>.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val="en" w:eastAsia="ru-RU"/>
        </w:rPr>
        <w:t>ru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5.4. Принимая условия настоящего Соглашения, Клиент соглашается с тем, что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, а также участники расчетов вправе взимать дополнительную комиссию за свои услуги, размер которой в обязательном порядке доводится до сведения Клиента при заказе/покупке/оплате последним Билета на Сеанс.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5.5. Принимая условия настоящего Соглашения, Клиент подтверждает, что он является дееспособным и достиг возраста, необходимого в соответствии с законодательством Российской Федерации для совершения сделки по приобретению Билетов на Сеанс. </w:t>
      </w:r>
    </w:p>
    <w:p w:rsidR="00F61232" w:rsidRPr="00F61232" w:rsidRDefault="00F61232" w:rsidP="00F61232">
      <w:p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5.6. Принимая условия настоящего Соглашения, Клиент также соглашается с условиями партнеров </w:t>
      </w:r>
      <w:proofErr w:type="spellStart"/>
      <w:r w:rsidRPr="00F61232">
        <w:rPr>
          <w:rFonts w:ascii="Arial" w:eastAsia="Times New Roman" w:hAnsi="Arial" w:cs="Arial"/>
          <w:sz w:val="21"/>
          <w:szCs w:val="21"/>
          <w:lang w:eastAsia="ru-RU"/>
        </w:rPr>
        <w:t>Кинопортала</w:t>
      </w:r>
      <w:proofErr w:type="spellEnd"/>
      <w:r w:rsidRPr="00F61232">
        <w:rPr>
          <w:rFonts w:ascii="Arial" w:eastAsia="Times New Roman" w:hAnsi="Arial" w:cs="Arial"/>
          <w:sz w:val="21"/>
          <w:szCs w:val="21"/>
          <w:lang w:eastAsia="ru-RU"/>
        </w:rPr>
        <w:t xml:space="preserve"> по оплате Билетов на Сеанс – ОАО «Сбербанк России» (при оплате банковскими картами), ЗАО «Национальная Сервисная Компания» (при оплате со счета мобильного телефона), изложенными на сайтах указанных партнеров. </w:t>
      </w:r>
    </w:p>
    <w:p w:rsidR="00F61232" w:rsidRPr="00F61232" w:rsidRDefault="00F61232" w:rsidP="00F612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61232">
        <w:rPr>
          <w:rFonts w:ascii="Arial" w:eastAsia="Times New Roman" w:hAnsi="Arial" w:cs="Arial"/>
          <w:vanish/>
          <w:sz w:val="16"/>
          <w:szCs w:val="16"/>
          <w:lang w:eastAsia="ru-RU"/>
        </w:rPr>
        <w:lastRenderedPageBreak/>
        <w:t>Начало формы</w:t>
      </w:r>
    </w:p>
    <w:p w:rsidR="00372D58" w:rsidRDefault="00372D58">
      <w:bookmarkStart w:id="0" w:name="_GoBack"/>
      <w:bookmarkEnd w:id="0"/>
    </w:p>
    <w:sectPr w:rsidR="0037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32"/>
    <w:rsid w:val="00372D58"/>
    <w:rsid w:val="00F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1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1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2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12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61232"/>
    <w:rPr>
      <w:b/>
      <w:bCs/>
    </w:rPr>
  </w:style>
  <w:style w:type="paragraph" w:styleId="a4">
    <w:name w:val="Normal (Web)"/>
    <w:basedOn w:val="a"/>
    <w:uiPriority w:val="99"/>
    <w:semiHidden/>
    <w:unhideWhenUsed/>
    <w:rsid w:val="00F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612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6123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612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6123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pperlinelink-separator1">
    <w:name w:val="upper_line__link-separator1"/>
    <w:basedOn w:val="a0"/>
    <w:rsid w:val="00F61232"/>
    <w:rPr>
      <w:color w:val="5984E3"/>
    </w:rPr>
  </w:style>
  <w:style w:type="paragraph" w:styleId="a5">
    <w:name w:val="Balloon Text"/>
    <w:basedOn w:val="a"/>
    <w:link w:val="a6"/>
    <w:uiPriority w:val="99"/>
    <w:semiHidden/>
    <w:unhideWhenUsed/>
    <w:rsid w:val="00F6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1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1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1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12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12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F61232"/>
    <w:rPr>
      <w:b/>
      <w:bCs/>
    </w:rPr>
  </w:style>
  <w:style w:type="paragraph" w:styleId="a4">
    <w:name w:val="Normal (Web)"/>
    <w:basedOn w:val="a"/>
    <w:uiPriority w:val="99"/>
    <w:semiHidden/>
    <w:unhideWhenUsed/>
    <w:rsid w:val="00F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612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6123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612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6123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pperlinelink-separator1">
    <w:name w:val="upper_line__link-separator1"/>
    <w:basedOn w:val="a0"/>
    <w:rsid w:val="00F61232"/>
    <w:rPr>
      <w:color w:val="5984E3"/>
    </w:rPr>
  </w:style>
  <w:style w:type="paragraph" w:styleId="a5">
    <w:name w:val="Balloon Text"/>
    <w:basedOn w:val="a"/>
    <w:link w:val="a6"/>
    <w:uiPriority w:val="99"/>
    <w:semiHidden/>
    <w:unhideWhenUsed/>
    <w:rsid w:val="00F61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1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7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Белозерова Татьяна Викторовна</dc:creator>
  <cp:lastModifiedBy>Белозерова Татьяна Викторовна</cp:lastModifiedBy>
  <cp:revision>1</cp:revision>
  <dcterms:created xsi:type="dcterms:W3CDTF">2014-07-17T12:15:00Z</dcterms:created>
  <dcterms:modified xsi:type="dcterms:W3CDTF">2014-07-17T12:16:00Z</dcterms:modified>
</cp:coreProperties>
</file>