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bookmarkStart w:id="0" w:name="_GoBack"/>
      <w:bookmarkEnd w:id="0"/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383E5D75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Andrew Dowsey</w:t>
      </w:r>
      <w:r w:rsidR="002A49E1" w:rsidRPr="00574BBA">
        <w:rPr>
          <w:vertAlign w:val="superscript"/>
        </w:rPr>
        <w:t>1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 xml:space="preserve">producing animals in the UK. There is an emerging necessity for interchange of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r w:rsidR="00315C95">
        <w:t>A</w:t>
      </w:r>
      <w:r w:rsidR="00023960">
        <w:t xml:space="preserve"> number of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4F6A3A01" w:rsidR="003444FC" w:rsidRDefault="003444FC" w:rsidP="003444FC">
      <w:r w:rsidRPr="003444FC">
        <w:lastRenderedPageBreak/>
        <w:t>The two events for which data are required to be recorded by the regulations are the administration of a licensed veterinary medicine to a food-producing animal (either by a veterinary surgeon or by other personnel on the holding) and the purchase/acquisition of a veterinary medicine for the purposes of administration to a food-producing animal.</w:t>
      </w:r>
      <w:r>
        <w:t xml:space="preserve"> The proposed </w:t>
      </w:r>
      <w:r w:rsidR="006E7AA2">
        <w:t>standards</w:t>
      </w:r>
      <w:r>
        <w:t xml:space="preserve"> cover the attributes of these two 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42BFB675" w:rsidR="003B31F7" w:rsidRDefault="008F3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F6A24A1" w14:textId="1C44435A" w:rsidR="00D53893" w:rsidRDefault="00D53893" w:rsidP="00D53893">
      <w:pPr>
        <w:pStyle w:val="Heading1"/>
      </w:pPr>
      <w:r>
        <w:t>Message Specifications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34AECB13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one or more 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Pr="006754C9">
        <w:t xml:space="preserve">. Where only aggregate course-level information is recorded, these attributes may be encoded as a singular </w:t>
      </w:r>
      <w:r w:rsidR="000C7197">
        <w:t>D</w:t>
      </w:r>
      <w:commentRangeStart w:id="1"/>
      <w:commentRangeEnd w:id="1"/>
      <w:r w:rsidRPr="006754C9">
        <w:t xml:space="preserve">ose </w:t>
      </w:r>
      <w:r w:rsidR="00C0634B">
        <w:t>M</w:t>
      </w:r>
      <w:r w:rsidRPr="006754C9">
        <w:t xml:space="preserve">essage within the </w:t>
      </w:r>
      <w:r w:rsidR="000C7197">
        <w:t>C</w:t>
      </w:r>
      <w:commentRangeStart w:id="2"/>
      <w:commentRangeEnd w:id="2"/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single-dose "course" records in 4</w:t>
      </w:r>
      <w:r w:rsidR="00444786">
        <w:t>.</w:t>
      </w:r>
      <w:r w:rsidR="00C0634B">
        <w:t>,</w:t>
      </w:r>
      <w:r w:rsidRPr="006754C9">
        <w:t xml:space="preserve"> but this inference is left to the 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32964359" w14:textId="78AB1F29" w:rsidR="00165D33" w:rsidRDefault="00165D33" w:rsidP="00165D33">
      <w:pPr>
        <w:pStyle w:val="Heading2"/>
      </w:pPr>
      <w:r>
        <w:lastRenderedPageBreak/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maintained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3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3"/>
          <w:r w:rsidR="00A11861">
            <w:rPr>
              <w:rStyle w:val="CommentReference"/>
            </w:rPr>
            <w:commentReference w:id="3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73623CCE" w14:textId="77777777" w:rsidR="00A33F29" w:rsidRDefault="00A33F29" w:rsidP="007D42B4"/>
    <w:p w14:paraId="146E4F1A" w14:textId="1AC3ACEA" w:rsidR="00A33F29" w:rsidRDefault="00A33F29" w:rsidP="007D42B4">
      <w:pPr>
        <w:sectPr w:rsidR="00A33F29" w:rsidSect="00574BB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B516774" w14:textId="41527C10" w:rsidR="00A82C18" w:rsidRDefault="00A82C18" w:rsidP="007D42B4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54113D" w:rsidRPr="007514CB" w14:paraId="22504C61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9C04F6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31B40D86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637789FF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7BF5DDF0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54113D" w:rsidRPr="007514CB" w14:paraId="5C035DB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D8EF96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7101FDC3" w14:textId="0D983E3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381211143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7471280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3419C766" w14:textId="215D707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 w:rsidR="00891FF7"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54113D" w:rsidRPr="007514CB" w14:paraId="519A6A37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82ED7C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08198E4C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57749D4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2FC271F4" w14:textId="6B6490C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 w:rsidR="00A40FF5"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 w:rsidR="007F7B48">
              <w:rPr>
                <w:rFonts w:ascii="Calibri" w:eastAsia="Times New Roman" w:hAnsi="Calibri" w:cs="Calibri"/>
                <w:color w:val="000000"/>
              </w:rPr>
              <w:t xml:space="preserve">. Alternatively, </w:t>
            </w:r>
            <w:r w:rsidR="0056500B">
              <w:rPr>
                <w:rFonts w:ascii="Calibri" w:eastAsia="Times New Roman" w:hAnsi="Calibri" w:cs="Calibri"/>
                <w:color w:val="000000"/>
              </w:rPr>
              <w:t xml:space="preserve">location attribute of icarEventCoreResource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933552816"/>
                <w:citation/>
              </w:sdtPr>
              <w:sdtEndPr/>
              <w:sdtContent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514419"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0A764D"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54113D" w:rsidRPr="007514CB" w14:paraId="3B00A370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E9B23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3F67F4CD" w14:textId="3DDB01A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4836394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227351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52D6ECF" w14:textId="49F363CC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213701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54113D" w:rsidRPr="007514CB" w14:paraId="37EF833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28AC7EC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4124601B" w14:textId="51ED886C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3038340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2B87CE91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140C539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54113D" w:rsidRPr="007514CB" w14:paraId="7BEAB38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A890FF8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77369221" w14:textId="380E6B0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04576477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390F1B4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6A9547A7" w14:textId="18B0C28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54113D" w:rsidRPr="007514CB" w14:paraId="343FC56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5F5FE0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  <w:hideMark/>
          </w:tcPr>
          <w:p w14:paraId="79207251" w14:textId="26685A2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98909116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6CCE8AC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AAEF02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54113D" w:rsidRPr="007514CB" w14:paraId="3D3DD299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D8429CE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  <w:hideMark/>
          </w:tcPr>
          <w:p w14:paraId="22447837" w14:textId="09F02B46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87357492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37C4882F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9A94161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54113D" w:rsidRPr="007514CB" w14:paraId="0EF01350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7C4FF7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2B884CF2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26FCB0EA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71BC20C" w14:textId="56C51826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7514CB">
              <w:rPr>
                <w:rFonts w:ascii="Calibri" w:eastAsia="Times New Roman" w:hAnsi="Calibri" w:cs="Calibri"/>
                <w:color w:val="000000"/>
              </w:rPr>
              <w:t>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text in lieu of agreed standardised list </w:t>
            </w:r>
          </w:p>
        </w:tc>
      </w:tr>
      <w:tr w:rsidR="0054113D" w:rsidRPr="007514CB" w14:paraId="3A444463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21AC72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5E156B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0C8D1B8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32269DE" w14:textId="623C441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 w:rsidR="002E5B48"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 w:rsidR="00943F45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 w:rsidR="00C565AC"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 w:rsidR="00C565AC"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54113D" w:rsidRPr="007514CB" w14:paraId="70DF5EAD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68006287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71D0C9B4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1D6F779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EE0CB2D" w14:textId="66FC570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 w:rsidR="005862B5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54113D" w:rsidRPr="007514CB" w14:paraId="2151AF92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4440112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68DFCEC6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Dose[]</w:t>
            </w:r>
          </w:p>
        </w:tc>
        <w:tc>
          <w:tcPr>
            <w:tcW w:w="1158" w:type="dxa"/>
            <w:noWrap/>
            <w:hideMark/>
          </w:tcPr>
          <w:p w14:paraId="6D0C838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141FC192" w14:textId="225F5233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113D" w:rsidRPr="007514CB" w14:paraId="05AF70B8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5C929F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59" w:type="dxa"/>
            <w:noWrap/>
            <w:hideMark/>
          </w:tcPr>
          <w:p w14:paraId="215CA05C" w14:textId="2EED684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6261673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)[]</w:t>
            </w:r>
          </w:p>
        </w:tc>
        <w:tc>
          <w:tcPr>
            <w:tcW w:w="1158" w:type="dxa"/>
            <w:noWrap/>
            <w:hideMark/>
          </w:tcPr>
          <w:p w14:paraId="7980ADE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  <w:hideMark/>
          </w:tcPr>
          <w:p w14:paraId="589C77DE" w14:textId="36F236A4" w:rsidR="0054113D" w:rsidRPr="007514CB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 w:rsidR="00A6555E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tbl>
      <w:tblPr>
        <w:tblStyle w:val="PlainTable1"/>
        <w:tblpPr w:leftFromText="180" w:rightFromText="180" w:vertAnchor="text" w:horzAnchor="margin" w:tblpY="7555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54113D" w14:paraId="7AC50A49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DB1CBE3" w14:textId="77777777" w:rsidR="0054113D" w:rsidRPr="001B4B5C" w:rsidRDefault="0054113D" w:rsidP="0054113D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38E7A1CD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29370340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3E84768E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54113D" w14:paraId="6DE51871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289784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54498CAD" w14:textId="5FB602A9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449897955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24A6AE1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2970F7F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54113D" w14:paraId="611E823A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08E787DD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3553D079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B718BB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E0A02E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</w:t>
            </w:r>
            <w:r w:rsidR="000A764D">
              <w:rPr>
                <w:rFonts w:ascii="Calibri" w:hAnsi="Calibri" w:cs="Calibri"/>
                <w:color w:val="000000"/>
              </w:rPr>
              <w:t>. Consideration should be given to data protection implications.</w:t>
            </w:r>
          </w:p>
        </w:tc>
      </w:tr>
      <w:tr w:rsidR="0054113D" w14:paraId="4A5EE65D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A76E653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OperatorRole</w:t>
            </w:r>
          </w:p>
        </w:tc>
        <w:tc>
          <w:tcPr>
            <w:tcW w:w="3070" w:type="dxa"/>
            <w:noWrap/>
            <w:hideMark/>
          </w:tcPr>
          <w:p w14:paraId="6E6EF6A2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31F8A80D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2B53D6A9" w14:textId="5BE8372A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</w:t>
            </w:r>
            <w:r w:rsidR="006E6D6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vet</w:t>
            </w:r>
            <w:r w:rsidR="006E6D60">
              <w:rPr>
                <w:rFonts w:ascii="Calibri" w:hAnsi="Calibri" w:cs="Calibri"/>
                <w:color w:val="000000"/>
              </w:rPr>
              <w:t>erinary surgeon,</w:t>
            </w:r>
            <w:r>
              <w:rPr>
                <w:rFonts w:ascii="Calibri" w:hAnsi="Calibri" w:cs="Calibri"/>
                <w:color w:val="000000"/>
              </w:rPr>
              <w:t xml:space="preserve"> etc.</w:t>
            </w:r>
          </w:p>
        </w:tc>
      </w:tr>
      <w:tr w:rsidR="0054113D" w14:paraId="28CFAE81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5B856E0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BE9A816" w14:textId="7DD12085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(string, 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-1837293517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4DE25697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F20CFC5" w14:textId="77777777" w:rsidR="0054113D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</w:tbl>
    <w:p w14:paraId="79CDFA6A" w14:textId="0145F0CE" w:rsidR="00AF7507" w:rsidRDefault="000A5941" w:rsidP="00A33F29">
      <w:pPr>
        <w:pStyle w:val="Heading2"/>
        <w:tabs>
          <w:tab w:val="left" w:pos="3342"/>
        </w:tabs>
      </w:pPr>
      <w:r>
        <w:t>Message Definition</w:t>
      </w:r>
      <w:r w:rsidR="0054113D">
        <w:t>s</w:t>
      </w:r>
    </w:p>
    <w:p w14:paraId="773E6A24" w14:textId="1A734672" w:rsidR="00E06F2E" w:rsidRPr="00E06F2E" w:rsidRDefault="00E06F2E" w:rsidP="00E06F2E">
      <w:r>
        <w:t xml:space="preserve">Table 1: </w:t>
      </w:r>
      <w:r w:rsidR="00A63B70">
        <w:t>Administered Treatment Course Message</w:t>
      </w:r>
    </w:p>
    <w:p w14:paraId="75890C97" w14:textId="054819F4" w:rsidR="00E06F2E" w:rsidRPr="00E06F2E" w:rsidRDefault="00A63B70" w:rsidP="00E06F2E">
      <w:r>
        <w:t>Table 2: Administered Treatment Dose Message</w:t>
      </w:r>
    </w:p>
    <w:p w14:paraId="2AC4A120" w14:textId="77777777" w:rsidR="00E06F2E" w:rsidRPr="00E06F2E" w:rsidRDefault="00E06F2E" w:rsidP="00E06F2E"/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50FBB07E" w:rsidR="00B8787D" w:rsidRDefault="000626A4" w:rsidP="00F33CBE">
      <w:r w:rsidRPr="00252B6E">
        <w:t xml:space="preserve">Table 3: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"RPA"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4BEC043C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76FBCDBE" w:rsidR="00265111" w:rsidRDefault="00733B26" w:rsidP="00F33CBE">
      <w:r>
        <w:t xml:space="preserve">Table 4: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Number/VMNo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3510F992" w14:textId="2005F9F9" w:rsidR="00634A0F" w:rsidRPr="00252B6E" w:rsidRDefault="00A60AE0" w:rsidP="00F33CBE">
      <w:r>
        <w:t>Table 4: Medicine Identification Message</w:t>
      </w:r>
    </w:p>
    <w:p w14:paraId="549A5F41" w14:textId="0FA03537" w:rsidR="00BB3107" w:rsidRPr="00252B6E" w:rsidRDefault="00BB3107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A571E0" w14:textId="77034C7D" w:rsidR="003E3FFC" w:rsidRPr="00252B6E" w:rsidRDefault="003E3FFC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E3FFC" w:rsidRPr="00252B6E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3432CF7" w14:textId="7F8CDA73" w:rsidR="00D53893" w:rsidRDefault="00D53893" w:rsidP="00D53893">
      <w:pPr>
        <w:pStyle w:val="Heading1"/>
      </w:pPr>
      <w:r>
        <w:t>Out of Scope Elements</w:t>
      </w:r>
    </w:p>
    <w:p w14:paraId="10D0BEB1" w14:textId="36343CC8" w:rsidR="003A2E2F" w:rsidRDefault="00323F8D" w:rsidP="00641D6D">
      <w:r>
        <w:t xml:space="preserve">A number of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C164" w14:textId="77777777" w:rsidR="002C35FC" w:rsidRDefault="002C35FC" w:rsidP="0008402E">
      <w:pPr>
        <w:spacing w:after="0" w:line="240" w:lineRule="auto"/>
      </w:pPr>
      <w:r>
        <w:separator/>
      </w:r>
    </w:p>
  </w:endnote>
  <w:endnote w:type="continuationSeparator" w:id="0">
    <w:p w14:paraId="55F2C65B" w14:textId="77777777" w:rsidR="002C35FC" w:rsidRDefault="002C35FC" w:rsidP="0008402E">
      <w:pPr>
        <w:spacing w:after="0" w:line="240" w:lineRule="auto"/>
      </w:pPr>
      <w:r>
        <w:continuationSeparator/>
      </w:r>
    </w:p>
  </w:endnote>
  <w:endnote w:type="continuationNotice" w:id="1">
    <w:p w14:paraId="55B99770" w14:textId="77777777" w:rsidR="002C35FC" w:rsidRDefault="002C3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Em61whYDAAA+BgAADgAAAAAAAAAAAAAAAAAuAgAA&#10;ZHJzL2Uyb0RvYy54bWxQSwECLQAUAAYACAAAACEAWyLFIdsAAAAFAQAADwAAAAAAAAAAAAAAAABw&#10;BQAAZHJzL2Rvd25yZXYueG1sUEsFBgAAAAAEAAQA8wAAAHgGAAAAAA=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LdcbEEaAwAARw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E1F4" w14:textId="77777777" w:rsidR="002C35FC" w:rsidRDefault="002C35FC" w:rsidP="0008402E">
      <w:pPr>
        <w:spacing w:after="0" w:line="240" w:lineRule="auto"/>
      </w:pPr>
      <w:r>
        <w:separator/>
      </w:r>
    </w:p>
  </w:footnote>
  <w:footnote w:type="continuationSeparator" w:id="0">
    <w:p w14:paraId="77DC7E08" w14:textId="77777777" w:rsidR="002C35FC" w:rsidRDefault="002C35FC" w:rsidP="0008402E">
      <w:pPr>
        <w:spacing w:after="0" w:line="240" w:lineRule="auto"/>
      </w:pPr>
      <w:r>
        <w:continuationSeparator/>
      </w:r>
    </w:p>
  </w:footnote>
  <w:footnote w:type="continuationNotice" w:id="1">
    <w:p w14:paraId="71805DE2" w14:textId="77777777" w:rsidR="002C35FC" w:rsidRDefault="002C3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oke, Andrew">
    <w15:presenceInfo w15:providerId="AD" w15:userId="S::andrew.cooke@rezare.com::c44cbf06-ac26-445f-bd77-1bd790812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80E7C"/>
    <w:rsid w:val="0008402E"/>
    <w:rsid w:val="000A2344"/>
    <w:rsid w:val="000A5941"/>
    <w:rsid w:val="000A764D"/>
    <w:rsid w:val="000C0930"/>
    <w:rsid w:val="000C36E9"/>
    <w:rsid w:val="000C5682"/>
    <w:rsid w:val="000C7197"/>
    <w:rsid w:val="000D18A2"/>
    <w:rsid w:val="000E5B88"/>
    <w:rsid w:val="000F36D2"/>
    <w:rsid w:val="000F3ECA"/>
    <w:rsid w:val="000F5AA4"/>
    <w:rsid w:val="001035B6"/>
    <w:rsid w:val="001322F7"/>
    <w:rsid w:val="0014734D"/>
    <w:rsid w:val="001529DA"/>
    <w:rsid w:val="001538E0"/>
    <w:rsid w:val="00165D33"/>
    <w:rsid w:val="00172FE0"/>
    <w:rsid w:val="00177658"/>
    <w:rsid w:val="0019323C"/>
    <w:rsid w:val="001A7CAC"/>
    <w:rsid w:val="001B4B5C"/>
    <w:rsid w:val="001B67DA"/>
    <w:rsid w:val="001E5EBB"/>
    <w:rsid w:val="00202598"/>
    <w:rsid w:val="00202C58"/>
    <w:rsid w:val="00210DA8"/>
    <w:rsid w:val="0021273A"/>
    <w:rsid w:val="00226B84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A3E81"/>
    <w:rsid w:val="002A49E1"/>
    <w:rsid w:val="002A67B9"/>
    <w:rsid w:val="002B16A5"/>
    <w:rsid w:val="002C35FC"/>
    <w:rsid w:val="002E5B48"/>
    <w:rsid w:val="002F2526"/>
    <w:rsid w:val="002F2CB5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A12FF"/>
    <w:rsid w:val="003A2E2F"/>
    <w:rsid w:val="003A7BF2"/>
    <w:rsid w:val="003B0903"/>
    <w:rsid w:val="003B1152"/>
    <w:rsid w:val="003B31F7"/>
    <w:rsid w:val="003C5B42"/>
    <w:rsid w:val="003D53F3"/>
    <w:rsid w:val="003D789A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E7150"/>
    <w:rsid w:val="00504717"/>
    <w:rsid w:val="00514419"/>
    <w:rsid w:val="00514FE1"/>
    <w:rsid w:val="00526C4B"/>
    <w:rsid w:val="005270C5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450A"/>
    <w:rsid w:val="0059510E"/>
    <w:rsid w:val="005A7F6A"/>
    <w:rsid w:val="005B0B8F"/>
    <w:rsid w:val="005C0875"/>
    <w:rsid w:val="005C20B9"/>
    <w:rsid w:val="005D3D9E"/>
    <w:rsid w:val="005F44F5"/>
    <w:rsid w:val="00620EB0"/>
    <w:rsid w:val="00634A0F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E4107"/>
    <w:rsid w:val="006E6D60"/>
    <w:rsid w:val="006E7AA2"/>
    <w:rsid w:val="006F5AE3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76A5"/>
    <w:rsid w:val="007920BD"/>
    <w:rsid w:val="007A1031"/>
    <w:rsid w:val="007A2BF1"/>
    <w:rsid w:val="007A61FC"/>
    <w:rsid w:val="007A68DB"/>
    <w:rsid w:val="007B169C"/>
    <w:rsid w:val="007B26B0"/>
    <w:rsid w:val="007C26FF"/>
    <w:rsid w:val="007C7CC0"/>
    <w:rsid w:val="007D42B4"/>
    <w:rsid w:val="007E1854"/>
    <w:rsid w:val="007F0A11"/>
    <w:rsid w:val="007F3919"/>
    <w:rsid w:val="007F4217"/>
    <w:rsid w:val="007F7B48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92305C"/>
    <w:rsid w:val="00943F45"/>
    <w:rsid w:val="00960AA2"/>
    <w:rsid w:val="00964457"/>
    <w:rsid w:val="00970FCF"/>
    <w:rsid w:val="00997075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33F29"/>
    <w:rsid w:val="00A36608"/>
    <w:rsid w:val="00A40FF5"/>
    <w:rsid w:val="00A43F1D"/>
    <w:rsid w:val="00A457CA"/>
    <w:rsid w:val="00A46563"/>
    <w:rsid w:val="00A60AE0"/>
    <w:rsid w:val="00A63B70"/>
    <w:rsid w:val="00A6555E"/>
    <w:rsid w:val="00A80B0A"/>
    <w:rsid w:val="00A81D79"/>
    <w:rsid w:val="00A82C18"/>
    <w:rsid w:val="00A972CF"/>
    <w:rsid w:val="00AD0789"/>
    <w:rsid w:val="00AE1426"/>
    <w:rsid w:val="00AE4171"/>
    <w:rsid w:val="00AE6759"/>
    <w:rsid w:val="00AF7507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F4099"/>
    <w:rsid w:val="00BF52D9"/>
    <w:rsid w:val="00C0634B"/>
    <w:rsid w:val="00C1709B"/>
    <w:rsid w:val="00C2034D"/>
    <w:rsid w:val="00C24CE8"/>
    <w:rsid w:val="00C2607D"/>
    <w:rsid w:val="00C45782"/>
    <w:rsid w:val="00C565AC"/>
    <w:rsid w:val="00C7020E"/>
    <w:rsid w:val="00CA59AE"/>
    <w:rsid w:val="00CC0EA3"/>
    <w:rsid w:val="00CC3A12"/>
    <w:rsid w:val="00CD180B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724F8"/>
    <w:rsid w:val="00D767CB"/>
    <w:rsid w:val="00D83500"/>
    <w:rsid w:val="00D86881"/>
    <w:rsid w:val="00D92524"/>
    <w:rsid w:val="00DA0E5E"/>
    <w:rsid w:val="00DB2D50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756D2"/>
    <w:rsid w:val="00E77C92"/>
    <w:rsid w:val="00EA1A50"/>
    <w:rsid w:val="00EC0507"/>
    <w:rsid w:val="00EC5F23"/>
    <w:rsid w:val="00EE24A7"/>
    <w:rsid w:val="00F0184D"/>
    <w:rsid w:val="00F11074"/>
    <w:rsid w:val="00F15FAC"/>
    <w:rsid w:val="00F2516F"/>
    <w:rsid w:val="00F33CBE"/>
    <w:rsid w:val="00F52652"/>
    <w:rsid w:val="00F62C3F"/>
    <w:rsid w:val="00F65302"/>
    <w:rsid w:val="00F712C4"/>
    <w:rsid w:val="00F819F9"/>
    <w:rsid w:val="00F83274"/>
    <w:rsid w:val="00FD176A"/>
    <w:rsid w:val="00FD3696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yperlink" Target="https://www.vmd.defra.gov.uk/ProductInformationDatabas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car.org/index.php/technical-bodies/working-groups/animal-data-exchange-wg/" TargetMode="External"/><Relationship Id="rId34" Type="http://schemas.openxmlformats.org/officeDocument/2006/relationships/hyperlink" Target="https://www.gs1.org/standards/id-keys/gtin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hyperlink" Target="https://www.gov.uk/guidance/marketing-authorisations-for-veterinary-medicines" TargetMode="External"/><Relationship Id="rId33" Type="http://schemas.openxmlformats.org/officeDocument/2006/relationships/hyperlink" Target="https://github.com/adewg/ICAR/blob/master/Release%20Candidate%20Messages/icarMetaDataResource.js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icar.org/" TargetMode="External"/><Relationship Id="rId29" Type="http://schemas.openxmlformats.org/officeDocument/2006/relationships/hyperlink" Target="https://github.com/adewg/ICAR/blob/master/Release%20Candidate%20Messages/icarEventCoreResource.j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://www.legislation.gov.uk/uksi/2013/2033/part/3" TargetMode="External"/><Relationship Id="rId32" Type="http://schemas.openxmlformats.org/officeDocument/2006/relationships/hyperlink" Target="https://tools.ietf.org/html/rfc4122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ww.farmdatastandards.org.nz/wp-content/uploads/2016/03/DINDS-Animal-Standard-V1.0.1-2014-11-20.pdf" TargetMode="External"/><Relationship Id="rId28" Type="http://schemas.openxmlformats.org/officeDocument/2006/relationships/hyperlink" Target="https://github.com/adewg/ICAR/blob/master/Release%20Candidate%20Messages/icarAnimalIdentifierType.json%20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www.iso.org/standard/40874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github.com/adewg/ICAR" TargetMode="External"/><Relationship Id="rId27" Type="http://schemas.openxmlformats.org/officeDocument/2006/relationships/hyperlink" Target="https://www.gov.uk/guidance/register-land-you-use-to-keep-livestock" TargetMode="External"/><Relationship Id="rId30" Type="http://schemas.openxmlformats.org/officeDocument/2006/relationships/hyperlink" Target="https://github.com/adewg/ICAR/blob/master/Release%20Candidate%20Messages/icarDateTimeType.js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cd98c7-e5f3-4f06-8bd3-d7dae7c7c536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8424014D77A47A9CF706E1A9789B4" ma:contentTypeVersion="4" ma:contentTypeDescription="Create a new document." ma:contentTypeScope="" ma:versionID="09b632a51ab904c9924882e669b8909b">
  <xsd:schema xmlns:xsd="http://www.w3.org/2001/XMLSchema" xmlns:xs="http://www.w3.org/2001/XMLSchema" xmlns:p="http://schemas.microsoft.com/office/2006/metadata/properties" xmlns:ns2="590f108b-95c1-4005-862c-bf68446213fe" xmlns:ns3="0ccd98c7-e5f3-4f06-8bd3-d7dae7c7c536" targetNamespace="http://schemas.microsoft.com/office/2006/metadata/properties" ma:root="true" ma:fieldsID="1c9769f82a6251486826ff1322e7fbc5" ns2:_="" ns3:_="">
    <xsd:import namespace="590f108b-95c1-4005-862c-bf68446213fe"/>
    <xsd:import namespace="0ccd98c7-e5f3-4f06-8bd3-d7dae7c7c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f108b-95c1-4005-862c-bf684462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d98c7-e5f3-4f06-8bd3-d7dae7c7c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8424014D77A47A9CF706E1A9789B4" ma:contentTypeVersion="4" ma:contentTypeDescription="Create a new document." ma:contentTypeScope="" ma:versionID="09b632a51ab904c9924882e669b8909b">
  <xsd:schema xmlns:xsd="http://www.w3.org/2001/XMLSchema" xmlns:xs="http://www.w3.org/2001/XMLSchema" xmlns:p="http://schemas.microsoft.com/office/2006/metadata/properties" xmlns:ns2="590f108b-95c1-4005-862c-bf68446213fe" xmlns:ns3="0ccd98c7-e5f3-4f06-8bd3-d7dae7c7c536" targetNamespace="http://schemas.microsoft.com/office/2006/metadata/properties" ma:root="true" ma:fieldsID="1c9769f82a6251486826ff1322e7fbc5" ns2:_="" ns3:_="">
    <xsd:import namespace="590f108b-95c1-4005-862c-bf68446213fe"/>
    <xsd:import namespace="0ccd98c7-e5f3-4f06-8bd3-d7dae7c7c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f108b-95c1-4005-862c-bf684462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d98c7-e5f3-4f06-8bd3-d7dae7c7c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CB2C54AA-ABA3-41B7-AB08-8994AB18C5AA}">
  <ds:schemaRefs>
    <ds:schemaRef ds:uri="http://purl.org/dc/elements/1.1/"/>
    <ds:schemaRef ds:uri="http://schemas.microsoft.com/office/2006/metadata/properties"/>
    <ds:schemaRef ds:uri="0ccd98c7-e5f3-4f06-8bd3-d7dae7c7c536"/>
    <ds:schemaRef ds:uri="http://purl.org/dc/terms/"/>
    <ds:schemaRef ds:uri="http://schemas.openxmlformats.org/package/2006/metadata/core-properties"/>
    <ds:schemaRef ds:uri="590f108b-95c1-4005-862c-bf68446213fe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83416-E390-4310-ABE9-3AA62FE12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f108b-95c1-4005-862c-bf68446213fe"/>
    <ds:schemaRef ds:uri="0ccd98c7-e5f3-4f06-8bd3-d7dae7c7c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D21A29-D91C-4614-8DC7-06773474B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f108b-95c1-4005-862c-bf68446213fe"/>
    <ds:schemaRef ds:uri="0ccd98c7-e5f3-4f06-8bd3-d7dae7c7c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FC2BDD-227C-4923-B9A4-13E3A3E6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4</cp:revision>
  <dcterms:created xsi:type="dcterms:W3CDTF">2019-08-05T09:21:00Z</dcterms:created>
  <dcterms:modified xsi:type="dcterms:W3CDTF">2019-08-06T14:45:00Z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0x010100AC48424014D77A47A9CF706E1A9789B4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