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1CD" w:rsidRDefault="00CA46C6" w:rsidP="00C66A6B">
      <w:pPr>
        <w:pStyle w:val="Titre"/>
        <w:jc w:val="both"/>
        <w:rPr>
          <w:lang w:val="en-GB"/>
        </w:rPr>
      </w:pPr>
      <w:r w:rsidRPr="00CA46C6">
        <w:rPr>
          <w:lang w:val="en-GB"/>
        </w:rPr>
        <w:t xml:space="preserve">How </w:t>
      </w:r>
      <w:r w:rsidR="00847D83">
        <w:rPr>
          <w:lang w:val="en-GB"/>
        </w:rPr>
        <w:t>to</w:t>
      </w:r>
      <w:r w:rsidRPr="00CA46C6">
        <w:rPr>
          <w:lang w:val="en-GB"/>
        </w:rPr>
        <w:t xml:space="preserve"> use the NNT app</w:t>
      </w:r>
    </w:p>
    <w:p w:rsidR="00731689" w:rsidRDefault="00731689" w:rsidP="00731689">
      <w:pPr>
        <w:pStyle w:val="Titre1"/>
        <w:spacing w:line="240" w:lineRule="auto"/>
        <w:rPr>
          <w:lang w:val="en-GB"/>
        </w:rPr>
      </w:pPr>
      <w:r>
        <w:rPr>
          <w:lang w:val="en-GB"/>
        </w:rPr>
        <w:t>NNT definition</w:t>
      </w:r>
    </w:p>
    <w:p w:rsidR="00731689" w:rsidRDefault="00731689" w:rsidP="00731689">
      <w:pPr>
        <w:spacing w:line="240" w:lineRule="auto"/>
        <w:jc w:val="both"/>
        <w:rPr>
          <w:lang w:val="en-GB"/>
        </w:rPr>
      </w:pPr>
      <w:r>
        <w:rPr>
          <w:lang w:val="en-GB"/>
        </w:rPr>
        <w:t xml:space="preserve">The number needed to treat (NNT) </w:t>
      </w:r>
      <w:r w:rsidRPr="007C5D43">
        <w:rPr>
          <w:lang w:val="en-GB"/>
        </w:rPr>
        <w:t xml:space="preserve">represents the number of subjects who need to change </w:t>
      </w:r>
      <w:r>
        <w:rPr>
          <w:lang w:val="en-GB"/>
        </w:rPr>
        <w:t xml:space="preserve">their </w:t>
      </w:r>
      <w:r w:rsidRPr="007C5D43">
        <w:rPr>
          <w:lang w:val="en-GB"/>
        </w:rPr>
        <w:t>behaviour</w:t>
      </w:r>
      <w:r>
        <w:rPr>
          <w:lang w:val="en-GB"/>
        </w:rPr>
        <w:t xml:space="preserve"> regarding an exposure of interest (i.e.</w:t>
      </w:r>
      <w:r w:rsidRPr="007C5D43">
        <w:rPr>
          <w:lang w:val="en-GB"/>
        </w:rPr>
        <w:t xml:space="preserve"> consumption of processed meat</w:t>
      </w:r>
      <w:r>
        <w:rPr>
          <w:lang w:val="en-GB"/>
        </w:rPr>
        <w:t xml:space="preserve">, consumption of vegetables…) </w:t>
      </w:r>
      <w:r w:rsidRPr="007C5D43">
        <w:rPr>
          <w:lang w:val="en-GB"/>
        </w:rPr>
        <w:t xml:space="preserve">during a certain time in order to prevent one additional case of </w:t>
      </w:r>
      <w:r>
        <w:rPr>
          <w:lang w:val="en-GB"/>
        </w:rPr>
        <w:t>disease (i.e. breast cancer, colorectal cancer…).</w:t>
      </w:r>
    </w:p>
    <w:p w:rsidR="00B47AEA" w:rsidRDefault="00B47AEA" w:rsidP="00C66A6B">
      <w:pPr>
        <w:pStyle w:val="Titre1"/>
        <w:spacing w:line="240" w:lineRule="auto"/>
        <w:rPr>
          <w:lang w:val="en-GB"/>
        </w:rPr>
      </w:pPr>
      <w:r>
        <w:rPr>
          <w:lang w:val="en-GB"/>
        </w:rPr>
        <w:t>Guidelines</w:t>
      </w:r>
    </w:p>
    <w:p w:rsidR="00B47AEA" w:rsidRDefault="00B47AEA" w:rsidP="00C66A6B">
      <w:pPr>
        <w:spacing w:line="240" w:lineRule="auto"/>
        <w:jc w:val="both"/>
        <w:rPr>
          <w:lang w:val="en-GB"/>
        </w:rPr>
      </w:pPr>
      <w:r>
        <w:rPr>
          <w:lang w:val="en-GB"/>
        </w:rPr>
        <w:t>Fill-in the blank space</w:t>
      </w:r>
      <w:r w:rsidR="00AD1D2B">
        <w:rPr>
          <w:lang w:val="en-GB"/>
        </w:rPr>
        <w:t>s</w:t>
      </w:r>
      <w:r>
        <w:rPr>
          <w:lang w:val="en-GB"/>
        </w:rPr>
        <w:t xml:space="preserve"> with numeric values. </w:t>
      </w:r>
      <w:r>
        <w:rPr>
          <w:lang w:val="en-GB"/>
        </w:rPr>
        <w:t xml:space="preserve">By definition, the first exposure group and the second exposure group are defined so that the cumulative incidence (see definition below) in the first group is higher than the cumulative incidence in the second group. </w:t>
      </w:r>
    </w:p>
    <w:p w:rsidR="00B47AEA" w:rsidRDefault="00B47AEA" w:rsidP="00C66A6B">
      <w:pPr>
        <w:spacing w:line="240" w:lineRule="auto"/>
        <w:jc w:val="both"/>
        <w:rPr>
          <w:lang w:val="en-GB"/>
        </w:rPr>
      </w:pPr>
      <w:r>
        <w:rPr>
          <w:lang w:val="en-GB"/>
        </w:rPr>
        <w:t>Then, choose your alpha</w:t>
      </w:r>
      <w:r w:rsidR="00AD1D2B">
        <w:rPr>
          <w:lang w:val="en-GB"/>
        </w:rPr>
        <w:t xml:space="preserve"> </w:t>
      </w:r>
      <w:r w:rsidR="00AD1D2B">
        <w:rPr>
          <w:lang w:val="en-GB"/>
        </w:rPr>
        <w:t>error</w:t>
      </w:r>
      <w:r>
        <w:rPr>
          <w:lang w:val="en-GB"/>
        </w:rPr>
        <w:t xml:space="preserve"> between 0 and 100 in order to compute the corresponding confidence interval.</w:t>
      </w:r>
    </w:p>
    <w:p w:rsidR="00AD1D2B" w:rsidRDefault="00AD1D2B" w:rsidP="00C66A6B">
      <w:pPr>
        <w:spacing w:line="240" w:lineRule="auto"/>
        <w:jc w:val="both"/>
        <w:rPr>
          <w:lang w:val="en-GB"/>
        </w:rPr>
      </w:pPr>
      <w:r>
        <w:rPr>
          <w:lang w:val="en-GB"/>
        </w:rPr>
        <w:t xml:space="preserve">To compute the NNT, click on the blue button “compute NNT”. Your results will appear at the bottom of the page. Warning message in red will appear if your data are not relevant. </w:t>
      </w:r>
    </w:p>
    <w:p w:rsidR="0057177D" w:rsidRDefault="0057177D" w:rsidP="00C66A6B">
      <w:pPr>
        <w:pStyle w:val="Titre1"/>
        <w:spacing w:line="240" w:lineRule="auto"/>
        <w:rPr>
          <w:lang w:val="en-GB"/>
        </w:rPr>
      </w:pPr>
      <w:r>
        <w:rPr>
          <w:lang w:val="en-GB"/>
        </w:rPr>
        <w:t>Cumulative incidence</w:t>
      </w:r>
    </w:p>
    <w:p w:rsidR="00BA2E88" w:rsidRDefault="00BA2E88" w:rsidP="00C66A6B">
      <w:pPr>
        <w:spacing w:line="240" w:lineRule="auto"/>
        <w:jc w:val="both"/>
        <w:rPr>
          <w:lang w:val="en-GB"/>
        </w:rPr>
      </w:pPr>
      <w:r w:rsidRPr="00BA2E88">
        <w:rPr>
          <w:lang w:val="en-GB"/>
        </w:rPr>
        <w:t xml:space="preserve">The cumulative incidence </w:t>
      </w:r>
      <w:r>
        <w:rPr>
          <w:lang w:val="en-GB"/>
        </w:rPr>
        <w:t>is the proportion</w:t>
      </w:r>
      <w:r w:rsidRPr="00BA2E88">
        <w:rPr>
          <w:lang w:val="en-GB"/>
        </w:rPr>
        <w:t xml:space="preserve"> of subjects included in a cohort who are diagnosed with a </w:t>
      </w:r>
      <w:r>
        <w:rPr>
          <w:lang w:val="en-GB"/>
        </w:rPr>
        <w:t>disease</w:t>
      </w:r>
      <w:r w:rsidRPr="00BA2E88">
        <w:rPr>
          <w:lang w:val="en-GB"/>
        </w:rPr>
        <w:t xml:space="preserve"> during follow-up. </w:t>
      </w:r>
      <w:r>
        <w:rPr>
          <w:lang w:val="en-GB"/>
        </w:rPr>
        <w:t>It is expressed as</w:t>
      </w:r>
      <w:proofErr w:type="gramStart"/>
      <w:r>
        <w:rPr>
          <w:lang w:val="en-GB"/>
        </w:rPr>
        <w:t xml:space="preserve">: </w:t>
      </w:r>
      <w:proofErr w:type="gramEnd"/>
      <m:oMath>
        <m:r>
          <w:rPr>
            <w:rFonts w:ascii="Cambria Math" w:hAnsi="Cambria Math"/>
            <w:lang w:val="en-GB"/>
          </w:rPr>
          <m:t>Cu</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Inc</m:t>
            </m:r>
          </m:sub>
        </m:sSub>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number of cases</m:t>
            </m:r>
          </m:num>
          <m:den>
            <m:r>
              <w:rPr>
                <w:rFonts w:ascii="Cambria Math" w:hAnsi="Cambria Math"/>
                <w:lang w:val="en-GB"/>
              </w:rPr>
              <m:t>number of person-year</m:t>
            </m:r>
          </m:den>
        </m:f>
      </m:oMath>
      <w:r>
        <w:rPr>
          <w:rFonts w:eastAsiaTheme="minorEastAsia"/>
          <w:lang w:val="en-GB"/>
        </w:rPr>
        <w:t>.</w:t>
      </w:r>
    </w:p>
    <w:p w:rsidR="0057177D" w:rsidRDefault="0057177D" w:rsidP="00C66A6B">
      <w:pPr>
        <w:pStyle w:val="Titre1"/>
        <w:spacing w:line="240" w:lineRule="auto"/>
        <w:rPr>
          <w:lang w:val="en-GB"/>
        </w:rPr>
      </w:pPr>
      <w:r>
        <w:rPr>
          <w:lang w:val="en-GB"/>
        </w:rPr>
        <w:t>Absolute risk reduction</w:t>
      </w:r>
    </w:p>
    <w:p w:rsidR="00366F8E" w:rsidRDefault="00BA2E88" w:rsidP="00C66A6B">
      <w:pPr>
        <w:spacing w:line="240" w:lineRule="auto"/>
        <w:jc w:val="both"/>
        <w:rPr>
          <w:lang w:val="en-GB"/>
        </w:rPr>
      </w:pPr>
      <w:r w:rsidRPr="00BA2E88">
        <w:rPr>
          <w:lang w:val="en-GB"/>
        </w:rPr>
        <w:t xml:space="preserve">An absolute risk reduction (ARR) is the difference of cumulative incidences between </w:t>
      </w:r>
      <w:r>
        <w:rPr>
          <w:lang w:val="en-GB"/>
        </w:rPr>
        <w:t xml:space="preserve">two </w:t>
      </w:r>
      <w:r w:rsidRPr="00BA2E88">
        <w:rPr>
          <w:lang w:val="en-GB"/>
        </w:rPr>
        <w:t xml:space="preserve">groups of subjects </w:t>
      </w:r>
      <w:r>
        <w:rPr>
          <w:lang w:val="en-GB"/>
        </w:rPr>
        <w:t>with different behaviour</w:t>
      </w:r>
      <w:r w:rsidR="005B74D0">
        <w:rPr>
          <w:lang w:val="en-GB"/>
        </w:rPr>
        <w:t>s</w:t>
      </w:r>
      <w:r>
        <w:rPr>
          <w:lang w:val="en-GB"/>
        </w:rPr>
        <w:t xml:space="preserve"> regarding the exposure of interest. </w:t>
      </w:r>
      <w:r w:rsidR="00366F8E">
        <w:rPr>
          <w:lang w:val="en-GB"/>
        </w:rPr>
        <w:t>For example, one groups with subjects eating one fruit per day and another group eating two fruits per day. The ARR is expressed as</w:t>
      </w:r>
      <w:proofErr w:type="gramStart"/>
      <w:r w:rsidR="00366F8E">
        <w:rPr>
          <w:lang w:val="en-GB"/>
        </w:rPr>
        <w:t xml:space="preserve">: </w:t>
      </w:r>
      <w:proofErr w:type="gramEnd"/>
      <m:oMath>
        <m:r>
          <w:rPr>
            <w:rFonts w:ascii="Cambria Math" w:hAnsi="Cambria Math"/>
            <w:lang w:val="en-GB"/>
          </w:rPr>
          <m:t xml:space="preserve">ARR= </m:t>
        </m:r>
        <m:f>
          <m:fPr>
            <m:ctrlPr>
              <w:rPr>
                <w:rFonts w:ascii="Cambria Math" w:hAnsi="Cambria Math"/>
                <w:i/>
                <w:lang w:val="en-GB"/>
              </w:rPr>
            </m:ctrlPr>
          </m:fPr>
          <m:num>
            <m:r>
              <w:rPr>
                <w:rFonts w:ascii="Cambria Math" w:hAnsi="Cambria Math"/>
                <w:lang w:val="en-GB"/>
              </w:rPr>
              <m:t>cases in group 1</m:t>
            </m:r>
          </m:num>
          <m:den>
            <m:r>
              <w:rPr>
                <w:rFonts w:ascii="Cambria Math" w:hAnsi="Cambria Math"/>
                <w:lang w:val="en-GB"/>
              </w:rPr>
              <m:t>person-year in group 1</m:t>
            </m:r>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cases in group 2</m:t>
            </m:r>
          </m:num>
          <m:den>
            <m:r>
              <w:rPr>
                <w:rFonts w:ascii="Cambria Math" w:hAnsi="Cambria Math"/>
                <w:lang w:val="en-GB"/>
              </w:rPr>
              <m:t>person-year in group 2</m:t>
            </m:r>
          </m:den>
        </m:f>
      </m:oMath>
      <w:r w:rsidR="00501582">
        <w:rPr>
          <w:rFonts w:eastAsiaTheme="minorEastAsia"/>
          <w:lang w:val="en-GB"/>
        </w:rPr>
        <w:t xml:space="preserve">. </w:t>
      </w:r>
    </w:p>
    <w:p w:rsidR="0057177D" w:rsidRDefault="0057177D" w:rsidP="00C66A6B">
      <w:pPr>
        <w:pStyle w:val="Titre1"/>
        <w:spacing w:line="240" w:lineRule="auto"/>
        <w:rPr>
          <w:lang w:val="en-GB"/>
        </w:rPr>
      </w:pPr>
      <w:r>
        <w:rPr>
          <w:lang w:val="en-GB"/>
        </w:rPr>
        <w:t>NNT computation</w:t>
      </w:r>
    </w:p>
    <w:p w:rsidR="009E1C1F" w:rsidRDefault="00BA2E88" w:rsidP="00C66A6B">
      <w:pPr>
        <w:spacing w:line="240" w:lineRule="auto"/>
        <w:jc w:val="both"/>
        <w:rPr>
          <w:lang w:val="en-GB"/>
        </w:rPr>
      </w:pPr>
      <w:r w:rsidRPr="00BA2E88">
        <w:rPr>
          <w:lang w:val="en-GB"/>
        </w:rPr>
        <w:t>The NNT is defined as t</w:t>
      </w:r>
      <w:r w:rsidR="00501582">
        <w:rPr>
          <w:lang w:val="en-GB"/>
        </w:rPr>
        <w:t>he inverse of ARR</w:t>
      </w:r>
      <w:proofErr w:type="gramStart"/>
      <w:r w:rsidR="009E1C1F">
        <w:rPr>
          <w:lang w:val="en-GB"/>
        </w:rPr>
        <w:t>:</w:t>
      </w:r>
      <w:r w:rsidR="005B74D0">
        <w:rPr>
          <w:lang w:val="en-GB"/>
        </w:rPr>
        <w:t xml:space="preserve"> </w:t>
      </w:r>
      <w:proofErr w:type="gramEnd"/>
      <m:oMath>
        <m:r>
          <w:rPr>
            <w:rFonts w:ascii="Cambria Math" w:hAnsi="Cambria Math"/>
            <w:lang w:val="en-GB"/>
          </w:rPr>
          <m:t xml:space="preserve">NNT=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ARR</m:t>
            </m:r>
          </m:den>
        </m:f>
      </m:oMath>
      <w:r w:rsidR="00501582">
        <w:rPr>
          <w:rFonts w:eastAsiaTheme="minorEastAsia"/>
          <w:lang w:val="en-GB"/>
        </w:rPr>
        <w:t>.</w:t>
      </w:r>
      <w:r w:rsidR="00501582">
        <w:rPr>
          <w:lang w:val="en-GB"/>
        </w:rPr>
        <w:t xml:space="preserve"> </w:t>
      </w:r>
      <w:r w:rsidR="005B74D0">
        <w:rPr>
          <w:lang w:val="en-GB"/>
        </w:rPr>
        <w:t>It</w:t>
      </w:r>
      <w:r w:rsidR="009E1C1F" w:rsidRPr="009E1C1F">
        <w:rPr>
          <w:lang w:val="en-GB"/>
        </w:rPr>
        <w:t xml:space="preserve"> </w:t>
      </w:r>
      <w:r w:rsidR="009E1C1F">
        <w:rPr>
          <w:lang w:val="en-GB"/>
        </w:rPr>
        <w:t>was</w:t>
      </w:r>
      <w:r w:rsidR="009E1C1F" w:rsidRPr="009E1C1F">
        <w:rPr>
          <w:lang w:val="en-GB"/>
        </w:rPr>
        <w:t xml:space="preserve"> computed </w:t>
      </w:r>
      <w:r w:rsidR="005B74D0">
        <w:rPr>
          <w:lang w:val="en-GB"/>
        </w:rPr>
        <w:t xml:space="preserve">with the hypothesis of a decreasing risk across groups of exposure. In other words, the cumulative incidence observed in </w:t>
      </w:r>
      <w:r w:rsidR="005B74D0" w:rsidRPr="0057177D">
        <w:rPr>
          <w:lang w:val="en-GB"/>
        </w:rPr>
        <w:t>group 1</w:t>
      </w:r>
      <w:r w:rsidR="005B74D0">
        <w:rPr>
          <w:lang w:val="en-GB"/>
        </w:rPr>
        <w:t xml:space="preserve"> should be higher than the cumulative incidence observed in group 2.</w:t>
      </w:r>
    </w:p>
    <w:p w:rsidR="00B47AEA" w:rsidRDefault="00B47AEA" w:rsidP="00C66A6B">
      <w:pPr>
        <w:pStyle w:val="Titre1"/>
        <w:spacing w:line="240" w:lineRule="auto"/>
        <w:rPr>
          <w:lang w:val="en-GB"/>
        </w:rPr>
      </w:pPr>
      <w:r>
        <w:rPr>
          <w:lang w:val="en-GB"/>
        </w:rPr>
        <w:t>Confidence intervals</w:t>
      </w:r>
    </w:p>
    <w:p w:rsidR="009E1C1F" w:rsidRDefault="0057177D" w:rsidP="00C66A6B">
      <w:pPr>
        <w:spacing w:line="240" w:lineRule="auto"/>
        <w:jc w:val="both"/>
        <w:rPr>
          <w:lang w:val="en-GB"/>
        </w:rPr>
      </w:pPr>
      <w:r>
        <w:rPr>
          <w:lang w:val="en-GB"/>
        </w:rPr>
        <w:t>The confidence interval (CI) of the NNT was based on the CI of the ARR. Indeed, the calculat</w:t>
      </w:r>
      <w:r w:rsidR="009E1C1F" w:rsidRPr="009E1C1F">
        <w:rPr>
          <w:lang w:val="en-GB"/>
        </w:rPr>
        <w:t xml:space="preserve">ion of </w:t>
      </w:r>
      <w:r w:rsidR="005F1323">
        <w:rPr>
          <w:lang w:val="en-GB"/>
        </w:rPr>
        <w:t>the CI of ARR was based on</w:t>
      </w:r>
      <w:r w:rsidR="009E1C1F" w:rsidRPr="009E1C1F">
        <w:rPr>
          <w:lang w:val="en-GB"/>
        </w:rPr>
        <w:t xml:space="preserve"> the Wilson score (Wilson, 1927)</w:t>
      </w:r>
      <w:r w:rsidR="009E1C1F">
        <w:rPr>
          <w:lang w:val="en-GB"/>
        </w:rPr>
        <w:t>.</w:t>
      </w:r>
      <w:r w:rsidR="005F1323">
        <w:rPr>
          <w:lang w:val="en-GB"/>
        </w:rPr>
        <w:t xml:space="preserve"> </w:t>
      </w:r>
      <w:r>
        <w:rPr>
          <w:lang w:val="en-GB"/>
        </w:rPr>
        <w:t>Then</w:t>
      </w:r>
      <w:r w:rsidR="009E1C1F" w:rsidRPr="009E1C1F">
        <w:rPr>
          <w:lang w:val="en-GB"/>
        </w:rPr>
        <w:t xml:space="preserve">, the </w:t>
      </w:r>
      <w:r>
        <w:rPr>
          <w:lang w:val="en-GB"/>
        </w:rPr>
        <w:t>CI</w:t>
      </w:r>
      <w:r w:rsidR="009E1C1F" w:rsidRPr="009E1C1F">
        <w:rPr>
          <w:lang w:val="en-GB"/>
        </w:rPr>
        <w:t xml:space="preserve"> </w:t>
      </w:r>
      <w:r w:rsidR="005F1323">
        <w:rPr>
          <w:lang w:val="en-GB"/>
        </w:rPr>
        <w:t>of</w:t>
      </w:r>
      <w:r w:rsidR="009E1C1F" w:rsidRPr="009E1C1F">
        <w:rPr>
          <w:lang w:val="en-GB"/>
        </w:rPr>
        <w:t xml:space="preserve"> ARR </w:t>
      </w:r>
      <w:r>
        <w:rPr>
          <w:lang w:val="en-GB"/>
        </w:rPr>
        <w:t>was</w:t>
      </w:r>
      <w:r w:rsidR="009E1C1F" w:rsidRPr="009E1C1F">
        <w:rPr>
          <w:lang w:val="en-GB"/>
        </w:rPr>
        <w:t xml:space="preserve"> converted into interval predictions for NNT, defining </w:t>
      </w:r>
      <w:proofErr w:type="gramStart"/>
      <w:r w:rsidR="009E1C1F" w:rsidRPr="009E1C1F">
        <w:rPr>
          <w:lang w:val="en-GB"/>
        </w:rPr>
        <w:t>LL(</w:t>
      </w:r>
      <w:proofErr w:type="gramEnd"/>
      <w:r w:rsidR="009E1C1F" w:rsidRPr="009E1C1F">
        <w:rPr>
          <w:lang w:val="en-GB"/>
        </w:rPr>
        <w:t xml:space="preserve">ARR) and UL(ARR) as the lower and upper confidence limits for ARR. If the </w:t>
      </w:r>
      <w:r>
        <w:rPr>
          <w:lang w:val="en-GB"/>
        </w:rPr>
        <w:t>CI</w:t>
      </w:r>
      <w:r w:rsidR="009E1C1F" w:rsidRPr="009E1C1F">
        <w:rPr>
          <w:lang w:val="en-GB"/>
        </w:rPr>
        <w:t xml:space="preserve"> for ARR does not enclose 0, then the </w:t>
      </w:r>
      <w:r>
        <w:rPr>
          <w:lang w:val="en-GB"/>
        </w:rPr>
        <w:t>CI</w:t>
      </w:r>
      <w:r w:rsidR="009E1C1F" w:rsidRPr="009E1C1F">
        <w:rPr>
          <w:lang w:val="en-GB"/>
        </w:rPr>
        <w:t xml:space="preserve"> for NNT can be expressed as 1/</w:t>
      </w:r>
      <w:proofErr w:type="gramStart"/>
      <w:r w:rsidR="009E1C1F" w:rsidRPr="009E1C1F">
        <w:rPr>
          <w:lang w:val="en-GB"/>
        </w:rPr>
        <w:t>UL(</w:t>
      </w:r>
      <w:proofErr w:type="gramEnd"/>
      <w:r w:rsidR="009E1C1F" w:rsidRPr="009E1C1F">
        <w:rPr>
          <w:lang w:val="en-GB"/>
        </w:rPr>
        <w:t xml:space="preserve">ARR) and 1/LL(ARR). If the confidence interval for ARR encloses 0, the </w:t>
      </w:r>
      <w:r>
        <w:rPr>
          <w:lang w:val="en-GB"/>
        </w:rPr>
        <w:t>CI</w:t>
      </w:r>
      <w:r w:rsidR="009E1C1F" w:rsidRPr="009E1C1F">
        <w:rPr>
          <w:lang w:val="en-GB"/>
        </w:rPr>
        <w:t xml:space="preserve"> for NNT is the union of [-</w:t>
      </w:r>
      <w:r>
        <w:rPr>
          <w:rFonts w:cstheme="minorHAnsi"/>
          <w:lang w:val="en-GB"/>
        </w:rPr>
        <w:t>∞</w:t>
      </w:r>
      <w:r>
        <w:rPr>
          <w:lang w:val="en-GB"/>
        </w:rPr>
        <w:t>; 1/</w:t>
      </w:r>
      <w:proofErr w:type="gramStart"/>
      <w:r>
        <w:rPr>
          <w:lang w:val="en-GB"/>
        </w:rPr>
        <w:t>LL(</w:t>
      </w:r>
      <w:proofErr w:type="gramEnd"/>
      <w:r>
        <w:rPr>
          <w:lang w:val="en-GB"/>
        </w:rPr>
        <w:t>ARR)] and [1/UL(ARR); +</w:t>
      </w:r>
      <w:r>
        <w:rPr>
          <w:rFonts w:cstheme="minorHAnsi"/>
          <w:lang w:val="en-GB"/>
        </w:rPr>
        <w:t>∞</w:t>
      </w:r>
      <w:r w:rsidR="009E1C1F" w:rsidRPr="009E1C1F">
        <w:rPr>
          <w:lang w:val="en-GB"/>
        </w:rPr>
        <w:t xml:space="preserve">] (Bender and </w:t>
      </w:r>
      <w:proofErr w:type="spellStart"/>
      <w:r w:rsidR="009E1C1F" w:rsidRPr="009E1C1F">
        <w:rPr>
          <w:lang w:val="en-GB"/>
        </w:rPr>
        <w:t>Blettner</w:t>
      </w:r>
      <w:proofErr w:type="spellEnd"/>
      <w:r w:rsidR="009E1C1F" w:rsidRPr="009E1C1F">
        <w:rPr>
          <w:lang w:val="en-GB"/>
        </w:rPr>
        <w:t>, 2002).</w:t>
      </w:r>
    </w:p>
    <w:p w:rsidR="00C66A6B" w:rsidRDefault="00C66A6B" w:rsidP="00C66A6B">
      <w:pPr>
        <w:pStyle w:val="Titre1"/>
        <w:rPr>
          <w:lang w:val="en-GB"/>
        </w:rPr>
      </w:pPr>
      <w:r>
        <w:rPr>
          <w:lang w:val="en-GB"/>
        </w:rPr>
        <w:t>Reference</w:t>
      </w:r>
      <w:r w:rsidR="00731689">
        <w:rPr>
          <w:lang w:val="en-GB"/>
        </w:rPr>
        <w:t>s</w:t>
      </w:r>
    </w:p>
    <w:p w:rsidR="00731689" w:rsidRDefault="00731689" w:rsidP="00731689">
      <w:pPr>
        <w:rPr>
          <w:lang w:val="en-GB"/>
        </w:rPr>
      </w:pPr>
      <w:r w:rsidRPr="00731689">
        <w:rPr>
          <w:lang w:val="en-GB"/>
        </w:rPr>
        <w:t xml:space="preserve">BENDER, R. &amp; BLETTNER, M. 2002. Calculating the "number needed to be exposed" with adjustment for confounding variables in epidemiological studies. J </w:t>
      </w:r>
      <w:proofErr w:type="spellStart"/>
      <w:r w:rsidRPr="00731689">
        <w:rPr>
          <w:lang w:val="en-GB"/>
        </w:rPr>
        <w:t>Clin</w:t>
      </w:r>
      <w:proofErr w:type="spellEnd"/>
      <w:r w:rsidRPr="00731689">
        <w:rPr>
          <w:lang w:val="en-GB"/>
        </w:rPr>
        <w:t xml:space="preserve"> </w:t>
      </w:r>
      <w:proofErr w:type="spellStart"/>
      <w:r w:rsidRPr="00731689">
        <w:rPr>
          <w:lang w:val="en-GB"/>
        </w:rPr>
        <w:t>Epidemiol</w:t>
      </w:r>
      <w:proofErr w:type="spellEnd"/>
      <w:r w:rsidRPr="00731689">
        <w:rPr>
          <w:lang w:val="en-GB"/>
        </w:rPr>
        <w:t>, 55, 525-30.</w:t>
      </w:r>
    </w:p>
    <w:p w:rsidR="00731689" w:rsidRPr="00731689" w:rsidRDefault="00731689" w:rsidP="00731689">
      <w:pPr>
        <w:rPr>
          <w:lang w:val="en-GB"/>
        </w:rPr>
      </w:pPr>
      <w:r w:rsidRPr="00731689">
        <w:rPr>
          <w:lang w:val="en-GB"/>
        </w:rPr>
        <w:t xml:space="preserve">WILSON, E. 1927. Probable Inference, the Law of Succession, and Statistical Inference. J Am Stat </w:t>
      </w:r>
      <w:proofErr w:type="spellStart"/>
      <w:r w:rsidRPr="00731689">
        <w:rPr>
          <w:lang w:val="en-GB"/>
        </w:rPr>
        <w:t>Assoc</w:t>
      </w:r>
      <w:proofErr w:type="spellEnd"/>
      <w:r w:rsidRPr="00731689">
        <w:rPr>
          <w:lang w:val="en-GB"/>
        </w:rPr>
        <w:t>, 158, 209-212.</w:t>
      </w:r>
      <w:bookmarkStart w:id="0" w:name="_GoBack"/>
      <w:bookmarkEnd w:id="0"/>
    </w:p>
    <w:sectPr w:rsidR="00731689" w:rsidRPr="00731689" w:rsidSect="00731689">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6C6"/>
    <w:rsid w:val="000101CD"/>
    <w:rsid w:val="00317DE5"/>
    <w:rsid w:val="00366F8E"/>
    <w:rsid w:val="00501582"/>
    <w:rsid w:val="00565DA6"/>
    <w:rsid w:val="0057177D"/>
    <w:rsid w:val="005B74D0"/>
    <w:rsid w:val="005F1323"/>
    <w:rsid w:val="00731689"/>
    <w:rsid w:val="007C5D43"/>
    <w:rsid w:val="00847D83"/>
    <w:rsid w:val="009E1C1F"/>
    <w:rsid w:val="00A91FA4"/>
    <w:rsid w:val="00AD1D2B"/>
    <w:rsid w:val="00B47AEA"/>
    <w:rsid w:val="00BA2E88"/>
    <w:rsid w:val="00C66A6B"/>
    <w:rsid w:val="00CA46C6"/>
    <w:rsid w:val="00F54D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92436-A301-43B5-A81E-35474C62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717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4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47D83"/>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C5D43"/>
    <w:rPr>
      <w:color w:val="0563C1" w:themeColor="hyperlink"/>
      <w:u w:val="single"/>
    </w:rPr>
  </w:style>
  <w:style w:type="character" w:styleId="Textedelespacerserv">
    <w:name w:val="Placeholder Text"/>
    <w:basedOn w:val="Policepardfaut"/>
    <w:uiPriority w:val="99"/>
    <w:semiHidden/>
    <w:rsid w:val="00BA2E88"/>
    <w:rPr>
      <w:color w:val="808080"/>
    </w:rPr>
  </w:style>
  <w:style w:type="character" w:customStyle="1" w:styleId="Titre1Car">
    <w:name w:val="Titre 1 Car"/>
    <w:basedOn w:val="Policepardfaut"/>
    <w:link w:val="Titre1"/>
    <w:uiPriority w:val="9"/>
    <w:rsid w:val="0057177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434</Words>
  <Characters>2390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 pizot</dc:creator>
  <cp:keywords/>
  <dc:description/>
  <cp:lastModifiedBy>cecile pizot</cp:lastModifiedBy>
  <cp:revision>12</cp:revision>
  <cp:lastPrinted>2020-02-10T09:27:00Z</cp:lastPrinted>
  <dcterms:created xsi:type="dcterms:W3CDTF">2020-02-10T09:27:00Z</dcterms:created>
  <dcterms:modified xsi:type="dcterms:W3CDTF">2020-02-10T13:22:00Z</dcterms:modified>
</cp:coreProperties>
</file>