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D79A" w14:textId="1BDF9AA3" w:rsidR="000829A6" w:rsidRDefault="000829A6">
      <w:r>
        <w:t>Statistical Analysis Plan (DRAFT</w:t>
      </w:r>
      <w:r w:rsidR="006F1A48">
        <w:t xml:space="preserve"> for discussion</w:t>
      </w:r>
      <w:r>
        <w:t>)</w:t>
      </w:r>
    </w:p>
    <w:p w14:paraId="1CEDCFD0" w14:textId="55622F97" w:rsidR="00212D12" w:rsidRDefault="000829A6" w:rsidP="00212D12">
      <w:r>
        <w:t>Primary Objective</w:t>
      </w:r>
    </w:p>
    <w:p w14:paraId="0F61CFE4" w14:textId="77777777" w:rsidR="00E517C0" w:rsidRDefault="00E517C0" w:rsidP="000829A6">
      <w:pPr>
        <w:pStyle w:val="p1"/>
        <w:rPr>
          <w:b/>
          <w:bCs/>
        </w:rPr>
      </w:pPr>
      <w:r w:rsidRPr="00E517C0">
        <w:rPr>
          <w:b/>
          <w:bCs/>
        </w:rPr>
        <w:t>To determine the prevalence of molecular residual disease (MRD) over time across tumour types.</w:t>
      </w:r>
    </w:p>
    <w:p w14:paraId="2A4A33AA" w14:textId="77777777" w:rsidR="00E517C0" w:rsidRDefault="00E517C0" w:rsidP="000829A6">
      <w:pPr>
        <w:pStyle w:val="p1"/>
        <w:rPr>
          <w:b/>
          <w:bCs/>
        </w:rPr>
      </w:pPr>
    </w:p>
    <w:p w14:paraId="7E7538DD" w14:textId="3E179295" w:rsidR="00E517C0" w:rsidRPr="00E517C0" w:rsidRDefault="00E517C0" w:rsidP="00E517C0">
      <w:pPr>
        <w:pStyle w:val="p1"/>
      </w:pPr>
      <w:r w:rsidRPr="00E517C0">
        <w:t>MRD prevalence at each timepoint will be</w:t>
      </w:r>
      <w:r>
        <w:t xml:space="preserve"> </w:t>
      </w:r>
      <w:r w:rsidRPr="00E517C0">
        <w:t>estimated as the proportion of patients with ctDNA detected above the assay limit of detection (LOD). Prevalence will be reported:</w:t>
      </w:r>
      <w:r>
        <w:t xml:space="preserve"> </w:t>
      </w:r>
      <w:r w:rsidRPr="00E517C0">
        <w:t>Overall across all tumour types</w:t>
      </w:r>
      <w:r>
        <w:t>, s</w:t>
      </w:r>
      <w:r w:rsidRPr="00E517C0">
        <w:t xml:space="preserve">eparately for tumour types with </w:t>
      </w:r>
      <w:r w:rsidRPr="00E517C0">
        <w:rPr>
          <w:highlight w:val="yellow"/>
        </w:rPr>
        <w:t>≥300</w:t>
      </w:r>
      <w:r w:rsidRPr="00E517C0">
        <w:t xml:space="preserve"> evaluable samples</w:t>
      </w:r>
      <w:r>
        <w:t xml:space="preserve">, separately by assay for assays with </w:t>
      </w:r>
      <w:r w:rsidRPr="00E517C0">
        <w:rPr>
          <w:highlight w:val="yellow"/>
        </w:rPr>
        <w:t>≥300</w:t>
      </w:r>
      <w:r w:rsidRPr="00E517C0">
        <w:t xml:space="preserve"> evaluable samples</w:t>
      </w:r>
      <w:r>
        <w:t>.</w:t>
      </w:r>
    </w:p>
    <w:p w14:paraId="46742570" w14:textId="77777777" w:rsidR="00E517C0" w:rsidRDefault="00E517C0" w:rsidP="00E517C0">
      <w:pPr>
        <w:pStyle w:val="p1"/>
      </w:pPr>
    </w:p>
    <w:p w14:paraId="6F9E6C30" w14:textId="61DEBF80" w:rsidR="00E517C0" w:rsidRPr="00E517C0" w:rsidRDefault="00E517C0" w:rsidP="00E517C0">
      <w:pPr>
        <w:pStyle w:val="p1"/>
      </w:pPr>
      <w:r>
        <w:t xml:space="preserve">A </w:t>
      </w:r>
      <w:r w:rsidRPr="00E517C0">
        <w:t xml:space="preserve">sample size </w:t>
      </w:r>
      <w:r>
        <w:t xml:space="preserve">of </w:t>
      </w:r>
      <w:r w:rsidRPr="00E517C0">
        <w:rPr>
          <w:highlight w:val="yellow"/>
        </w:rPr>
        <w:t>≥300</w:t>
      </w:r>
      <w:r>
        <w:t xml:space="preserve"> </w:t>
      </w:r>
      <w:r w:rsidRPr="00E517C0">
        <w:t>will allow estimation of MRD prevalence with a 95% confidence interval (CI) of approximately ±5%, assuming a true prevalence of 20%.</w:t>
      </w:r>
      <w:r>
        <w:t xml:space="preserve"> E</w:t>
      </w:r>
      <w:r w:rsidRPr="00E517C0">
        <w:t>stimates will be presented with exact (Clopper–Pearson)</w:t>
      </w:r>
      <w:r>
        <w:t xml:space="preserve"> confidence intervals.</w:t>
      </w:r>
    </w:p>
    <w:p w14:paraId="3BDDF345" w14:textId="77777777" w:rsidR="00C570EA" w:rsidRDefault="00C570EA" w:rsidP="000829A6">
      <w:pPr>
        <w:pStyle w:val="p1"/>
      </w:pPr>
    </w:p>
    <w:p w14:paraId="2D0F1037" w14:textId="5A4648C2" w:rsidR="007A6A59" w:rsidRDefault="000829A6">
      <w:r>
        <w:t>Secondary Objective</w:t>
      </w:r>
    </w:p>
    <w:p w14:paraId="25505689" w14:textId="449EBEDD" w:rsidR="00212D12" w:rsidRDefault="00212D12" w:rsidP="00335E0D">
      <w:pPr>
        <w:pStyle w:val="p1"/>
        <w:rPr>
          <w:rStyle w:val="s1"/>
          <w:b/>
          <w:bCs/>
        </w:rPr>
      </w:pPr>
      <w:r>
        <w:rPr>
          <w:rStyle w:val="s1"/>
          <w:b/>
          <w:bCs/>
        </w:rPr>
        <w:t>To develop a registry of longitudinal ctDNA data, annotated with clinical, pathological, molecular and imaging data to enable robust modelling of ctDNA kinetics</w:t>
      </w:r>
      <w:r w:rsidR="00AF1A86">
        <w:rPr>
          <w:rStyle w:val="s1"/>
          <w:b/>
          <w:bCs/>
        </w:rPr>
        <w:t xml:space="preserve">; </w:t>
      </w:r>
      <w:r>
        <w:rPr>
          <w:rStyle w:val="s1"/>
          <w:b/>
          <w:bCs/>
        </w:rPr>
        <w:t xml:space="preserve">to evaluate the prognostic value of ctDNA and </w:t>
      </w:r>
      <w:r w:rsidR="00AF1A86">
        <w:rPr>
          <w:rStyle w:val="s1"/>
          <w:b/>
          <w:bCs/>
        </w:rPr>
        <w:t xml:space="preserve">to </w:t>
      </w:r>
      <w:r>
        <w:rPr>
          <w:rStyle w:val="s1"/>
          <w:b/>
          <w:bCs/>
        </w:rPr>
        <w:t xml:space="preserve">determine how </w:t>
      </w:r>
      <w:r w:rsidR="00AF1A86">
        <w:rPr>
          <w:rStyle w:val="s1"/>
          <w:b/>
          <w:bCs/>
        </w:rPr>
        <w:t xml:space="preserve">ctDNA </w:t>
      </w:r>
      <w:r>
        <w:rPr>
          <w:rStyle w:val="s1"/>
          <w:b/>
          <w:bCs/>
        </w:rPr>
        <w:t>kinetics are associated with clinical, pathological, molecular and imaging data.</w:t>
      </w:r>
    </w:p>
    <w:p w14:paraId="2C92DF81" w14:textId="77777777" w:rsidR="00212D12" w:rsidRDefault="00212D12" w:rsidP="00335E0D">
      <w:pPr>
        <w:pStyle w:val="p1"/>
        <w:rPr>
          <w:rStyle w:val="s1"/>
          <w:b/>
          <w:bCs/>
        </w:rPr>
      </w:pPr>
    </w:p>
    <w:p w14:paraId="5584AF5B" w14:textId="013F6DD0" w:rsidR="00CE18BB" w:rsidRDefault="00212D12" w:rsidP="00335E0D">
      <w:pPr>
        <w:pStyle w:val="p1"/>
      </w:pPr>
      <w:r w:rsidRPr="00212D12">
        <w:rPr>
          <w:rStyle w:val="s1"/>
        </w:rPr>
        <w:t>W</w:t>
      </w:r>
      <w:r w:rsidR="007A6A59" w:rsidRPr="00212D12">
        <w:t>e will</w:t>
      </w:r>
      <w:r w:rsidR="007A6A59">
        <w:rPr>
          <w:b/>
          <w:bCs/>
        </w:rPr>
        <w:t xml:space="preserve"> </w:t>
      </w:r>
      <w:r w:rsidR="007A6A59">
        <w:t xml:space="preserve">begin by modelling </w:t>
      </w:r>
      <w:r>
        <w:t xml:space="preserve">ctDNA kinetics using </w:t>
      </w:r>
      <w:r w:rsidR="007A6A59">
        <w:t>the longitudinal ctDNA data with mixed effects models</w:t>
      </w:r>
      <w:r w:rsidR="00E517C0">
        <w:t xml:space="preserve"> to account for within patient correlation</w:t>
      </w:r>
      <w:r w:rsidR="007A6A59">
        <w:t>. Modelling approaches will include non-linear spline-based approaches and</w:t>
      </w:r>
      <w:r w:rsidR="0021244F">
        <w:t xml:space="preserve"> two-part models to model the left-censoring induced by values below the limit of detection. </w:t>
      </w:r>
      <w:r w:rsidR="006F1A48">
        <w:t xml:space="preserve">We will by default choose treatment-agnostic models. However, depending on available samples may also fit treatment-specific models. Modelling fitting will </w:t>
      </w:r>
      <w:r w:rsidR="007A6A59">
        <w:t xml:space="preserve">be performed on a randomly selected 80% of the sample with 20% of the sample left out for model evaluation. Modelling may be performed by disease type as the sample size allows. </w:t>
      </w:r>
      <w:r w:rsidR="00E517C0">
        <w:t>Model selection will be guided by biological plausibility, calibration curves and goodness of fit statistics (BIC)</w:t>
      </w:r>
      <w:r w:rsidR="00CF003A">
        <w:t>.</w:t>
      </w:r>
    </w:p>
    <w:p w14:paraId="254EAEE0" w14:textId="77777777" w:rsidR="007A6A59" w:rsidRDefault="007A6A59" w:rsidP="00335E0D">
      <w:pPr>
        <w:pStyle w:val="p1"/>
      </w:pPr>
    </w:p>
    <w:p w14:paraId="0CD7E8CB" w14:textId="566FBC0A" w:rsidR="007A6A59" w:rsidRDefault="00AF1A86" w:rsidP="00335E0D">
      <w:pPr>
        <w:pStyle w:val="p1"/>
      </w:pPr>
      <w:r>
        <w:t>T</w:t>
      </w:r>
      <w:r w:rsidR="00212D12">
        <w:t>he best-</w:t>
      </w:r>
      <w:r w:rsidR="00E517C0">
        <w:t>performing</w:t>
      </w:r>
      <w:r w:rsidR="00212D12">
        <w:t xml:space="preserve"> longitudinal model(s) </w:t>
      </w:r>
      <w:r>
        <w:t xml:space="preserve">will be </w:t>
      </w:r>
      <w:r w:rsidR="00E517C0">
        <w:t xml:space="preserve">extended into </w:t>
      </w:r>
      <w:r>
        <w:t xml:space="preserve">joint modelling of ctDNA kinetics and clinical outcomes. Proposed joint models include </w:t>
      </w:r>
      <w:r w:rsidR="00CF003A">
        <w:t>joint longitudinal and time to event models for overall and progression-free</w:t>
      </w:r>
      <w:r>
        <w:t xml:space="preserve"> survival</w:t>
      </w:r>
      <w:r w:rsidR="00CF003A">
        <w:t xml:space="preserve">. If sufficient data are available joint ctDNA and imaging trajectories will be simultaneously modelled. </w:t>
      </w:r>
    </w:p>
    <w:p w14:paraId="2F4E6D6D" w14:textId="419AC3C7" w:rsidR="005757C3" w:rsidRDefault="005757C3" w:rsidP="00335E0D">
      <w:pPr>
        <w:pStyle w:val="p1"/>
      </w:pPr>
    </w:p>
    <w:p w14:paraId="130CE493" w14:textId="1BEB0B3B" w:rsidR="00613A6C" w:rsidRDefault="00613A6C" w:rsidP="00335E0D">
      <w:pPr>
        <w:pStyle w:val="p1"/>
      </w:pPr>
      <w:r w:rsidRPr="00613A6C">
        <w:rPr>
          <w:highlight w:val="yellow"/>
        </w:rPr>
        <w:t>What are the clinical/pathological/molecular and imaging outcomes you would like to model?</w:t>
      </w:r>
      <w:r>
        <w:t xml:space="preserve"> We can add more details here.</w:t>
      </w:r>
    </w:p>
    <w:p w14:paraId="6BD65001" w14:textId="77777777" w:rsidR="00FD7C02" w:rsidRDefault="00FD7C02"/>
    <w:p w14:paraId="07FD7E4A" w14:textId="08CAEC42" w:rsidR="000829A6" w:rsidRPr="00CF003A" w:rsidRDefault="000829A6">
      <w:r>
        <w:t>Margin of Error Calculations</w:t>
      </w:r>
    </w:p>
    <w:p w14:paraId="1DEA9D42" w14:textId="77777777" w:rsidR="000829A6" w:rsidRPr="00CF003A" w:rsidRDefault="000829A6">
      <w:pPr>
        <w:rPr>
          <w:rFonts w:ascii="Calibri" w:hAnsi="Calibri" w:cs="Calibri"/>
          <w:sz w:val="18"/>
          <w:szCs w:val="18"/>
        </w:rPr>
      </w:pPr>
      <w:r w:rsidRPr="00CF003A">
        <w:rPr>
          <w:rFonts w:ascii="Calibri" w:hAnsi="Calibri" w:cs="Calibri"/>
          <w:sz w:val="18"/>
          <w:szCs w:val="18"/>
        </w:rPr>
        <w:t xml:space="preserve">The following table provides the margin of error for a 95% confidence interval around the MRD prevalence estimate based on the expected MRD prevalence (50% is included because it is the most conservative proportion, which generates the largest margin of error), across different sample sizes. </w:t>
      </w:r>
    </w:p>
    <w:p w14:paraId="3C02EB80" w14:textId="77777777" w:rsidR="000829A6" w:rsidRPr="00CF003A" w:rsidRDefault="000829A6">
      <w:pPr>
        <w:rPr>
          <w:rFonts w:ascii="Calibri" w:hAnsi="Calibri" w:cs="Calibri"/>
          <w:sz w:val="18"/>
          <w:szCs w:val="18"/>
        </w:rPr>
      </w:pPr>
      <w:r w:rsidRPr="00CF003A">
        <w:rPr>
          <w:rFonts w:ascii="Calibri" w:hAnsi="Calibri" w:cs="Calibri"/>
          <w:sz w:val="18"/>
          <w:szCs w:val="18"/>
        </w:rPr>
        <w:t xml:space="preserve">Example interpretations: </w:t>
      </w:r>
    </w:p>
    <w:p w14:paraId="647E17EB" w14:textId="0E9620C0" w:rsidR="000829A6" w:rsidRPr="00CF003A" w:rsidRDefault="000829A6">
      <w:pPr>
        <w:rPr>
          <w:rFonts w:ascii="Calibri" w:hAnsi="Calibri" w:cs="Calibri"/>
          <w:sz w:val="18"/>
          <w:szCs w:val="18"/>
        </w:rPr>
      </w:pPr>
      <w:r w:rsidRPr="00CF003A">
        <w:rPr>
          <w:rFonts w:ascii="Calibri" w:hAnsi="Calibri" w:cs="Calibri"/>
          <w:sz w:val="18"/>
          <w:szCs w:val="18"/>
        </w:rPr>
        <w:t>A sample size of 7,000 provides a 95% confidence interval with a margin of error of approximately ±0.9</w:t>
      </w:r>
      <w:r w:rsidR="00E154D9" w:rsidRPr="00CF003A">
        <w:rPr>
          <w:rFonts w:ascii="Calibri" w:hAnsi="Calibri" w:cs="Calibri"/>
          <w:sz w:val="18"/>
          <w:szCs w:val="18"/>
        </w:rPr>
        <w:t>%</w:t>
      </w:r>
      <w:r w:rsidRPr="00CF003A">
        <w:rPr>
          <w:rFonts w:ascii="Calibri" w:hAnsi="Calibri" w:cs="Calibri"/>
          <w:sz w:val="18"/>
          <w:szCs w:val="18"/>
        </w:rPr>
        <w:t xml:space="preserve"> around an estimated MRD prevalence of 20% (i.e., 95% CI approximately 19.1%–20.9%).</w:t>
      </w:r>
    </w:p>
    <w:p w14:paraId="50ADD22D" w14:textId="3D7CAA04" w:rsidR="000829A6" w:rsidRPr="00CF003A" w:rsidRDefault="006419FB">
      <w:pPr>
        <w:rPr>
          <w:rFonts w:ascii="Calibri" w:hAnsi="Calibri" w:cs="Calibri"/>
          <w:sz w:val="18"/>
          <w:szCs w:val="18"/>
        </w:rPr>
      </w:pPr>
      <w:r w:rsidRPr="00CF003A">
        <w:rPr>
          <w:rFonts w:ascii="Calibri" w:hAnsi="Calibri" w:cs="Calibri"/>
          <w:sz w:val="18"/>
          <w:szCs w:val="18"/>
        </w:rPr>
        <w:t>For a true MRD prevalence of 20%, we</w:t>
      </w:r>
      <w:r w:rsidR="000829A6" w:rsidRPr="00CF003A">
        <w:rPr>
          <w:rFonts w:ascii="Calibri" w:hAnsi="Calibri" w:cs="Calibri"/>
          <w:sz w:val="18"/>
          <w:szCs w:val="18"/>
        </w:rPr>
        <w:t xml:space="preserve"> would be able to estimate the </w:t>
      </w:r>
      <w:r w:rsidR="000829A6" w:rsidRPr="00CF003A">
        <w:rPr>
          <w:rFonts w:ascii="Calibri" w:hAnsi="Calibri" w:cs="Calibri"/>
          <w:sz w:val="18"/>
          <w:szCs w:val="18"/>
        </w:rPr>
        <w:t>95% confidence interval with a margin of error of approximately ±</w:t>
      </w:r>
      <w:r w:rsidR="000829A6" w:rsidRPr="00CF003A">
        <w:rPr>
          <w:rFonts w:ascii="Calibri" w:hAnsi="Calibri" w:cs="Calibri"/>
          <w:sz w:val="18"/>
          <w:szCs w:val="18"/>
        </w:rPr>
        <w:t>5.5% for a sub-sample of 200 patients</w:t>
      </w:r>
      <w:r w:rsidRPr="00CF003A">
        <w:rPr>
          <w:rFonts w:ascii="Calibri" w:hAnsi="Calibri" w:cs="Calibri"/>
          <w:sz w:val="18"/>
          <w:szCs w:val="18"/>
        </w:rPr>
        <w:t xml:space="preserve">, or </w:t>
      </w:r>
      <w:r w:rsidRPr="00CF003A">
        <w:rPr>
          <w:rFonts w:ascii="Calibri" w:hAnsi="Calibri" w:cs="Calibri"/>
          <w:sz w:val="18"/>
          <w:szCs w:val="18"/>
        </w:rPr>
        <w:t>±</w:t>
      </w:r>
      <w:r w:rsidRPr="00CF003A">
        <w:rPr>
          <w:rFonts w:ascii="Calibri" w:hAnsi="Calibri" w:cs="Calibri"/>
          <w:sz w:val="18"/>
          <w:szCs w:val="18"/>
        </w:rPr>
        <w:t>4</w:t>
      </w:r>
      <w:r w:rsidRPr="00CF003A">
        <w:rPr>
          <w:rFonts w:ascii="Calibri" w:hAnsi="Calibri" w:cs="Calibri"/>
          <w:sz w:val="18"/>
          <w:szCs w:val="18"/>
        </w:rPr>
        <w:t>.5%</w:t>
      </w:r>
      <w:r w:rsidRPr="00CF003A">
        <w:rPr>
          <w:rFonts w:ascii="Calibri" w:hAnsi="Calibri" w:cs="Calibri"/>
          <w:sz w:val="18"/>
          <w:szCs w:val="18"/>
        </w:rPr>
        <w:t xml:space="preserve"> for n=300. Note that the margins increase with greater MRD prevalence.</w:t>
      </w:r>
    </w:p>
    <w:tbl>
      <w:tblPr>
        <w:tblW w:w="9920" w:type="dxa"/>
        <w:tblLook w:val="04A0" w:firstRow="1" w:lastRow="0" w:firstColumn="1" w:lastColumn="0" w:noHBand="0" w:noVBand="1"/>
      </w:tblPr>
      <w:tblGrid>
        <w:gridCol w:w="1960"/>
        <w:gridCol w:w="1356"/>
        <w:gridCol w:w="1092"/>
        <w:gridCol w:w="1092"/>
        <w:gridCol w:w="1092"/>
        <w:gridCol w:w="1092"/>
        <w:gridCol w:w="1118"/>
        <w:gridCol w:w="1118"/>
      </w:tblGrid>
      <w:tr w:rsidR="000829A6" w:rsidRPr="000829A6" w14:paraId="337337CD" w14:textId="77777777" w:rsidTr="000829A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41FAF" w14:textId="77777777" w:rsidR="000829A6" w:rsidRPr="000829A6" w:rsidRDefault="000829A6" w:rsidP="000829A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9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07847" w14:textId="77777777" w:rsidR="000829A6" w:rsidRPr="000829A6" w:rsidRDefault="000829A6" w:rsidP="000829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Sample Size</w:t>
            </w:r>
          </w:p>
        </w:tc>
      </w:tr>
      <w:tr w:rsidR="000829A6" w:rsidRPr="000829A6" w14:paraId="25D29DEB" w14:textId="77777777" w:rsidTr="000829A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07EA0" w14:textId="1DEBD03C" w:rsidR="000829A6" w:rsidRPr="000829A6" w:rsidRDefault="000829A6" w:rsidP="00082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F003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MRD Prevalence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6A114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50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E7E1D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100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9167E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200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0D8A2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300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3983D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500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450BF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1000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AA181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7000</w:t>
            </w:r>
          </w:p>
        </w:tc>
      </w:tr>
      <w:tr w:rsidR="000829A6" w:rsidRPr="000829A6" w14:paraId="1FF67DFC" w14:textId="77777777" w:rsidTr="000829A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101DC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12551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11.1%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190CF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7.8%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D1CC2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5.5%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503DB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4.5%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1F068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3.5%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08566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2.5%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A55B2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0.9%</w:t>
            </w:r>
          </w:p>
        </w:tc>
      </w:tr>
      <w:tr w:rsidR="000829A6" w:rsidRPr="000829A6" w14:paraId="046B4B4B" w14:textId="77777777" w:rsidTr="000829A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BEAD0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C053A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12.7%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16FD8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9.0%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C68EA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6.4%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1C2BB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5.2%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8652A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4.0%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DBEF1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2.8%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316B7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1.1%</w:t>
            </w:r>
          </w:p>
        </w:tc>
      </w:tr>
      <w:tr w:rsidR="000829A6" w:rsidRPr="000829A6" w14:paraId="7CEEA8ED" w14:textId="77777777" w:rsidTr="000829A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42370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03317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13.6%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4C410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9.6%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250F6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6.8%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8BB38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5.5%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3229E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4.3%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3E7FB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3.0%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76731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1.1%</w:t>
            </w:r>
          </w:p>
        </w:tc>
      </w:tr>
      <w:tr w:rsidR="000829A6" w:rsidRPr="000829A6" w14:paraId="0991EEE1" w14:textId="77777777" w:rsidTr="000829A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37C0A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A73B5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13.9%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5CC22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9.8%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504FA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6.9%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CAF62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5.7%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0FDCC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4.4%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5419D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3.1%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32152" w14:textId="77777777" w:rsidR="000829A6" w:rsidRPr="000829A6" w:rsidRDefault="000829A6" w:rsidP="00082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829A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1.2%</w:t>
            </w:r>
          </w:p>
        </w:tc>
      </w:tr>
    </w:tbl>
    <w:p w14:paraId="6B77EC2F" w14:textId="77777777" w:rsidR="000829A6" w:rsidRPr="00CF003A" w:rsidRDefault="000829A6">
      <w:pPr>
        <w:rPr>
          <w:rFonts w:ascii="Calibri" w:hAnsi="Calibri" w:cs="Calibri"/>
          <w:sz w:val="18"/>
          <w:szCs w:val="18"/>
        </w:rPr>
      </w:pPr>
    </w:p>
    <w:sectPr w:rsidR="000829A6" w:rsidRPr="00CF003A" w:rsidSect="00FD7C0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B774C"/>
    <w:multiLevelType w:val="multilevel"/>
    <w:tmpl w:val="C010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86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A6"/>
    <w:rsid w:val="00040563"/>
    <w:rsid w:val="000829A6"/>
    <w:rsid w:val="001732FC"/>
    <w:rsid w:val="0021244F"/>
    <w:rsid w:val="00212D12"/>
    <w:rsid w:val="0025310B"/>
    <w:rsid w:val="00335E0D"/>
    <w:rsid w:val="005757C3"/>
    <w:rsid w:val="005E68FE"/>
    <w:rsid w:val="00613A6C"/>
    <w:rsid w:val="006419FB"/>
    <w:rsid w:val="006E0A3C"/>
    <w:rsid w:val="006F1A48"/>
    <w:rsid w:val="00704583"/>
    <w:rsid w:val="00755BD3"/>
    <w:rsid w:val="00775F02"/>
    <w:rsid w:val="0078318A"/>
    <w:rsid w:val="00791A28"/>
    <w:rsid w:val="007A6A59"/>
    <w:rsid w:val="009652B8"/>
    <w:rsid w:val="00AF1A86"/>
    <w:rsid w:val="00C570EA"/>
    <w:rsid w:val="00CE18BB"/>
    <w:rsid w:val="00CF003A"/>
    <w:rsid w:val="00D85132"/>
    <w:rsid w:val="00DD4E26"/>
    <w:rsid w:val="00E154D9"/>
    <w:rsid w:val="00E517C0"/>
    <w:rsid w:val="00E76079"/>
    <w:rsid w:val="00E91750"/>
    <w:rsid w:val="00EF260E"/>
    <w:rsid w:val="00FD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81C9E"/>
  <w15:chartTrackingRefBased/>
  <w15:docId w15:val="{85B014E0-75BF-F842-97D3-16A3624D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autoRedefine/>
    <w:uiPriority w:val="9"/>
    <w:unhideWhenUsed/>
    <w:qFormat/>
    <w:rsid w:val="00791A28"/>
    <w:pPr>
      <w:keepNext/>
      <w:keepLines/>
      <w:spacing w:before="120" w:after="0" w:line="240" w:lineRule="auto"/>
      <w:outlineLvl w:val="3"/>
    </w:pPr>
    <w:rPr>
      <w:rFonts w:asciiTheme="majorHAnsi" w:eastAsiaTheme="majorEastAsia" w:hAnsiTheme="majorHAnsi" w:cstheme="majorBidi"/>
      <w:bCs/>
      <w:i/>
      <w:color w:val="000000" w:themeColor="text1"/>
      <w:kern w:val="0"/>
      <w:sz w:val="20"/>
      <w:u w:val="single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qFormat/>
    <w:rsid w:val="00EF260E"/>
    <w:pPr>
      <w:spacing w:before="180" w:after="180" w:line="240" w:lineRule="auto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EF260E"/>
    <w:rPr>
      <w:sz w:val="22"/>
    </w:rPr>
  </w:style>
  <w:style w:type="paragraph" w:customStyle="1" w:styleId="FirstParagraph">
    <w:name w:val="First Paragraph"/>
    <w:basedOn w:val="BodyText"/>
    <w:next w:val="BodyText"/>
    <w:autoRedefine/>
    <w:qFormat/>
    <w:rsid w:val="006E0A3C"/>
    <w:pPr>
      <w:spacing w:before="0" w:after="0"/>
    </w:pPr>
    <w:rPr>
      <w:rFonts w:asciiTheme="majorHAnsi" w:hAnsiTheme="majorHAnsi"/>
      <w:i/>
      <w:iCs/>
      <w:kern w:val="0"/>
      <w:sz w:val="2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91A28"/>
    <w:rPr>
      <w:rFonts w:asciiTheme="majorHAnsi" w:eastAsiaTheme="majorEastAsia" w:hAnsiTheme="majorHAnsi" w:cstheme="majorBidi"/>
      <w:bCs/>
      <w:i/>
      <w:color w:val="000000" w:themeColor="text1"/>
      <w:kern w:val="0"/>
      <w:sz w:val="20"/>
      <w:u w:val="single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82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A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829A6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0829A6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443</Words>
  <Characters>2849</Characters>
  <Application>Microsoft Office Word</Application>
  <DocSecurity>0</DocSecurity>
  <Lines>356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Avery, Lisa</dc:creator>
  <cp:keywords/>
  <dc:description/>
  <cp:lastModifiedBy>Avery, Lisa</cp:lastModifiedBy>
  <cp:revision>4</cp:revision>
  <dcterms:created xsi:type="dcterms:W3CDTF">2026-03-02T20:36:00Z</dcterms:created>
  <dcterms:modified xsi:type="dcterms:W3CDTF">2026-03-03T20:47:00Z</dcterms:modified>
</cp:coreProperties>
</file>