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90DE5" w14:textId="023EE0BB" w:rsidR="00944959" w:rsidRPr="003C7EED" w:rsidRDefault="00944959">
      <w:pPr>
        <w:rPr>
          <w:b/>
          <w:bCs/>
        </w:rPr>
      </w:pPr>
      <w:r w:rsidRPr="003C7EED">
        <w:rPr>
          <w:b/>
          <w:bCs/>
        </w:rPr>
        <w:t>Performance of Prediction Models</w:t>
      </w:r>
      <w:r w:rsidR="003C7EED" w:rsidRPr="003C7EED">
        <w:rPr>
          <w:b/>
          <w:bCs/>
        </w:rPr>
        <w:t xml:space="preserve"> Function</w:t>
      </w:r>
      <w:r w:rsidR="003C7EED" w:rsidRPr="003C7EED">
        <w:rPr>
          <w:b/>
          <w:bCs/>
        </w:rPr>
        <w:tab/>
      </w:r>
      <w:r w:rsidR="00D363DA" w:rsidRPr="00D363DA">
        <w:rPr>
          <w:b/>
          <w:bCs/>
          <w:color w:val="C00000"/>
        </w:rPr>
        <w:t>Add Your Thoughts</w:t>
      </w:r>
      <w:r w:rsidR="00D363DA">
        <w:rPr>
          <w:b/>
          <w:bCs/>
          <w:color w:val="C00000"/>
        </w:rPr>
        <w:t>!</w:t>
      </w:r>
    </w:p>
    <w:p w14:paraId="13AFF566" w14:textId="053490F2" w:rsidR="003C7EED" w:rsidRDefault="003C7EED">
      <w:r>
        <w:t xml:space="preserve">Goal: To standardise </w:t>
      </w:r>
      <w:r w:rsidR="00254481">
        <w:t>our</w:t>
      </w:r>
      <w:r>
        <w:t xml:space="preserve"> reporting of predictive models</w:t>
      </w:r>
    </w:p>
    <w:p w14:paraId="46CE6945" w14:textId="1BA137D7" w:rsidR="003C7EED" w:rsidRDefault="003C7EED">
      <w:r>
        <w:t>Input Options:</w:t>
      </w:r>
    </w:p>
    <w:p w14:paraId="6879B1C9" w14:textId="50B9B672" w:rsidR="003C7EED" w:rsidRDefault="003C7EED" w:rsidP="003C7EED">
      <w:pPr>
        <w:pStyle w:val="ListParagraph"/>
        <w:numPr>
          <w:ilvl w:val="0"/>
          <w:numId w:val="1"/>
        </w:numPr>
      </w:pPr>
      <w:r>
        <w:t>A vector of true values, and a vector of predicted classes?</w:t>
      </w:r>
    </w:p>
    <w:p w14:paraId="3C69D82D" w14:textId="7F9906F5" w:rsidR="003C7EED" w:rsidRDefault="003C7EED" w:rsidP="003C7EED">
      <w:pPr>
        <w:pStyle w:val="ListParagraph"/>
        <w:numPr>
          <w:ilvl w:val="0"/>
          <w:numId w:val="1"/>
        </w:numPr>
      </w:pPr>
      <w:r>
        <w:t>A data frame containing two columns for observations &amp; predictions?</w:t>
      </w:r>
    </w:p>
    <w:p w14:paraId="14EDFB76" w14:textId="3EAB1D2B" w:rsidR="00254481" w:rsidRDefault="00254481" w:rsidP="003C7EED">
      <w:pPr>
        <w:pStyle w:val="ListParagraph"/>
        <w:numPr>
          <w:ilvl w:val="0"/>
          <w:numId w:val="1"/>
        </w:numPr>
      </w:pPr>
      <w:r>
        <w:t>Do we want to allow multiple predictions for comparisons?</w:t>
      </w:r>
    </w:p>
    <w:p w14:paraId="26C93E2A" w14:textId="19EEA1C4" w:rsidR="00944959" w:rsidRDefault="003C7EED">
      <w:r>
        <w:t>Function Arguments</w:t>
      </w:r>
    </w:p>
    <w:p w14:paraId="646E08AD" w14:textId="6C0C3A5A" w:rsidR="003C7EED" w:rsidRDefault="003C7EED" w:rsidP="003C7EED">
      <w:pPr>
        <w:pStyle w:val="ListParagraph"/>
        <w:numPr>
          <w:ilvl w:val="0"/>
          <w:numId w:val="1"/>
        </w:numPr>
      </w:pPr>
      <w:r>
        <w:t>Confidence interval type (Clopper-Pearson, Bootstrap, other?)</w:t>
      </w:r>
    </w:p>
    <w:p w14:paraId="26D3B341" w14:textId="3BA8457B" w:rsidR="003C7EED" w:rsidRDefault="003C7EED" w:rsidP="003C7EED">
      <w:pPr>
        <w:pStyle w:val="ListParagraph"/>
        <w:numPr>
          <w:ilvl w:val="0"/>
          <w:numId w:val="1"/>
        </w:numPr>
      </w:pPr>
      <w:r>
        <w:t>CI width (default to 0.95)</w:t>
      </w:r>
    </w:p>
    <w:p w14:paraId="7FF8F4E5" w14:textId="3D775A65" w:rsidR="003C7EED" w:rsidRDefault="003C7EED" w:rsidP="003C7EED">
      <w:pPr>
        <w:pStyle w:val="ListParagraph"/>
        <w:numPr>
          <w:ilvl w:val="0"/>
          <w:numId w:val="1"/>
        </w:numPr>
      </w:pPr>
      <w:r>
        <w:t xml:space="preserve">Output type (full, recommended, </w:t>
      </w:r>
      <w:proofErr w:type="gramStart"/>
      <w:r>
        <w:t>custom ?</w:t>
      </w:r>
      <w:proofErr w:type="gramEnd"/>
      <w:r>
        <w:t>)</w:t>
      </w:r>
    </w:p>
    <w:p w14:paraId="490B7776" w14:textId="09439053" w:rsidR="003C7EED" w:rsidRDefault="003C7EED" w:rsidP="003C7EED">
      <w:pPr>
        <w:pStyle w:val="ListParagraph"/>
        <w:numPr>
          <w:ilvl w:val="0"/>
          <w:numId w:val="1"/>
        </w:numPr>
      </w:pPr>
      <w:r>
        <w:t>Naming style (do we want options for traditional epidemiology + data science?)</w:t>
      </w:r>
    </w:p>
    <w:p w14:paraId="07E37E77" w14:textId="789EC863" w:rsidR="003C7EED" w:rsidRDefault="003C7EED" w:rsidP="00254481">
      <w:r>
        <w:t>Function Output</w:t>
      </w:r>
    </w:p>
    <w:p w14:paraId="39F6E402" w14:textId="7DBC31B8" w:rsidR="003C7EED" w:rsidRDefault="003C7EED" w:rsidP="00254481">
      <w:r>
        <w:t xml:space="preserve">Table with </w:t>
      </w:r>
      <w:proofErr w:type="gramStart"/>
      <w:r>
        <w:t>metrics  (</w:t>
      </w:r>
      <w:proofErr w:type="gramEnd"/>
      <w:r>
        <w:t>full disclosure</w:t>
      </w:r>
      <w:r w:rsidR="00254481">
        <w:t>:</w:t>
      </w:r>
      <w:r>
        <w:t xml:space="preserve"> AI did the first three columns</w:t>
      </w:r>
      <w:r w:rsidR="00254481">
        <w:t xml:space="preserve"> – I asked it </w:t>
      </w:r>
      <w:proofErr w:type="gramStart"/>
      <w:r w:rsidR="00254481">
        <w:t>be</w:t>
      </w:r>
      <w:proofErr w:type="gramEnd"/>
      <w:r w:rsidR="00254481">
        <w:t xml:space="preserve"> </w:t>
      </w:r>
      <w:proofErr w:type="gramStart"/>
      <w:r w:rsidR="00254481">
        <w:t>to</w:t>
      </w:r>
      <w:proofErr w:type="gramEnd"/>
      <w:r w:rsidR="00254481">
        <w:t xml:space="preserve"> thorough</w:t>
      </w:r>
      <w:r w:rsidR="00D363DA"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1815"/>
        <w:gridCol w:w="1423"/>
        <w:gridCol w:w="1270"/>
        <w:gridCol w:w="981"/>
        <w:gridCol w:w="2186"/>
      </w:tblGrid>
      <w:tr w:rsidR="00802178" w:rsidRPr="00452BA8" w14:paraId="0EDAD009" w14:textId="76D10261" w:rsidTr="009449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7C844" w14:textId="77777777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CB47059" w14:textId="77777777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Strengths</w:t>
            </w:r>
          </w:p>
        </w:tc>
        <w:tc>
          <w:tcPr>
            <w:tcW w:w="0" w:type="auto"/>
            <w:vAlign w:val="center"/>
            <w:hideMark/>
          </w:tcPr>
          <w:p w14:paraId="31471419" w14:textId="77777777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Limitations</w:t>
            </w:r>
          </w:p>
        </w:tc>
        <w:tc>
          <w:tcPr>
            <w:tcW w:w="0" w:type="auto"/>
          </w:tcPr>
          <w:p w14:paraId="0DB2A81C" w14:textId="1B92476A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Calculate &amp; make available?</w:t>
            </w:r>
          </w:p>
        </w:tc>
        <w:tc>
          <w:tcPr>
            <w:tcW w:w="0" w:type="auto"/>
          </w:tcPr>
          <w:p w14:paraId="783BD174" w14:textId="22546ACF" w:rsidR="00944959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Report by Default?</w:t>
            </w:r>
          </w:p>
        </w:tc>
        <w:tc>
          <w:tcPr>
            <w:tcW w:w="0" w:type="auto"/>
          </w:tcPr>
          <w:p w14:paraId="4B55411E" w14:textId="47F04C93" w:rsidR="00944959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Notes/ Comments</w:t>
            </w:r>
          </w:p>
        </w:tc>
      </w:tr>
      <w:tr w:rsidR="00802178" w:rsidRPr="00452BA8" w14:paraId="3A01C338" w14:textId="20AFFBBC" w:rsidTr="00944959">
        <w:trPr>
          <w:tblCellSpacing w:w="15" w:type="dxa"/>
        </w:trPr>
        <w:tc>
          <w:tcPr>
            <w:tcW w:w="0" w:type="auto"/>
            <w:vAlign w:val="center"/>
          </w:tcPr>
          <w:p w14:paraId="4A7464C0" w14:textId="31F73FEE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Prevalence</w:t>
            </w:r>
          </w:p>
        </w:tc>
        <w:tc>
          <w:tcPr>
            <w:tcW w:w="0" w:type="auto"/>
            <w:vAlign w:val="center"/>
          </w:tcPr>
          <w:p w14:paraId="44A054DD" w14:textId="54C2AADF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Adds Context</w:t>
            </w:r>
          </w:p>
        </w:tc>
        <w:tc>
          <w:tcPr>
            <w:tcW w:w="0" w:type="auto"/>
            <w:vAlign w:val="center"/>
          </w:tcPr>
          <w:p w14:paraId="55E47FA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2C29D65" w14:textId="4A0DF4D6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759AC43B" w14:textId="4880169E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1A591AF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17B9D54B" w14:textId="676D1E85" w:rsidTr="00944959">
        <w:trPr>
          <w:tblCellSpacing w:w="15" w:type="dxa"/>
        </w:trPr>
        <w:tc>
          <w:tcPr>
            <w:tcW w:w="0" w:type="auto"/>
            <w:vAlign w:val="center"/>
          </w:tcPr>
          <w:p w14:paraId="406FED66" w14:textId="466A8F0D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Reference Level</w:t>
            </w:r>
          </w:p>
        </w:tc>
        <w:tc>
          <w:tcPr>
            <w:tcW w:w="0" w:type="auto"/>
            <w:vAlign w:val="center"/>
          </w:tcPr>
          <w:p w14:paraId="20F33587" w14:textId="6F4B8CF4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Adds Context</w:t>
            </w:r>
          </w:p>
        </w:tc>
        <w:tc>
          <w:tcPr>
            <w:tcW w:w="0" w:type="auto"/>
            <w:vAlign w:val="center"/>
          </w:tcPr>
          <w:p w14:paraId="2D593CDB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53807BF8" w14:textId="4C988B49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0320ADD7" w14:textId="74F09532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6038C083" w14:textId="2860361F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Don’t include if true class is 0/1 – assume reference is 0</w:t>
            </w:r>
          </w:p>
        </w:tc>
      </w:tr>
      <w:tr w:rsidR="00802178" w:rsidRPr="00452BA8" w14:paraId="42BF89E5" w14:textId="7C3E4684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BB1A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8EFFAD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Simple, intuitive</w:t>
            </w:r>
          </w:p>
        </w:tc>
        <w:tc>
          <w:tcPr>
            <w:tcW w:w="0" w:type="auto"/>
            <w:vAlign w:val="center"/>
            <w:hideMark/>
          </w:tcPr>
          <w:p w14:paraId="7976198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Misleading with class imbalance</w:t>
            </w:r>
          </w:p>
        </w:tc>
        <w:tc>
          <w:tcPr>
            <w:tcW w:w="0" w:type="auto"/>
          </w:tcPr>
          <w:p w14:paraId="0B7D752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58F59E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C24297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2C6C9EAE" w14:textId="1258A410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9F54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Sensitivity (Recall, TPR)</w:t>
            </w:r>
          </w:p>
        </w:tc>
        <w:tc>
          <w:tcPr>
            <w:tcW w:w="0" w:type="auto"/>
            <w:vAlign w:val="center"/>
            <w:hideMark/>
          </w:tcPr>
          <w:p w14:paraId="100B57D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Important for early detection</w:t>
            </w:r>
          </w:p>
        </w:tc>
        <w:tc>
          <w:tcPr>
            <w:tcW w:w="0" w:type="auto"/>
            <w:vAlign w:val="center"/>
            <w:hideMark/>
          </w:tcPr>
          <w:p w14:paraId="1E3683D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Ignores false positives</w:t>
            </w:r>
          </w:p>
        </w:tc>
        <w:tc>
          <w:tcPr>
            <w:tcW w:w="0" w:type="auto"/>
          </w:tcPr>
          <w:p w14:paraId="0A5E50D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BDE841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D9AB2D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0D583A52" w14:textId="62CB77FC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04F4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Specificity (TNR)</w:t>
            </w:r>
          </w:p>
        </w:tc>
        <w:tc>
          <w:tcPr>
            <w:tcW w:w="0" w:type="auto"/>
            <w:vAlign w:val="center"/>
            <w:hideMark/>
          </w:tcPr>
          <w:p w14:paraId="0B5352B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Important for avoiding overtreatment</w:t>
            </w:r>
          </w:p>
        </w:tc>
        <w:tc>
          <w:tcPr>
            <w:tcW w:w="0" w:type="auto"/>
            <w:vAlign w:val="center"/>
            <w:hideMark/>
          </w:tcPr>
          <w:p w14:paraId="16992CC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Ignores false negatives</w:t>
            </w:r>
          </w:p>
        </w:tc>
        <w:tc>
          <w:tcPr>
            <w:tcW w:w="0" w:type="auto"/>
          </w:tcPr>
          <w:p w14:paraId="3EBAD2F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279890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32C6D9E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05D58160" w14:textId="11A19D0E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215B6" w14:textId="6017CE2B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PPV</w:t>
            </w: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r w:rsidR="00944959"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(</w:t>
            </w: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Precision</w:t>
            </w:r>
            <w:r w:rsidR="00944959"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6CC80E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Clinically interpretable</w:t>
            </w:r>
          </w:p>
        </w:tc>
        <w:tc>
          <w:tcPr>
            <w:tcW w:w="0" w:type="auto"/>
            <w:vAlign w:val="center"/>
            <w:hideMark/>
          </w:tcPr>
          <w:p w14:paraId="0E7A532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Depends on prevalence</w:t>
            </w:r>
          </w:p>
        </w:tc>
        <w:tc>
          <w:tcPr>
            <w:tcW w:w="0" w:type="auto"/>
          </w:tcPr>
          <w:p w14:paraId="2740CCA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3615F6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012CF6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3DB8C9C6" w14:textId="6CAC1196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0F0C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NPV</w:t>
            </w:r>
          </w:p>
        </w:tc>
        <w:tc>
          <w:tcPr>
            <w:tcW w:w="0" w:type="auto"/>
            <w:vAlign w:val="center"/>
            <w:hideMark/>
          </w:tcPr>
          <w:p w14:paraId="4560DE6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Useful for surveillance</w:t>
            </w:r>
          </w:p>
        </w:tc>
        <w:tc>
          <w:tcPr>
            <w:tcW w:w="0" w:type="auto"/>
            <w:vAlign w:val="center"/>
            <w:hideMark/>
          </w:tcPr>
          <w:p w14:paraId="3040B6F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Prevalence-dependent</w:t>
            </w:r>
          </w:p>
        </w:tc>
        <w:tc>
          <w:tcPr>
            <w:tcW w:w="0" w:type="auto"/>
          </w:tcPr>
          <w:p w14:paraId="6E15B8A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5368E0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02B9FE8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4DD1C1C6" w14:textId="44A2447F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17DCE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F1 Score</w:t>
            </w:r>
          </w:p>
        </w:tc>
        <w:tc>
          <w:tcPr>
            <w:tcW w:w="0" w:type="auto"/>
            <w:vAlign w:val="center"/>
            <w:hideMark/>
          </w:tcPr>
          <w:p w14:paraId="5C6932C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Good for imbalance</w:t>
            </w:r>
          </w:p>
        </w:tc>
        <w:tc>
          <w:tcPr>
            <w:tcW w:w="0" w:type="auto"/>
            <w:vAlign w:val="center"/>
            <w:hideMark/>
          </w:tcPr>
          <w:p w14:paraId="4ACDA22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Harder to interpret clinically</w:t>
            </w:r>
          </w:p>
        </w:tc>
        <w:tc>
          <w:tcPr>
            <w:tcW w:w="0" w:type="auto"/>
          </w:tcPr>
          <w:p w14:paraId="5C7D261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CAD03B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02AA55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07C007A1" w14:textId="1F15AEFC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3B774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AUC (ROC-AUC)</w:t>
            </w:r>
          </w:p>
        </w:tc>
        <w:tc>
          <w:tcPr>
            <w:tcW w:w="0" w:type="auto"/>
            <w:vAlign w:val="center"/>
            <w:hideMark/>
          </w:tcPr>
          <w:p w14:paraId="46D96FF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Threshold-independent</w:t>
            </w:r>
          </w:p>
        </w:tc>
        <w:tc>
          <w:tcPr>
            <w:tcW w:w="0" w:type="auto"/>
            <w:vAlign w:val="center"/>
            <w:hideMark/>
          </w:tcPr>
          <w:p w14:paraId="1EAA565E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Not calibration-aware</w:t>
            </w:r>
          </w:p>
        </w:tc>
        <w:tc>
          <w:tcPr>
            <w:tcW w:w="0" w:type="auto"/>
          </w:tcPr>
          <w:p w14:paraId="6660129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AF48C3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DE6ABC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7E6C91E6" w14:textId="3557B30D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DE19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Brier Score</w:t>
            </w:r>
          </w:p>
        </w:tc>
        <w:tc>
          <w:tcPr>
            <w:tcW w:w="0" w:type="auto"/>
            <w:vAlign w:val="center"/>
            <w:hideMark/>
          </w:tcPr>
          <w:p w14:paraId="4987A9E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Captures both discrimination &amp; calibration</w:t>
            </w:r>
          </w:p>
        </w:tc>
        <w:tc>
          <w:tcPr>
            <w:tcW w:w="0" w:type="auto"/>
            <w:vAlign w:val="center"/>
            <w:hideMark/>
          </w:tcPr>
          <w:p w14:paraId="748DC93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Harder to interpret scale</w:t>
            </w:r>
          </w:p>
        </w:tc>
        <w:tc>
          <w:tcPr>
            <w:tcW w:w="0" w:type="auto"/>
          </w:tcPr>
          <w:p w14:paraId="610B194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533AA4C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07CCC7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212DB456" w14:textId="4EBBF945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1D08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lastRenderedPageBreak/>
              <w:t>Log-loss (Cross-entropy)</w:t>
            </w:r>
          </w:p>
        </w:tc>
        <w:tc>
          <w:tcPr>
            <w:tcW w:w="0" w:type="auto"/>
            <w:vAlign w:val="center"/>
            <w:hideMark/>
          </w:tcPr>
          <w:p w14:paraId="5FC730BB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Sensitive to confidence</w:t>
            </w:r>
          </w:p>
        </w:tc>
        <w:tc>
          <w:tcPr>
            <w:tcW w:w="0" w:type="auto"/>
            <w:vAlign w:val="center"/>
            <w:hideMark/>
          </w:tcPr>
          <w:p w14:paraId="77A572B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Less intuitive clinically</w:t>
            </w:r>
          </w:p>
        </w:tc>
        <w:tc>
          <w:tcPr>
            <w:tcW w:w="0" w:type="auto"/>
          </w:tcPr>
          <w:p w14:paraId="591376D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5ED7AD2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C56AD54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5F500DE5" w14:textId="4444259D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C1E6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Calibration Slope</w:t>
            </w:r>
          </w:p>
        </w:tc>
        <w:tc>
          <w:tcPr>
            <w:tcW w:w="0" w:type="auto"/>
            <w:vAlign w:val="center"/>
            <w:hideMark/>
          </w:tcPr>
          <w:p w14:paraId="69A698D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Detects overfitting</w:t>
            </w:r>
          </w:p>
        </w:tc>
        <w:tc>
          <w:tcPr>
            <w:tcW w:w="0" w:type="auto"/>
            <w:vAlign w:val="center"/>
            <w:hideMark/>
          </w:tcPr>
          <w:p w14:paraId="37414DB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Needs large sample</w:t>
            </w:r>
          </w:p>
        </w:tc>
        <w:tc>
          <w:tcPr>
            <w:tcW w:w="0" w:type="auto"/>
          </w:tcPr>
          <w:p w14:paraId="1633C80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177D2B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563D76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7C8E017F" w14:textId="624C067A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1F9E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Calibration Intercept</w:t>
            </w:r>
          </w:p>
        </w:tc>
        <w:tc>
          <w:tcPr>
            <w:tcW w:w="0" w:type="auto"/>
            <w:vAlign w:val="center"/>
            <w:hideMark/>
          </w:tcPr>
          <w:p w14:paraId="2216412B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Detects bias</w:t>
            </w:r>
          </w:p>
        </w:tc>
        <w:tc>
          <w:tcPr>
            <w:tcW w:w="0" w:type="auto"/>
            <w:vAlign w:val="center"/>
            <w:hideMark/>
          </w:tcPr>
          <w:p w14:paraId="4ACEDA0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Sample dependent</w:t>
            </w:r>
          </w:p>
        </w:tc>
        <w:tc>
          <w:tcPr>
            <w:tcW w:w="0" w:type="auto"/>
          </w:tcPr>
          <w:p w14:paraId="3C4639C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BE41D9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9A151A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58B56B56" w14:textId="5CC683FA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C5A9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Net Reclassification Index (NRI)</w:t>
            </w:r>
          </w:p>
        </w:tc>
        <w:tc>
          <w:tcPr>
            <w:tcW w:w="0" w:type="auto"/>
            <w:vAlign w:val="center"/>
            <w:hideMark/>
          </w:tcPr>
          <w:p w14:paraId="64209B34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Useful for adding biomarkers (e.g., ctDNA)</w:t>
            </w:r>
          </w:p>
        </w:tc>
        <w:tc>
          <w:tcPr>
            <w:tcW w:w="0" w:type="auto"/>
            <w:vAlign w:val="center"/>
            <w:hideMark/>
          </w:tcPr>
          <w:p w14:paraId="51EEFEE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Can be unstable</w:t>
            </w:r>
          </w:p>
        </w:tc>
        <w:tc>
          <w:tcPr>
            <w:tcW w:w="0" w:type="auto"/>
          </w:tcPr>
          <w:p w14:paraId="794DC35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CDEF5A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6C207E1" w14:textId="765C89F7" w:rsidR="00944959" w:rsidRPr="00452BA8" w:rsidRDefault="00802178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 xml:space="preserve">I like this as a concept, but maybe too niche? Also, we need a reference </w:t>
            </w:r>
          </w:p>
        </w:tc>
      </w:tr>
      <w:tr w:rsidR="00802178" w:rsidRPr="00452BA8" w14:paraId="57B961D2" w14:textId="1CB51875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39B68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Decision Curve Net Benefit</w:t>
            </w:r>
          </w:p>
        </w:tc>
        <w:tc>
          <w:tcPr>
            <w:tcW w:w="0" w:type="auto"/>
            <w:vAlign w:val="center"/>
            <w:hideMark/>
          </w:tcPr>
          <w:p w14:paraId="5060864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Directly links to decision-making</w:t>
            </w:r>
          </w:p>
        </w:tc>
        <w:tc>
          <w:tcPr>
            <w:tcW w:w="0" w:type="auto"/>
            <w:vAlign w:val="center"/>
            <w:hideMark/>
          </w:tcPr>
          <w:p w14:paraId="220C94E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Threshold-dependent</w:t>
            </w:r>
          </w:p>
        </w:tc>
        <w:tc>
          <w:tcPr>
            <w:tcW w:w="0" w:type="auto"/>
          </w:tcPr>
          <w:p w14:paraId="0FEF009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48B728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A78128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376BB787" w14:textId="1B6C8118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A917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Positive Likelihood Ratio (LR+)</w:t>
            </w:r>
          </w:p>
        </w:tc>
        <w:tc>
          <w:tcPr>
            <w:tcW w:w="0" w:type="auto"/>
            <w:vAlign w:val="center"/>
            <w:hideMark/>
          </w:tcPr>
          <w:p w14:paraId="21BB1CE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Prevalence-independent</w:t>
            </w:r>
          </w:p>
        </w:tc>
        <w:tc>
          <w:tcPr>
            <w:tcW w:w="0" w:type="auto"/>
            <w:vAlign w:val="center"/>
            <w:hideMark/>
          </w:tcPr>
          <w:p w14:paraId="2251CE8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Less intuitive</w:t>
            </w:r>
          </w:p>
        </w:tc>
        <w:tc>
          <w:tcPr>
            <w:tcW w:w="0" w:type="auto"/>
          </w:tcPr>
          <w:p w14:paraId="0A9DA82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374D378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CA12F5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55C105DD" w14:textId="3EA1EA3B" w:rsidTr="009449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C844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Negative Likelihood Ratio (LR−)</w:t>
            </w:r>
          </w:p>
        </w:tc>
        <w:tc>
          <w:tcPr>
            <w:tcW w:w="0" w:type="auto"/>
            <w:vAlign w:val="center"/>
            <w:hideMark/>
          </w:tcPr>
          <w:p w14:paraId="05389EB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Prevalence-independent</w:t>
            </w:r>
          </w:p>
        </w:tc>
        <w:tc>
          <w:tcPr>
            <w:tcW w:w="0" w:type="auto"/>
            <w:vAlign w:val="center"/>
            <w:hideMark/>
          </w:tcPr>
          <w:p w14:paraId="682E5D5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Less intuitive</w:t>
            </w:r>
          </w:p>
        </w:tc>
        <w:tc>
          <w:tcPr>
            <w:tcW w:w="0" w:type="auto"/>
          </w:tcPr>
          <w:p w14:paraId="68B92F7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F1021B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4A3BA2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072CDDB" w14:textId="77777777" w:rsidR="00040563" w:rsidRPr="00944959" w:rsidRDefault="00040563">
      <w:pPr>
        <w:rPr>
          <w:rFonts w:ascii="Calibri" w:hAnsi="Calibri" w:cs="Calibri"/>
          <w:sz w:val="20"/>
          <w:szCs w:val="20"/>
        </w:rPr>
      </w:pPr>
    </w:p>
    <w:sectPr w:rsidR="00040563" w:rsidRPr="0094495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07EFA" w14:textId="77777777" w:rsidR="001025D5" w:rsidRDefault="001025D5" w:rsidP="00944959">
      <w:pPr>
        <w:spacing w:after="0" w:line="240" w:lineRule="auto"/>
      </w:pPr>
      <w:r>
        <w:separator/>
      </w:r>
    </w:p>
  </w:endnote>
  <w:endnote w:type="continuationSeparator" w:id="0">
    <w:p w14:paraId="0640D54E" w14:textId="77777777" w:rsidR="001025D5" w:rsidRDefault="001025D5" w:rsidP="009449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6FD92" w14:textId="77777777" w:rsidR="001025D5" w:rsidRDefault="001025D5" w:rsidP="00944959">
      <w:pPr>
        <w:spacing w:after="0" w:line="240" w:lineRule="auto"/>
      </w:pPr>
      <w:r>
        <w:separator/>
      </w:r>
    </w:p>
  </w:footnote>
  <w:footnote w:type="continuationSeparator" w:id="0">
    <w:p w14:paraId="2E2B22C1" w14:textId="77777777" w:rsidR="001025D5" w:rsidRDefault="001025D5" w:rsidP="009449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355D1"/>
    <w:multiLevelType w:val="hybridMultilevel"/>
    <w:tmpl w:val="21EA507C"/>
    <w:lvl w:ilvl="0" w:tplc="A1BE9680">
      <w:start w:val="1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014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BA8"/>
    <w:rsid w:val="00040563"/>
    <w:rsid w:val="001025D5"/>
    <w:rsid w:val="001732FC"/>
    <w:rsid w:val="0025310B"/>
    <w:rsid w:val="00254481"/>
    <w:rsid w:val="003C7EED"/>
    <w:rsid w:val="00452BA8"/>
    <w:rsid w:val="005E68FE"/>
    <w:rsid w:val="006E0A3C"/>
    <w:rsid w:val="00704583"/>
    <w:rsid w:val="00755BD3"/>
    <w:rsid w:val="00775F02"/>
    <w:rsid w:val="00791A28"/>
    <w:rsid w:val="00802178"/>
    <w:rsid w:val="00944959"/>
    <w:rsid w:val="009652B8"/>
    <w:rsid w:val="00D363DA"/>
    <w:rsid w:val="00D85132"/>
    <w:rsid w:val="00DD4E26"/>
    <w:rsid w:val="00E76079"/>
    <w:rsid w:val="00E91750"/>
    <w:rsid w:val="00EF2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CA45F9"/>
  <w15:chartTrackingRefBased/>
  <w15:docId w15:val="{E71F9C48-3235-8346-8B8A-B43A6903E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autoRedefine/>
    <w:uiPriority w:val="9"/>
    <w:unhideWhenUsed/>
    <w:qFormat/>
    <w:rsid w:val="00791A28"/>
    <w:pPr>
      <w:keepNext/>
      <w:keepLines/>
      <w:spacing w:before="120" w:after="0" w:line="240" w:lineRule="auto"/>
      <w:outlineLvl w:val="3"/>
    </w:pPr>
    <w:rPr>
      <w:rFonts w:asciiTheme="majorHAnsi" w:eastAsiaTheme="majorEastAsia" w:hAnsiTheme="majorHAnsi" w:cstheme="majorBidi"/>
      <w:bCs/>
      <w:i/>
      <w:color w:val="000000" w:themeColor="text1"/>
      <w:kern w:val="0"/>
      <w:sz w:val="20"/>
      <w:u w:val="single"/>
      <w:lang w:val="en-US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qFormat/>
    <w:rsid w:val="00EF260E"/>
    <w:pPr>
      <w:spacing w:before="180" w:after="180" w:line="240" w:lineRule="auto"/>
    </w:pPr>
    <w:rPr>
      <w:sz w:val="22"/>
    </w:rPr>
  </w:style>
  <w:style w:type="character" w:customStyle="1" w:styleId="BodyTextChar">
    <w:name w:val="Body Text Char"/>
    <w:basedOn w:val="DefaultParagraphFont"/>
    <w:link w:val="BodyText"/>
    <w:rsid w:val="00EF260E"/>
    <w:rPr>
      <w:sz w:val="22"/>
    </w:rPr>
  </w:style>
  <w:style w:type="paragraph" w:customStyle="1" w:styleId="FirstParagraph">
    <w:name w:val="First Paragraph"/>
    <w:basedOn w:val="BodyText"/>
    <w:next w:val="BodyText"/>
    <w:autoRedefine/>
    <w:qFormat/>
    <w:rsid w:val="006E0A3C"/>
    <w:pPr>
      <w:spacing w:before="0" w:after="0"/>
    </w:pPr>
    <w:rPr>
      <w:rFonts w:asciiTheme="majorHAnsi" w:hAnsiTheme="majorHAnsi"/>
      <w:i/>
      <w:iCs/>
      <w:kern w:val="0"/>
      <w:sz w:val="20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791A28"/>
    <w:rPr>
      <w:rFonts w:asciiTheme="majorHAnsi" w:eastAsiaTheme="majorEastAsia" w:hAnsiTheme="majorHAnsi" w:cstheme="majorBidi"/>
      <w:bCs/>
      <w:i/>
      <w:color w:val="000000" w:themeColor="text1"/>
      <w:kern w:val="0"/>
      <w:sz w:val="20"/>
      <w:u w:val="single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52B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B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B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B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B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B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B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B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B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B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B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B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B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BA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52BA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449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4959"/>
  </w:style>
  <w:style w:type="paragraph" w:styleId="Footer">
    <w:name w:val="footer"/>
    <w:basedOn w:val="Normal"/>
    <w:link w:val="FooterChar"/>
    <w:uiPriority w:val="99"/>
    <w:unhideWhenUsed/>
    <w:rsid w:val="009449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49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275</Words>
  <Characters>1771</Characters>
  <Application>Microsoft Office Word</Application>
  <DocSecurity>0</DocSecurity>
  <Lines>221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Avery, Lisa</dc:creator>
  <cp:keywords/>
  <dc:description/>
  <cp:lastModifiedBy>Avery, Lisa</cp:lastModifiedBy>
  <cp:revision>3</cp:revision>
  <dcterms:created xsi:type="dcterms:W3CDTF">2026-03-03T15:52:00Z</dcterms:created>
  <dcterms:modified xsi:type="dcterms:W3CDTF">2026-03-03T16:23:00Z</dcterms:modified>
</cp:coreProperties>
</file>