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90DE5" w14:textId="43797CB4" w:rsidR="00944959" w:rsidRPr="003C7EED" w:rsidRDefault="00944959">
      <w:pPr>
        <w:rPr>
          <w:b/>
          <w:color w:val="C00000"/>
        </w:rPr>
      </w:pPr>
      <w:r w:rsidRPr="003C7EED">
        <w:rPr>
          <w:b/>
          <w:bCs/>
        </w:rPr>
        <w:t>Performance of Prediction Models</w:t>
      </w:r>
      <w:r w:rsidR="003C7EED" w:rsidRPr="003C7EED">
        <w:rPr>
          <w:b/>
          <w:bCs/>
        </w:rPr>
        <w:t xml:space="preserve"> Function</w:t>
      </w:r>
      <w:r w:rsidR="003C7EED">
        <w:tab/>
      </w:r>
    </w:p>
    <w:p w14:paraId="13AFF566" w14:textId="053490F2" w:rsidR="003C7EED" w:rsidRDefault="003C7EED">
      <w:r w:rsidRPr="0053382D">
        <w:rPr>
          <w:b/>
          <w:bCs/>
          <w:u w:val="single"/>
        </w:rPr>
        <w:t>Goal:</w:t>
      </w:r>
      <w:r>
        <w:t xml:space="preserve"> To standardise </w:t>
      </w:r>
      <w:r w:rsidR="00254481">
        <w:t>our</w:t>
      </w:r>
      <w:r>
        <w:t xml:space="preserve"> reporting of predictive models</w:t>
      </w:r>
    </w:p>
    <w:p w14:paraId="26C93E2A" w14:textId="66EE6C78" w:rsidR="00944959" w:rsidRPr="0053382D" w:rsidRDefault="003C7EED">
      <w:pPr>
        <w:rPr>
          <w:b/>
          <w:bCs/>
          <w:u w:val="single"/>
        </w:rPr>
      </w:pPr>
      <w:r w:rsidRPr="0053382D">
        <w:rPr>
          <w:b/>
          <w:bCs/>
          <w:u w:val="single"/>
        </w:rPr>
        <w:t>Function Arguments</w:t>
      </w:r>
      <w:r w:rsidR="0053382D">
        <w:rPr>
          <w:b/>
          <w:bCs/>
          <w:u w:val="single"/>
        </w:rPr>
        <w:t>:</w:t>
      </w:r>
    </w:p>
    <w:p w14:paraId="0F11A10E" w14:textId="4CE38CA0" w:rsidR="15CA62A7" w:rsidRDefault="15CA62A7" w:rsidP="480B3718">
      <w:pPr>
        <w:pStyle w:val="ListParagraph"/>
        <w:numPr>
          <w:ilvl w:val="0"/>
          <w:numId w:val="1"/>
        </w:numPr>
      </w:pPr>
      <w:r>
        <w:t>A vector of true values</w:t>
      </w:r>
    </w:p>
    <w:p w14:paraId="4192A2A6" w14:textId="6DD4B451" w:rsidR="15CA62A7" w:rsidRDefault="15CA62A7" w:rsidP="480B3718">
      <w:pPr>
        <w:pStyle w:val="ListParagraph"/>
        <w:numPr>
          <w:ilvl w:val="0"/>
          <w:numId w:val="1"/>
        </w:numPr>
      </w:pPr>
      <w:r>
        <w:t xml:space="preserve">A vector of predicted values, these can be dichotomous or scores. </w:t>
      </w:r>
    </w:p>
    <w:p w14:paraId="1087BA57" w14:textId="5243D7CC" w:rsidR="15CA62A7" w:rsidRDefault="15CA62A7" w:rsidP="480B3718">
      <w:pPr>
        <w:pStyle w:val="ListParagraph"/>
        <w:numPr>
          <w:ilvl w:val="0"/>
          <w:numId w:val="1"/>
        </w:numPr>
      </w:pPr>
      <w:r>
        <w:t>Cut-off if predicted values are scores, and not dichotomous this must be specified</w:t>
      </w:r>
    </w:p>
    <w:p w14:paraId="646E08AD" w14:textId="0C589C7B" w:rsidR="003C7EED" w:rsidRDefault="003C7EED" w:rsidP="003C7EED">
      <w:pPr>
        <w:pStyle w:val="ListParagraph"/>
        <w:numPr>
          <w:ilvl w:val="0"/>
          <w:numId w:val="1"/>
        </w:numPr>
      </w:pPr>
      <w:r>
        <w:t>Confidence interval type (Clopper-Pearson</w:t>
      </w:r>
      <w:r w:rsidR="2D0D58A1">
        <w:t xml:space="preserve"> or</w:t>
      </w:r>
      <w:r>
        <w:t xml:space="preserve"> Bootstrap)</w:t>
      </w:r>
    </w:p>
    <w:p w14:paraId="26D3B341" w14:textId="3BA8457B" w:rsidR="003C7EED" w:rsidRDefault="003C7EED" w:rsidP="003C7EED">
      <w:pPr>
        <w:pStyle w:val="ListParagraph"/>
        <w:numPr>
          <w:ilvl w:val="0"/>
          <w:numId w:val="1"/>
        </w:numPr>
      </w:pPr>
      <w:r>
        <w:t>CI width (default to 0.95)</w:t>
      </w:r>
    </w:p>
    <w:p w14:paraId="699FD1B5" w14:textId="125301DD" w:rsidR="40E6FC78" w:rsidRDefault="40E6FC78" w:rsidP="480B3718">
      <w:pPr>
        <w:pStyle w:val="ListParagraph"/>
        <w:numPr>
          <w:ilvl w:val="0"/>
          <w:numId w:val="1"/>
        </w:numPr>
      </w:pPr>
      <w:r>
        <w:t>Argument to separate the point estimate and CI</w:t>
      </w:r>
    </w:p>
    <w:p w14:paraId="7FF8F4E5" w14:textId="7F4F42AC" w:rsidR="003C7EED" w:rsidRDefault="003C7EED" w:rsidP="003C7EED">
      <w:pPr>
        <w:pStyle w:val="ListParagraph"/>
        <w:numPr>
          <w:ilvl w:val="0"/>
          <w:numId w:val="1"/>
        </w:numPr>
      </w:pPr>
      <w:r>
        <w:t xml:space="preserve">Output </w:t>
      </w:r>
      <w:r w:rsidR="00B818F5">
        <w:t>list</w:t>
      </w:r>
      <w:r>
        <w:t xml:space="preserve"> (</w:t>
      </w:r>
      <w:r w:rsidR="7D73DE0C">
        <w:t>epi (shown below) data-science (use precision/recall+F1 score, remove sensitivity ppv)</w:t>
      </w:r>
      <w:r>
        <w:t>,</w:t>
      </w:r>
      <w:r w:rsidR="2C8FAC6B">
        <w:t>all</w:t>
      </w:r>
      <w:r>
        <w:t xml:space="preserve">, custom </w:t>
      </w:r>
      <w:r w:rsidR="13DEB048">
        <w:t>(user specifies the vector of statistics they would like</w:t>
      </w:r>
      <w:r>
        <w:t>)</w:t>
      </w:r>
      <w:r w:rsidR="003B1DBD">
        <w:t>. Provided as a data frame</w:t>
      </w:r>
    </w:p>
    <w:p w14:paraId="705C7445" w14:textId="2806C4D6" w:rsidR="003B1DBD" w:rsidRDefault="003B1DBD" w:rsidP="003C7EED">
      <w:pPr>
        <w:pStyle w:val="ListParagraph"/>
        <w:numPr>
          <w:ilvl w:val="0"/>
          <w:numId w:val="1"/>
        </w:numPr>
      </w:pPr>
      <w:r>
        <w:t>tableOnly = FALSE, if true output the data frame, otherwise call reportRmd::outTable() to display</w:t>
      </w:r>
    </w:p>
    <w:p w14:paraId="07E37E77" w14:textId="789EC863" w:rsidR="003C7EED" w:rsidRPr="0053382D" w:rsidRDefault="003C7EED" w:rsidP="00254481">
      <w:pPr>
        <w:rPr>
          <w:b/>
          <w:bCs/>
          <w:u w:val="single"/>
        </w:rPr>
      </w:pPr>
      <w:r w:rsidRPr="0053382D">
        <w:rPr>
          <w:b/>
          <w:bCs/>
          <w:u w:val="single"/>
        </w:rPr>
        <w:t>Function Output</w:t>
      </w:r>
    </w:p>
    <w:p w14:paraId="0501F560" w14:textId="0B62406A" w:rsidR="2EC16686" w:rsidRDefault="2EC16686" w:rsidP="480B3718">
      <w:r>
        <w:t>This is the “epi” (default) output</w:t>
      </w:r>
    </w:p>
    <w:p w14:paraId="3C306612" w14:textId="77777777" w:rsidR="0053382D" w:rsidRP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1C7193E">
        <w:rPr>
          <w:rFonts w:ascii="Andale Mono" w:hAnsi="Andale Mono"/>
          <w:sz w:val="18"/>
          <w:szCs w:val="18"/>
        </w:rPr>
        <w:t xml:space="preserve">          Statistic     </w:t>
      </w:r>
      <w:commentRangeStart w:id="0"/>
      <w:commentRangeStart w:id="1"/>
      <w:r w:rsidRPr="01C7193E">
        <w:rPr>
          <w:rFonts w:ascii="Andale Mono" w:hAnsi="Andale Mono"/>
          <w:sz w:val="18"/>
          <w:szCs w:val="18"/>
        </w:rPr>
        <w:t>Value (95%CI)</w:t>
      </w:r>
      <w:commentRangeEnd w:id="0"/>
      <w:r w:rsidRPr="0053382D">
        <w:rPr>
          <w:rStyle w:val="CommentReference"/>
          <w:rFonts w:ascii="Andale Mono" w:hAnsi="Andale Mono"/>
          <w:sz w:val="18"/>
          <w:szCs w:val="18"/>
        </w:rPr>
        <w:commentReference w:id="0"/>
      </w:r>
      <w:commentRangeEnd w:id="1"/>
      <w:r w:rsidR="004338F1" w:rsidRPr="0053382D">
        <w:rPr>
          <w:rStyle w:val="CommentReference"/>
          <w:rFonts w:ascii="Andale Mono" w:hAnsi="Andale Mono"/>
          <w:sz w:val="18"/>
          <w:szCs w:val="18"/>
        </w:rPr>
        <w:commentReference w:id="1"/>
      </w:r>
    </w:p>
    <w:p w14:paraId="27C890B7" w14:textId="77777777" w:rsidR="0053382D" w:rsidRP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053382D">
        <w:rPr>
          <w:rFonts w:ascii="Andale Mono" w:hAnsi="Andale Mono"/>
          <w:sz w:val="18"/>
          <w:szCs w:val="18"/>
        </w:rPr>
        <w:t>1        Prevalence 0.57 (0.47, 0.67)</w:t>
      </w:r>
    </w:p>
    <w:p w14:paraId="54647D98" w14:textId="77777777" w:rsidR="0053382D" w:rsidRP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053382D">
        <w:rPr>
          <w:rFonts w:ascii="Andale Mono" w:hAnsi="Andale Mono"/>
          <w:sz w:val="18"/>
          <w:szCs w:val="18"/>
        </w:rPr>
        <w:t>2       Sensitivity 0.79 (0.66, 0.89)</w:t>
      </w:r>
    </w:p>
    <w:p w14:paraId="2E330424" w14:textId="77777777" w:rsidR="0053382D" w:rsidRP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053382D">
        <w:rPr>
          <w:rFonts w:ascii="Andale Mono" w:hAnsi="Andale Mono"/>
          <w:sz w:val="18"/>
          <w:szCs w:val="18"/>
        </w:rPr>
        <w:t>3       Specificity 0.35 (0.21, 0.51)</w:t>
      </w:r>
    </w:p>
    <w:p w14:paraId="76329D56" w14:textId="77777777" w:rsidR="0053382D" w:rsidRP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053382D">
        <w:rPr>
          <w:rFonts w:ascii="Andale Mono" w:hAnsi="Andale Mono"/>
          <w:sz w:val="18"/>
          <w:szCs w:val="18"/>
        </w:rPr>
        <w:t>4               PPV 0.62 (0.50, 0.73)</w:t>
      </w:r>
    </w:p>
    <w:p w14:paraId="0ECAD84B" w14:textId="77777777" w:rsidR="0053382D" w:rsidRP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053382D">
        <w:rPr>
          <w:rFonts w:ascii="Andale Mono" w:hAnsi="Andale Mono"/>
          <w:sz w:val="18"/>
          <w:szCs w:val="18"/>
        </w:rPr>
        <w:t>5               NPV 0.56 (0.35, 0.75)</w:t>
      </w:r>
    </w:p>
    <w:p w14:paraId="16D865E1" w14:textId="77777777" w:rsidR="0053382D" w:rsidRP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053382D">
        <w:rPr>
          <w:rFonts w:ascii="Andale Mono" w:hAnsi="Andale Mono"/>
          <w:sz w:val="18"/>
          <w:szCs w:val="18"/>
        </w:rPr>
        <w:t>6          Accuracy 0.60 (0.50, 0.70)</w:t>
      </w:r>
    </w:p>
    <w:p w14:paraId="06C917CC" w14:textId="77777777" w:rsidR="0053382D" w:rsidRP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053382D">
        <w:rPr>
          <w:rFonts w:ascii="Andale Mono" w:hAnsi="Andale Mono"/>
          <w:sz w:val="18"/>
          <w:szCs w:val="18"/>
        </w:rPr>
        <w:t>7               AUC 0.63 (0.54, 0.75)</w:t>
      </w:r>
    </w:p>
    <w:p w14:paraId="6BA2A348" w14:textId="3E77CD69" w:rsidR="0053382D" w:rsidRDefault="0053382D" w:rsidP="0053382D">
      <w:pPr>
        <w:spacing w:after="0"/>
        <w:rPr>
          <w:rFonts w:ascii="Andale Mono" w:hAnsi="Andale Mono"/>
          <w:sz w:val="18"/>
          <w:szCs w:val="18"/>
        </w:rPr>
      </w:pPr>
      <w:r w:rsidRPr="0053382D">
        <w:rPr>
          <w:rFonts w:ascii="Andale Mono" w:hAnsi="Andale Mono"/>
          <w:sz w:val="18"/>
          <w:szCs w:val="18"/>
        </w:rPr>
        <w:t>8       Sample Size              100</w:t>
      </w:r>
    </w:p>
    <w:p w14:paraId="025FD5EE" w14:textId="3A1787E1" w:rsidR="00F91462" w:rsidRPr="0053382D" w:rsidRDefault="00F91462" w:rsidP="0053382D">
      <w:pPr>
        <w:spacing w:after="0"/>
        <w:rPr>
          <w:rFonts w:ascii="Andale Mono" w:hAnsi="Andale Mono"/>
          <w:sz w:val="18"/>
          <w:szCs w:val="18"/>
        </w:rPr>
      </w:pPr>
      <w:r>
        <w:rPr>
          <w:rFonts w:ascii="Andale Mono" w:hAnsi="Andale Mono"/>
          <w:sz w:val="18"/>
          <w:szCs w:val="18"/>
        </w:rPr>
        <w:t>9             Events               57</w:t>
      </w:r>
    </w:p>
    <w:p w14:paraId="2B9088E4" w14:textId="151CB7FB" w:rsidR="0053382D" w:rsidRDefault="00F91462" w:rsidP="0053382D">
      <w:pPr>
        <w:spacing w:after="0"/>
        <w:rPr>
          <w:rFonts w:ascii="Andale Mono" w:hAnsi="Andale Mono"/>
          <w:sz w:val="18"/>
          <w:szCs w:val="18"/>
        </w:rPr>
      </w:pPr>
      <w:r>
        <w:rPr>
          <w:rFonts w:ascii="Andale Mono" w:hAnsi="Andale Mono"/>
          <w:sz w:val="18"/>
          <w:szCs w:val="18"/>
        </w:rPr>
        <w:t>10</w:t>
      </w:r>
      <w:r w:rsidR="0053382D" w:rsidRPr="0053382D">
        <w:rPr>
          <w:rFonts w:ascii="Andale Mono" w:hAnsi="Andale Mono"/>
          <w:sz w:val="18"/>
          <w:szCs w:val="18"/>
        </w:rPr>
        <w:t xml:space="preserve"> Positive Category                1</w:t>
      </w:r>
    </w:p>
    <w:p w14:paraId="457AD27A" w14:textId="38AC6073" w:rsidR="00F91462" w:rsidRPr="0053382D" w:rsidRDefault="00F91462" w:rsidP="0053382D">
      <w:pPr>
        <w:spacing w:after="0"/>
        <w:rPr>
          <w:rFonts w:ascii="Andale Mono" w:hAnsi="Andale Mono"/>
          <w:sz w:val="18"/>
          <w:szCs w:val="18"/>
        </w:rPr>
      </w:pPr>
      <w:r>
        <w:rPr>
          <w:rFonts w:ascii="Andale Mono" w:hAnsi="Andale Mono"/>
          <w:sz w:val="18"/>
          <w:szCs w:val="18"/>
        </w:rPr>
        <w:t>11          Cut-off</w:t>
      </w:r>
    </w:p>
    <w:p w14:paraId="7EF22586" w14:textId="77777777" w:rsidR="00B46A65" w:rsidRDefault="00B46A65"/>
    <w:p w14:paraId="4567E53E" w14:textId="5E8EC6B3" w:rsidR="00EA4DC3" w:rsidRDefault="00EA4DC3">
      <w:r>
        <w:t xml:space="preserve">Other metrics to compute: </w:t>
      </w:r>
      <w:r>
        <w:rPr>
          <w:rFonts w:ascii="Helvetica" w:hAnsi="Helvetica" w:cs="Helvetica"/>
          <w:kern w:val="0"/>
          <w:lang w:val="en-US"/>
        </w:rPr>
        <w:t>TP/FP/TN/FN</w:t>
      </w:r>
      <w:r>
        <w:rPr>
          <w:rFonts w:ascii="Helvetica" w:hAnsi="Helvetica" w:cs="Helvetica"/>
          <w:kern w:val="0"/>
          <w:lang w:val="en-US"/>
        </w:rPr>
        <w:t>, Brier Score, F1 Score (for data science output) AUC-PR (will replace AUC in the data science output</w:t>
      </w:r>
      <w:r w:rsidR="003B1DBD">
        <w:rPr>
          <w:rFonts w:ascii="Helvetica" w:hAnsi="Helvetica" w:cs="Helvetica"/>
          <w:kern w:val="0"/>
          <w:lang w:val="en-US"/>
        </w:rPr>
        <w:t xml:space="preserve"> list)</w:t>
      </w:r>
    </w:p>
    <w:p w14:paraId="573F6310" w14:textId="77777777" w:rsidR="005D0669" w:rsidRDefault="00B46A65">
      <w:r>
        <w:t xml:space="preserve">References </w:t>
      </w:r>
      <w:r w:rsidR="005D0669">
        <w:t>for comparing two predictive tests</w:t>
      </w:r>
    </w:p>
    <w:p w14:paraId="7258CC00" w14:textId="77777777" w:rsidR="005D0669" w:rsidRPr="005D0669" w:rsidRDefault="005D0669" w:rsidP="005D0669">
      <w:pPr>
        <w:rPr>
          <w:sz w:val="18"/>
          <w:szCs w:val="18"/>
        </w:rPr>
      </w:pPr>
      <w:r w:rsidRPr="005D0669">
        <w:rPr>
          <w:sz w:val="18"/>
          <w:szCs w:val="18"/>
        </w:rPr>
        <w:t>Kosinski AS. A weighted generalized score statistic for comparison of predictive values of diagnostic tests. Stat Med. 2013;32(6):964-977.</w:t>
      </w:r>
    </w:p>
    <w:p w14:paraId="6608154F" w14:textId="77777777" w:rsidR="005D0669" w:rsidRPr="005D0669" w:rsidRDefault="005D0669" w:rsidP="005D0669">
      <w:pPr>
        <w:rPr>
          <w:sz w:val="18"/>
          <w:szCs w:val="18"/>
        </w:rPr>
      </w:pPr>
      <w:r w:rsidRPr="005D0669">
        <w:rPr>
          <w:sz w:val="18"/>
          <w:szCs w:val="18"/>
        </w:rPr>
        <w:t>Wendy Leisenring, Todd Alono, Margaret Sullivan Pepe, Comparisons of Predictive Values of Binary Medical Diagnostic Tests for Paired Designs, Biometrics, Volume 56, Issue 2, June 2000, Pages 345–351, https://doi.org/10.1111/j.0006-341X.2000.00345.x</w:t>
      </w:r>
    </w:p>
    <w:p w14:paraId="60151EA2" w14:textId="77777777" w:rsidR="005D0669" w:rsidRPr="005D0669" w:rsidRDefault="005D0669" w:rsidP="005D0669">
      <w:pPr>
        <w:rPr>
          <w:sz w:val="18"/>
          <w:szCs w:val="18"/>
        </w:rPr>
      </w:pPr>
      <w:r w:rsidRPr="005D0669">
        <w:rPr>
          <w:sz w:val="18"/>
          <w:szCs w:val="18"/>
        </w:rPr>
        <w:lastRenderedPageBreak/>
        <w:t>McNemar, Q. (1947). Note on the sampling error of the difference between correlated proportions or percentages. Psychometrika, 12(2), 153-157.</w:t>
      </w:r>
    </w:p>
    <w:p w14:paraId="2BA9F0FE" w14:textId="65BF020B" w:rsidR="0053382D" w:rsidRDefault="005D0669">
      <w:r w:rsidRPr="005D0669">
        <w:rPr>
          <w:sz w:val="18"/>
          <w:szCs w:val="18"/>
        </w:rPr>
        <w:t>Obuchowski, N. A. (1998). On the comparison of correlated proportions for clustered data. Statistics in medicine, 17(13), 1495-1507.</w:t>
      </w:r>
      <w:r w:rsidR="0053382D">
        <w:br w:type="page"/>
      </w:r>
    </w:p>
    <w:p w14:paraId="39F6E402" w14:textId="77C069DB" w:rsidR="003C7EED" w:rsidRDefault="00B818F5" w:rsidP="00254481">
      <w:r>
        <w:lastRenderedPageBreak/>
        <w:t>Potential Metrics</w:t>
      </w:r>
      <w:r w:rsidR="003C7EED">
        <w:t xml:space="preserve">  (full disclosure</w:t>
      </w:r>
      <w:r w:rsidR="00254481">
        <w:t>:</w:t>
      </w:r>
      <w:r w:rsidR="003C7EED">
        <w:t xml:space="preserve"> AI did the first three columns</w:t>
      </w:r>
      <w:r w:rsidR="00254481">
        <w:t xml:space="preserve"> – I asked it be to thorough</w:t>
      </w:r>
      <w:r w:rsidR="00D363DA"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1808"/>
        <w:gridCol w:w="1425"/>
        <w:gridCol w:w="1275"/>
        <w:gridCol w:w="996"/>
        <w:gridCol w:w="2151"/>
      </w:tblGrid>
      <w:tr w:rsidR="00802178" w:rsidRPr="00452BA8" w14:paraId="0EDAD009" w14:textId="76D10261" w:rsidTr="001BB2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7C844" w14:textId="77777777" w:rsidR="00944959" w:rsidRPr="00452BA8" w:rsidRDefault="00944959" w:rsidP="00452B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7CB47059" w14:textId="77777777" w:rsidR="00944959" w:rsidRPr="00452BA8" w:rsidRDefault="00944959" w:rsidP="00452B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Strengths</w:t>
            </w:r>
          </w:p>
        </w:tc>
        <w:tc>
          <w:tcPr>
            <w:tcW w:w="0" w:type="auto"/>
            <w:vAlign w:val="center"/>
            <w:hideMark/>
          </w:tcPr>
          <w:p w14:paraId="31471419" w14:textId="77777777" w:rsidR="00944959" w:rsidRPr="00452BA8" w:rsidRDefault="00944959" w:rsidP="00452B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Limitations</w:t>
            </w:r>
          </w:p>
        </w:tc>
        <w:tc>
          <w:tcPr>
            <w:tcW w:w="0" w:type="auto"/>
          </w:tcPr>
          <w:p w14:paraId="0DB2A81C" w14:textId="1B92476A" w:rsidR="00944959" w:rsidRPr="00452BA8" w:rsidRDefault="00944959" w:rsidP="00452B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Calculate &amp; make available?</w:t>
            </w:r>
          </w:p>
        </w:tc>
        <w:tc>
          <w:tcPr>
            <w:tcW w:w="0" w:type="auto"/>
          </w:tcPr>
          <w:p w14:paraId="783BD174" w14:textId="22546ACF" w:rsidR="00944959" w:rsidRDefault="00944959" w:rsidP="00452B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Report by Default?</w:t>
            </w:r>
          </w:p>
        </w:tc>
        <w:tc>
          <w:tcPr>
            <w:tcW w:w="0" w:type="auto"/>
          </w:tcPr>
          <w:p w14:paraId="4B55411E" w14:textId="47F04C93" w:rsidR="00944959" w:rsidRDefault="00944959" w:rsidP="00452B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Notes/ Comments</w:t>
            </w:r>
          </w:p>
        </w:tc>
      </w:tr>
      <w:tr w:rsidR="00802178" w:rsidRPr="00452BA8" w14:paraId="3A01C338" w14:textId="20AFFBBC" w:rsidTr="001BB263">
        <w:trPr>
          <w:tblCellSpacing w:w="15" w:type="dxa"/>
        </w:trPr>
        <w:tc>
          <w:tcPr>
            <w:tcW w:w="0" w:type="auto"/>
            <w:vAlign w:val="center"/>
          </w:tcPr>
          <w:p w14:paraId="4A7464C0" w14:textId="31F73FEE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Prevalence</w:t>
            </w:r>
          </w:p>
        </w:tc>
        <w:tc>
          <w:tcPr>
            <w:tcW w:w="0" w:type="auto"/>
            <w:vAlign w:val="center"/>
          </w:tcPr>
          <w:p w14:paraId="44A054DD" w14:textId="54C2AADF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Adds Context</w:t>
            </w:r>
          </w:p>
        </w:tc>
        <w:tc>
          <w:tcPr>
            <w:tcW w:w="0" w:type="auto"/>
            <w:vAlign w:val="center"/>
          </w:tcPr>
          <w:p w14:paraId="55E47FA5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72C29D65" w14:textId="4A0DF4D6" w:rsidR="00944959" w:rsidRPr="00452BA8" w:rsidRDefault="003C7EED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YES</w:t>
            </w:r>
          </w:p>
        </w:tc>
        <w:tc>
          <w:tcPr>
            <w:tcW w:w="0" w:type="auto"/>
          </w:tcPr>
          <w:p w14:paraId="759AC43B" w14:textId="4880169E" w:rsidR="00944959" w:rsidRPr="00452BA8" w:rsidRDefault="003C7EED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YES</w:t>
            </w:r>
          </w:p>
        </w:tc>
        <w:tc>
          <w:tcPr>
            <w:tcW w:w="0" w:type="auto"/>
          </w:tcPr>
          <w:p w14:paraId="1A591AF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17B9D54B" w14:textId="676D1E85" w:rsidTr="001BB263">
        <w:trPr>
          <w:tblCellSpacing w:w="15" w:type="dxa"/>
        </w:trPr>
        <w:tc>
          <w:tcPr>
            <w:tcW w:w="0" w:type="auto"/>
            <w:vAlign w:val="center"/>
          </w:tcPr>
          <w:p w14:paraId="406FED66" w14:textId="466A8F0D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Reference Level</w:t>
            </w:r>
          </w:p>
        </w:tc>
        <w:tc>
          <w:tcPr>
            <w:tcW w:w="0" w:type="auto"/>
            <w:vAlign w:val="center"/>
          </w:tcPr>
          <w:p w14:paraId="20F33587" w14:textId="6F4B8CF4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Adds Context</w:t>
            </w:r>
          </w:p>
        </w:tc>
        <w:tc>
          <w:tcPr>
            <w:tcW w:w="0" w:type="auto"/>
            <w:vAlign w:val="center"/>
          </w:tcPr>
          <w:p w14:paraId="2D593CDB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53807BF8" w14:textId="4C988B49" w:rsidR="00944959" w:rsidRPr="00452BA8" w:rsidRDefault="003C7EED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YES</w:t>
            </w:r>
          </w:p>
        </w:tc>
        <w:tc>
          <w:tcPr>
            <w:tcW w:w="0" w:type="auto"/>
          </w:tcPr>
          <w:p w14:paraId="0320ADD7" w14:textId="74F09532" w:rsidR="00944959" w:rsidRPr="00452BA8" w:rsidRDefault="003C7EED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YES</w:t>
            </w:r>
          </w:p>
        </w:tc>
        <w:tc>
          <w:tcPr>
            <w:tcW w:w="0" w:type="auto"/>
          </w:tcPr>
          <w:p w14:paraId="6038C083" w14:textId="2860361F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Don’t include if true class is 0/1 – assume reference is 0</w:t>
            </w:r>
          </w:p>
        </w:tc>
      </w:tr>
      <w:tr w:rsidR="00802178" w:rsidRPr="00452BA8" w14:paraId="42BF89E5" w14:textId="7C3E4684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BB1A6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08EFFAD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Simple, intuitive</w:t>
            </w:r>
          </w:p>
        </w:tc>
        <w:tc>
          <w:tcPr>
            <w:tcW w:w="0" w:type="auto"/>
            <w:vAlign w:val="center"/>
            <w:hideMark/>
          </w:tcPr>
          <w:p w14:paraId="7976198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Misleading with class imbalance</w:t>
            </w:r>
          </w:p>
        </w:tc>
        <w:tc>
          <w:tcPr>
            <w:tcW w:w="0" w:type="auto"/>
          </w:tcPr>
          <w:p w14:paraId="0B7D752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58F59E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7C24297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2C6C9EAE" w14:textId="1258A410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9F546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Sensitivity (Recall, TPR)</w:t>
            </w:r>
          </w:p>
        </w:tc>
        <w:tc>
          <w:tcPr>
            <w:tcW w:w="0" w:type="auto"/>
            <w:vAlign w:val="center"/>
            <w:hideMark/>
          </w:tcPr>
          <w:p w14:paraId="100B57D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Important for early detection</w:t>
            </w:r>
          </w:p>
        </w:tc>
        <w:tc>
          <w:tcPr>
            <w:tcW w:w="0" w:type="auto"/>
            <w:vAlign w:val="center"/>
            <w:hideMark/>
          </w:tcPr>
          <w:p w14:paraId="1E3683D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Ignores false positives</w:t>
            </w:r>
          </w:p>
        </w:tc>
        <w:tc>
          <w:tcPr>
            <w:tcW w:w="0" w:type="auto"/>
          </w:tcPr>
          <w:p w14:paraId="0A5E50D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7BDE8411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6D9AB2D5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0D583A52" w14:textId="62CB77FC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04F4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Specificity (TNR)</w:t>
            </w:r>
          </w:p>
        </w:tc>
        <w:tc>
          <w:tcPr>
            <w:tcW w:w="0" w:type="auto"/>
            <w:vAlign w:val="center"/>
            <w:hideMark/>
          </w:tcPr>
          <w:p w14:paraId="0B5352B9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Important for avoiding overtreatment</w:t>
            </w:r>
          </w:p>
        </w:tc>
        <w:tc>
          <w:tcPr>
            <w:tcW w:w="0" w:type="auto"/>
            <w:vAlign w:val="center"/>
            <w:hideMark/>
          </w:tcPr>
          <w:p w14:paraId="16992CC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Ignores false negatives</w:t>
            </w:r>
          </w:p>
        </w:tc>
        <w:tc>
          <w:tcPr>
            <w:tcW w:w="0" w:type="auto"/>
          </w:tcPr>
          <w:p w14:paraId="3EBAD2F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4279890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32C6D9E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05D58160" w14:textId="11A19D0E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215B6" w14:textId="6017CE2B" w:rsidR="00944959" w:rsidRPr="00452BA8" w:rsidRDefault="003C7EED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 xml:space="preserve">PPV </w:t>
            </w:r>
            <w:r w:rsidR="00944959"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(</w:t>
            </w: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Precision</w:t>
            </w:r>
            <w:r w:rsidR="00944959"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6CC80EA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Clinically interpretable</w:t>
            </w:r>
          </w:p>
        </w:tc>
        <w:tc>
          <w:tcPr>
            <w:tcW w:w="0" w:type="auto"/>
            <w:vAlign w:val="center"/>
            <w:hideMark/>
          </w:tcPr>
          <w:p w14:paraId="0E7A532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Depends on prevalence</w:t>
            </w:r>
          </w:p>
        </w:tc>
        <w:tc>
          <w:tcPr>
            <w:tcW w:w="0" w:type="auto"/>
          </w:tcPr>
          <w:p w14:paraId="2740CCA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3615F66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012CF6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3DB8C9C6" w14:textId="6CAC1196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0F0C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NPV</w:t>
            </w:r>
          </w:p>
        </w:tc>
        <w:tc>
          <w:tcPr>
            <w:tcW w:w="0" w:type="auto"/>
            <w:vAlign w:val="center"/>
            <w:hideMark/>
          </w:tcPr>
          <w:p w14:paraId="4560DE66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Useful for surveillance</w:t>
            </w:r>
          </w:p>
        </w:tc>
        <w:tc>
          <w:tcPr>
            <w:tcW w:w="0" w:type="auto"/>
            <w:vAlign w:val="center"/>
            <w:hideMark/>
          </w:tcPr>
          <w:p w14:paraId="3040B6F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Prevalence-dependent</w:t>
            </w:r>
          </w:p>
        </w:tc>
        <w:tc>
          <w:tcPr>
            <w:tcW w:w="0" w:type="auto"/>
          </w:tcPr>
          <w:p w14:paraId="6E15B8A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5368E0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202B9FE8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4DD1C1C6" w14:textId="44A2447F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17DCE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F1 Score</w:t>
            </w:r>
          </w:p>
        </w:tc>
        <w:tc>
          <w:tcPr>
            <w:tcW w:w="0" w:type="auto"/>
            <w:vAlign w:val="center"/>
            <w:hideMark/>
          </w:tcPr>
          <w:p w14:paraId="5C6932C5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Good for imbalance</w:t>
            </w:r>
          </w:p>
        </w:tc>
        <w:tc>
          <w:tcPr>
            <w:tcW w:w="0" w:type="auto"/>
            <w:vAlign w:val="center"/>
            <w:hideMark/>
          </w:tcPr>
          <w:p w14:paraId="4ACDA22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Harder to interpret clinically</w:t>
            </w:r>
          </w:p>
        </w:tc>
        <w:tc>
          <w:tcPr>
            <w:tcW w:w="0" w:type="auto"/>
          </w:tcPr>
          <w:p w14:paraId="5C7D261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2CAD03B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202AA55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07C007A1" w14:textId="1F15AEFC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3B774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AUC (ROC-AUC)</w:t>
            </w:r>
          </w:p>
        </w:tc>
        <w:tc>
          <w:tcPr>
            <w:tcW w:w="0" w:type="auto"/>
            <w:vAlign w:val="center"/>
            <w:hideMark/>
          </w:tcPr>
          <w:p w14:paraId="46D96FF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Threshold-independent</w:t>
            </w:r>
          </w:p>
        </w:tc>
        <w:tc>
          <w:tcPr>
            <w:tcW w:w="0" w:type="auto"/>
            <w:vAlign w:val="center"/>
            <w:hideMark/>
          </w:tcPr>
          <w:p w14:paraId="1EAA565E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Not calibration-aware</w:t>
            </w:r>
          </w:p>
        </w:tc>
        <w:tc>
          <w:tcPr>
            <w:tcW w:w="0" w:type="auto"/>
          </w:tcPr>
          <w:p w14:paraId="6660129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2AF48C39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1DE6ABC0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7E6C91E6" w14:textId="3557B30D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DE19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Brier Score</w:t>
            </w:r>
          </w:p>
        </w:tc>
        <w:tc>
          <w:tcPr>
            <w:tcW w:w="0" w:type="auto"/>
            <w:vAlign w:val="center"/>
            <w:hideMark/>
          </w:tcPr>
          <w:p w14:paraId="4987A9E6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Captures both discrimination &amp; calibration</w:t>
            </w:r>
          </w:p>
        </w:tc>
        <w:tc>
          <w:tcPr>
            <w:tcW w:w="0" w:type="auto"/>
            <w:vAlign w:val="center"/>
            <w:hideMark/>
          </w:tcPr>
          <w:p w14:paraId="748DC93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Harder to interpret scale</w:t>
            </w:r>
          </w:p>
        </w:tc>
        <w:tc>
          <w:tcPr>
            <w:tcW w:w="0" w:type="auto"/>
          </w:tcPr>
          <w:p w14:paraId="610B1941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533AA4CA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07CCC7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212DB456" w14:textId="4EBBF945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1D08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Log-loss (Cross-entropy)</w:t>
            </w:r>
          </w:p>
        </w:tc>
        <w:tc>
          <w:tcPr>
            <w:tcW w:w="0" w:type="auto"/>
            <w:vAlign w:val="center"/>
            <w:hideMark/>
          </w:tcPr>
          <w:p w14:paraId="5FC730BB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Sensitive to confidence</w:t>
            </w:r>
          </w:p>
        </w:tc>
        <w:tc>
          <w:tcPr>
            <w:tcW w:w="0" w:type="auto"/>
            <w:vAlign w:val="center"/>
            <w:hideMark/>
          </w:tcPr>
          <w:p w14:paraId="77A572B0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Less intuitive clinically</w:t>
            </w:r>
          </w:p>
        </w:tc>
        <w:tc>
          <w:tcPr>
            <w:tcW w:w="0" w:type="auto"/>
          </w:tcPr>
          <w:p w14:paraId="591376DA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5ED7AD2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1C56AD54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5F500DE5" w14:textId="4444259D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C1E6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Calibration Slope</w:t>
            </w:r>
          </w:p>
        </w:tc>
        <w:tc>
          <w:tcPr>
            <w:tcW w:w="0" w:type="auto"/>
            <w:vAlign w:val="center"/>
            <w:hideMark/>
          </w:tcPr>
          <w:p w14:paraId="69A698D0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Detects overfitting</w:t>
            </w:r>
          </w:p>
        </w:tc>
        <w:tc>
          <w:tcPr>
            <w:tcW w:w="0" w:type="auto"/>
            <w:vAlign w:val="center"/>
            <w:hideMark/>
          </w:tcPr>
          <w:p w14:paraId="37414DB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Needs large sample</w:t>
            </w:r>
          </w:p>
        </w:tc>
        <w:tc>
          <w:tcPr>
            <w:tcW w:w="0" w:type="auto"/>
          </w:tcPr>
          <w:p w14:paraId="1633C801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6177D2B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563D76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7C8E017F" w14:textId="624C067A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1F9E9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Calibration Intercept</w:t>
            </w:r>
          </w:p>
        </w:tc>
        <w:tc>
          <w:tcPr>
            <w:tcW w:w="0" w:type="auto"/>
            <w:vAlign w:val="center"/>
            <w:hideMark/>
          </w:tcPr>
          <w:p w14:paraId="2216412B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Detects bias</w:t>
            </w:r>
          </w:p>
        </w:tc>
        <w:tc>
          <w:tcPr>
            <w:tcW w:w="0" w:type="auto"/>
            <w:vAlign w:val="center"/>
            <w:hideMark/>
          </w:tcPr>
          <w:p w14:paraId="4ACEDA00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Sample dependent</w:t>
            </w:r>
          </w:p>
        </w:tc>
        <w:tc>
          <w:tcPr>
            <w:tcW w:w="0" w:type="auto"/>
          </w:tcPr>
          <w:p w14:paraId="3C4639C6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4BE41D9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19A151A9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58B56B56" w14:textId="5CC683FA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C5A9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Net Reclassification Index (NRI)</w:t>
            </w:r>
          </w:p>
        </w:tc>
        <w:tc>
          <w:tcPr>
            <w:tcW w:w="0" w:type="auto"/>
            <w:vAlign w:val="center"/>
            <w:hideMark/>
          </w:tcPr>
          <w:p w14:paraId="64209B34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Useful for adding biomarkers (e.g., ctDNA)</w:t>
            </w:r>
          </w:p>
        </w:tc>
        <w:tc>
          <w:tcPr>
            <w:tcW w:w="0" w:type="auto"/>
            <w:vAlign w:val="center"/>
            <w:hideMark/>
          </w:tcPr>
          <w:p w14:paraId="51EEFEE5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Can be unstable</w:t>
            </w:r>
          </w:p>
        </w:tc>
        <w:tc>
          <w:tcPr>
            <w:tcW w:w="0" w:type="auto"/>
          </w:tcPr>
          <w:p w14:paraId="794DC35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0CDEF5A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46C207E1" w14:textId="765C89F7" w:rsidR="00944959" w:rsidRPr="00452BA8" w:rsidRDefault="00802178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 xml:space="preserve">I like this as a concept, but maybe too niche? Also, we need a reference </w:t>
            </w:r>
          </w:p>
        </w:tc>
      </w:tr>
      <w:tr w:rsidR="00802178" w:rsidRPr="00452BA8" w14:paraId="57B961D2" w14:textId="1CB51875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39B68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Decision Curve Net Benefit</w:t>
            </w:r>
          </w:p>
        </w:tc>
        <w:tc>
          <w:tcPr>
            <w:tcW w:w="0" w:type="auto"/>
            <w:vAlign w:val="center"/>
            <w:hideMark/>
          </w:tcPr>
          <w:p w14:paraId="5060864A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Directly links to decision-making</w:t>
            </w:r>
          </w:p>
        </w:tc>
        <w:tc>
          <w:tcPr>
            <w:tcW w:w="0" w:type="auto"/>
            <w:vAlign w:val="center"/>
            <w:hideMark/>
          </w:tcPr>
          <w:p w14:paraId="220C94E9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Threshold-dependent</w:t>
            </w:r>
          </w:p>
        </w:tc>
        <w:tc>
          <w:tcPr>
            <w:tcW w:w="0" w:type="auto"/>
          </w:tcPr>
          <w:p w14:paraId="0FEF0091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148B7282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6A78128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376BB787" w14:textId="1B6C8118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A9173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Positive Likelihood Ratio (LR+)</w:t>
            </w:r>
          </w:p>
        </w:tc>
        <w:tc>
          <w:tcPr>
            <w:tcW w:w="0" w:type="auto"/>
            <w:vAlign w:val="center"/>
            <w:hideMark/>
          </w:tcPr>
          <w:p w14:paraId="21BB1CE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Prevalence-independent</w:t>
            </w:r>
          </w:p>
        </w:tc>
        <w:tc>
          <w:tcPr>
            <w:tcW w:w="0" w:type="auto"/>
            <w:vAlign w:val="center"/>
            <w:hideMark/>
          </w:tcPr>
          <w:p w14:paraId="2251CE80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Less intuitive</w:t>
            </w:r>
          </w:p>
        </w:tc>
        <w:tc>
          <w:tcPr>
            <w:tcW w:w="0" w:type="auto"/>
          </w:tcPr>
          <w:p w14:paraId="0A9DA82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6374D378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2CA12F5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802178" w:rsidRPr="00452BA8" w14:paraId="55C105DD" w14:textId="3EA1EA3B" w:rsidTr="001BB2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C8445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b/>
                <w:bCs/>
                <w:kern w:val="0"/>
                <w:sz w:val="20"/>
                <w:szCs w:val="20"/>
                <w14:ligatures w14:val="none"/>
              </w:rPr>
              <w:t>Negative Likelihood Ratio (LR−)</w:t>
            </w:r>
          </w:p>
        </w:tc>
        <w:tc>
          <w:tcPr>
            <w:tcW w:w="0" w:type="auto"/>
            <w:vAlign w:val="center"/>
            <w:hideMark/>
          </w:tcPr>
          <w:p w14:paraId="05389EBD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Prevalence-independent</w:t>
            </w:r>
          </w:p>
        </w:tc>
        <w:tc>
          <w:tcPr>
            <w:tcW w:w="0" w:type="auto"/>
            <w:vAlign w:val="center"/>
            <w:hideMark/>
          </w:tcPr>
          <w:p w14:paraId="682E5D5F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  <w:r w:rsidRPr="00452BA8"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  <w:t>Less intuitive</w:t>
            </w:r>
          </w:p>
        </w:tc>
        <w:tc>
          <w:tcPr>
            <w:tcW w:w="0" w:type="auto"/>
          </w:tcPr>
          <w:p w14:paraId="68B92F77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4F1021BC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</w:tcPr>
          <w:p w14:paraId="64A3BA2A" w14:textId="77777777" w:rsidR="00944959" w:rsidRPr="00452BA8" w:rsidRDefault="00944959" w:rsidP="00452BA8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1BB263" w14:paraId="40A3EE11" w14:textId="77777777" w:rsidTr="001BB263">
        <w:trPr>
          <w:trHeight w:val="300"/>
          <w:tblCellSpacing w:w="15" w:type="dxa"/>
        </w:trPr>
        <w:tc>
          <w:tcPr>
            <w:tcW w:w="1685" w:type="dxa"/>
            <w:vAlign w:val="center"/>
            <w:hideMark/>
          </w:tcPr>
          <w:p w14:paraId="704F32F2" w14:textId="33D0C960" w:rsidR="673CA5E2" w:rsidRDefault="673CA5E2" w:rsidP="001BB263">
            <w:pPr>
              <w:spacing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1BB263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Cohen’s Kappa</w:t>
            </w:r>
          </w:p>
        </w:tc>
        <w:tc>
          <w:tcPr>
            <w:tcW w:w="1815" w:type="dxa"/>
            <w:vAlign w:val="center"/>
            <w:hideMark/>
          </w:tcPr>
          <w:p w14:paraId="0CA717D4" w14:textId="680708D1" w:rsidR="673CA5E2" w:rsidRDefault="673CA5E2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1BB263">
              <w:rPr>
                <w:rFonts w:ascii="Calibri" w:eastAsia="Times New Roman" w:hAnsi="Calibri" w:cs="Calibri"/>
                <w:sz w:val="20"/>
                <w:szCs w:val="20"/>
              </w:rPr>
              <w:t>Categorical</w:t>
            </w:r>
            <w:r w:rsidR="1F863C5B" w:rsidRPr="001BB263">
              <w:rPr>
                <w:rFonts w:ascii="Calibri" w:eastAsia="Times New Roman" w:hAnsi="Calibri" w:cs="Calibri"/>
                <w:sz w:val="20"/>
                <w:szCs w:val="20"/>
              </w:rPr>
              <w:t>. Inter-rater reliability</w:t>
            </w:r>
          </w:p>
        </w:tc>
        <w:tc>
          <w:tcPr>
            <w:tcW w:w="1423" w:type="dxa"/>
            <w:vAlign w:val="center"/>
            <w:hideMark/>
          </w:tcPr>
          <w:p w14:paraId="1323D1A5" w14:textId="5F2E164C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1270" w:type="dxa"/>
          </w:tcPr>
          <w:p w14:paraId="12AE0B30" w14:textId="1DF6E9FD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981" w:type="dxa"/>
          </w:tcPr>
          <w:p w14:paraId="621F14B2" w14:textId="6F410CE7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2186" w:type="dxa"/>
          </w:tcPr>
          <w:p w14:paraId="053AEC51" w14:textId="50D9DBD0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</w:tr>
      <w:tr w:rsidR="001BB263" w14:paraId="052FE7A7" w14:textId="77777777" w:rsidTr="001BB263">
        <w:trPr>
          <w:trHeight w:val="300"/>
          <w:tblCellSpacing w:w="15" w:type="dxa"/>
        </w:trPr>
        <w:tc>
          <w:tcPr>
            <w:tcW w:w="1685" w:type="dxa"/>
            <w:vAlign w:val="center"/>
            <w:hideMark/>
          </w:tcPr>
          <w:p w14:paraId="4A8D7AA9" w14:textId="48D215FF" w:rsidR="673CA5E2" w:rsidRDefault="673CA5E2" w:rsidP="001BB263">
            <w:pPr>
              <w:spacing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1BB263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lastRenderedPageBreak/>
              <w:t>Normalized Mutual Information (NMI)</w:t>
            </w:r>
          </w:p>
        </w:tc>
        <w:tc>
          <w:tcPr>
            <w:tcW w:w="1815" w:type="dxa"/>
            <w:vAlign w:val="center"/>
            <w:hideMark/>
          </w:tcPr>
          <w:p w14:paraId="58CDA6AD" w14:textId="28032CC5" w:rsidR="673CA5E2" w:rsidRDefault="673CA5E2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1BB263">
              <w:rPr>
                <w:rFonts w:ascii="Calibri" w:eastAsia="Times New Roman" w:hAnsi="Calibri" w:cs="Calibri"/>
                <w:sz w:val="20"/>
                <w:szCs w:val="20"/>
              </w:rPr>
              <w:t>Categorical. Measure of similarity between two data clusters</w:t>
            </w:r>
          </w:p>
        </w:tc>
        <w:tc>
          <w:tcPr>
            <w:tcW w:w="1423" w:type="dxa"/>
            <w:vAlign w:val="center"/>
            <w:hideMark/>
          </w:tcPr>
          <w:p w14:paraId="13B509D4" w14:textId="3DA3168C" w:rsidR="001BB263" w:rsidRDefault="001BB263" w:rsidP="001BB263">
            <w:pPr>
              <w:spacing w:line="240" w:lineRule="auto"/>
              <w:ind w:left="720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1270" w:type="dxa"/>
          </w:tcPr>
          <w:p w14:paraId="21B428FF" w14:textId="289164A9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981" w:type="dxa"/>
          </w:tcPr>
          <w:p w14:paraId="4FA9B2AE" w14:textId="74832F54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2186" w:type="dxa"/>
          </w:tcPr>
          <w:p w14:paraId="3968D8B8" w14:textId="2B1A4B6B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</w:tr>
      <w:tr w:rsidR="001BB263" w14:paraId="54E88D7F" w14:textId="77777777" w:rsidTr="001BB263">
        <w:trPr>
          <w:trHeight w:val="300"/>
          <w:tblCellSpacing w:w="15" w:type="dxa"/>
        </w:trPr>
        <w:tc>
          <w:tcPr>
            <w:tcW w:w="1685" w:type="dxa"/>
            <w:vAlign w:val="center"/>
            <w:hideMark/>
          </w:tcPr>
          <w:p w14:paraId="48762C61" w14:textId="5358FCA0" w:rsidR="3270CBF9" w:rsidRDefault="3270CBF9" w:rsidP="001BB263">
            <w:pPr>
              <w:spacing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1BB263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Adjusted Rand Index (ARI)</w:t>
            </w:r>
          </w:p>
        </w:tc>
        <w:tc>
          <w:tcPr>
            <w:tcW w:w="1815" w:type="dxa"/>
            <w:vAlign w:val="center"/>
            <w:hideMark/>
          </w:tcPr>
          <w:p w14:paraId="6347C593" w14:textId="50C00ED1" w:rsidR="3270CBF9" w:rsidRDefault="3270CBF9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1BB263">
              <w:rPr>
                <w:rFonts w:ascii="Calibri" w:eastAsia="Times New Roman" w:hAnsi="Calibri" w:cs="Calibri"/>
                <w:sz w:val="20"/>
                <w:szCs w:val="20"/>
              </w:rPr>
              <w:t>Categorical. Quantify the similarity between two clusterings of the same data</w:t>
            </w:r>
          </w:p>
        </w:tc>
        <w:tc>
          <w:tcPr>
            <w:tcW w:w="1423" w:type="dxa"/>
            <w:vAlign w:val="center"/>
            <w:hideMark/>
          </w:tcPr>
          <w:p w14:paraId="3A0B3383" w14:textId="22C69C4D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1270" w:type="dxa"/>
          </w:tcPr>
          <w:p w14:paraId="63137E32" w14:textId="6B2A9DB3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981" w:type="dxa"/>
          </w:tcPr>
          <w:p w14:paraId="4834DBF1" w14:textId="22C78FF5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  <w:tc>
          <w:tcPr>
            <w:tcW w:w="2186" w:type="dxa"/>
          </w:tcPr>
          <w:p w14:paraId="184618AA" w14:textId="4BD60458" w:rsidR="001BB263" w:rsidRDefault="001BB263" w:rsidP="001BB263">
            <w:pPr>
              <w:spacing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</w:p>
        </w:tc>
      </w:tr>
    </w:tbl>
    <w:p w14:paraId="0072CDDB" w14:textId="77777777" w:rsidR="00040563" w:rsidRPr="00944959" w:rsidRDefault="00040563">
      <w:pPr>
        <w:rPr>
          <w:rFonts w:ascii="Calibri" w:hAnsi="Calibri" w:cs="Calibri"/>
          <w:sz w:val="20"/>
          <w:szCs w:val="20"/>
        </w:rPr>
      </w:pPr>
    </w:p>
    <w:sectPr w:rsidR="00040563" w:rsidRPr="0094495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very, Lisa" w:date="2026-03-04T08:17:00Z" w:initials="AL">
    <w:p w14:paraId="6B59FCED" w14:textId="77777777" w:rsidR="00112700" w:rsidRDefault="00112700" w:rsidP="00112700">
      <w:r>
        <w:rPr>
          <w:rStyle w:val="CommentReference"/>
        </w:rPr>
        <w:annotationRef/>
      </w:r>
      <w:r>
        <w:rPr>
          <w:sz w:val="20"/>
          <w:szCs w:val="20"/>
        </w:rPr>
        <w:t xml:space="preserve">Do we want to be able to compare multiple models? </w:t>
      </w:r>
    </w:p>
  </w:comment>
  <w:comment w:id="1" w:author="Avery, Lisa" w:date="2026-03-11T10:21:00Z" w:initials="AL">
    <w:p w14:paraId="30F21771" w14:textId="77777777" w:rsidR="004338F1" w:rsidRDefault="004338F1" w:rsidP="004338F1">
      <w:r>
        <w:rPr>
          <w:rStyle w:val="CommentReference"/>
        </w:rPr>
        <w:annotationRef/>
      </w:r>
      <w:r>
        <w:rPr>
          <w:sz w:val="20"/>
          <w:szCs w:val="20"/>
        </w:rPr>
        <w:t>Do we want to report the contingency table figures (TP/FP/TN/FN)?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B59FCED" w15:done="0"/>
  <w15:commentEx w15:paraId="30F21771" w15:paraIdParent="6B59FC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A599025" w16cex:dateUtc="2026-03-04T13:17:00Z">
    <w16cex:extLst>
      <w16:ext w16:uri="{CE6994B0-6A32-4C9F-8C6B-6E91EDA988CE}">
        <cr:reactions xmlns:cr="http://schemas.microsoft.com/office/comments/2020/reactions">
          <cr:reaction reactionType="1">
            <cr:reactionInfo dateUtc="2026-03-04T14:19:27Z">
              <cr:user userId="S::anna.santiago@uhn.ca::7ac54e56-9699-4b62-86b4-ffa6744dbdaf" userProvider="AD" userName="Santiago, Anna"/>
            </cr:reactionInfo>
          </cr:reaction>
        </cr:reactions>
      </w16:ext>
    </w16cex:extLst>
  </w16cex:commentExtensible>
  <w16cex:commentExtensible w16cex:durableId="1857640F" w16cex:dateUtc="2026-03-11T14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B59FCED" w16cid:durableId="1A599025"/>
  <w16cid:commentId w16cid:paraId="30F21771" w16cid:durableId="1857640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D5CCD" w14:textId="77777777" w:rsidR="008A51E6" w:rsidRDefault="008A51E6" w:rsidP="00944959">
      <w:pPr>
        <w:spacing w:after="0" w:line="240" w:lineRule="auto"/>
      </w:pPr>
      <w:r>
        <w:separator/>
      </w:r>
    </w:p>
  </w:endnote>
  <w:endnote w:type="continuationSeparator" w:id="0">
    <w:p w14:paraId="1F511194" w14:textId="77777777" w:rsidR="008A51E6" w:rsidRDefault="008A51E6" w:rsidP="009449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CADF4" w14:textId="77777777" w:rsidR="008A51E6" w:rsidRDefault="008A51E6" w:rsidP="00944959">
      <w:pPr>
        <w:spacing w:after="0" w:line="240" w:lineRule="auto"/>
      </w:pPr>
      <w:r>
        <w:separator/>
      </w:r>
    </w:p>
  </w:footnote>
  <w:footnote w:type="continuationSeparator" w:id="0">
    <w:p w14:paraId="0EF92F9E" w14:textId="77777777" w:rsidR="008A51E6" w:rsidRDefault="008A51E6" w:rsidP="009449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355D1"/>
    <w:multiLevelType w:val="hybridMultilevel"/>
    <w:tmpl w:val="21EA507C"/>
    <w:lvl w:ilvl="0" w:tplc="A1BE9680">
      <w:start w:val="1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014788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very, Lisa">
    <w15:presenceInfo w15:providerId="AD" w15:userId="S::Lisa.Avery@uhn.ca::63e02cad-c3a9-4536-864c-26cc29c58b8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BA8"/>
    <w:rsid w:val="00012453"/>
    <w:rsid w:val="00040563"/>
    <w:rsid w:val="000B45D7"/>
    <w:rsid w:val="001025D5"/>
    <w:rsid w:val="00112700"/>
    <w:rsid w:val="001732FC"/>
    <w:rsid w:val="001BB263"/>
    <w:rsid w:val="0025310B"/>
    <w:rsid w:val="00254481"/>
    <w:rsid w:val="00293568"/>
    <w:rsid w:val="00387EA0"/>
    <w:rsid w:val="003A1F3D"/>
    <w:rsid w:val="003B1DBD"/>
    <w:rsid w:val="003C560A"/>
    <w:rsid w:val="003C7EED"/>
    <w:rsid w:val="004338F1"/>
    <w:rsid w:val="00452BA8"/>
    <w:rsid w:val="0053382D"/>
    <w:rsid w:val="005D0669"/>
    <w:rsid w:val="005E68FE"/>
    <w:rsid w:val="006E0A3C"/>
    <w:rsid w:val="00704583"/>
    <w:rsid w:val="00755BD3"/>
    <w:rsid w:val="00775F02"/>
    <w:rsid w:val="00791A28"/>
    <w:rsid w:val="00802178"/>
    <w:rsid w:val="008A51E6"/>
    <w:rsid w:val="00944959"/>
    <w:rsid w:val="009652B8"/>
    <w:rsid w:val="00B46A65"/>
    <w:rsid w:val="00B818F5"/>
    <w:rsid w:val="00D11352"/>
    <w:rsid w:val="00D363DA"/>
    <w:rsid w:val="00D85132"/>
    <w:rsid w:val="00DD4E26"/>
    <w:rsid w:val="00E76079"/>
    <w:rsid w:val="00E91750"/>
    <w:rsid w:val="00EA4DC3"/>
    <w:rsid w:val="00EF260E"/>
    <w:rsid w:val="00F91462"/>
    <w:rsid w:val="00FC357A"/>
    <w:rsid w:val="01C7193E"/>
    <w:rsid w:val="02C69B46"/>
    <w:rsid w:val="12E26454"/>
    <w:rsid w:val="13DEB048"/>
    <w:rsid w:val="15CA62A7"/>
    <w:rsid w:val="1E87C4B1"/>
    <w:rsid w:val="1F863C5B"/>
    <w:rsid w:val="2349C028"/>
    <w:rsid w:val="29EDA361"/>
    <w:rsid w:val="2C8FAC6B"/>
    <w:rsid w:val="2D0D58A1"/>
    <w:rsid w:val="2EC16686"/>
    <w:rsid w:val="301FF1A9"/>
    <w:rsid w:val="31E6F327"/>
    <w:rsid w:val="3270CBF9"/>
    <w:rsid w:val="338F9124"/>
    <w:rsid w:val="37DD2382"/>
    <w:rsid w:val="3EC1F861"/>
    <w:rsid w:val="40E6FC78"/>
    <w:rsid w:val="41B61E82"/>
    <w:rsid w:val="4276DB70"/>
    <w:rsid w:val="480B3718"/>
    <w:rsid w:val="4FA96999"/>
    <w:rsid w:val="50290D43"/>
    <w:rsid w:val="5366FEE6"/>
    <w:rsid w:val="587DACC5"/>
    <w:rsid w:val="5A9328CD"/>
    <w:rsid w:val="5F5F8F8C"/>
    <w:rsid w:val="64F6E60A"/>
    <w:rsid w:val="656CC0F6"/>
    <w:rsid w:val="673CA5E2"/>
    <w:rsid w:val="6E799B7F"/>
    <w:rsid w:val="71C66B6A"/>
    <w:rsid w:val="7D73D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CA45F9"/>
  <w15:chartTrackingRefBased/>
  <w15:docId w15:val="{E71F9C48-3235-8346-8B8A-B43A6903E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B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B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B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autoRedefine/>
    <w:uiPriority w:val="9"/>
    <w:unhideWhenUsed/>
    <w:qFormat/>
    <w:rsid w:val="00791A28"/>
    <w:pPr>
      <w:keepNext/>
      <w:keepLines/>
      <w:spacing w:before="120" w:after="0" w:line="240" w:lineRule="auto"/>
      <w:outlineLvl w:val="3"/>
    </w:pPr>
    <w:rPr>
      <w:rFonts w:asciiTheme="majorHAnsi" w:eastAsiaTheme="majorEastAsia" w:hAnsiTheme="majorHAnsi" w:cstheme="majorBidi"/>
      <w:bCs/>
      <w:i/>
      <w:color w:val="000000" w:themeColor="text1"/>
      <w:kern w:val="0"/>
      <w:sz w:val="20"/>
      <w:u w:val="single"/>
      <w:lang w:val="en-US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B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B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B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B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B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autoRedefine/>
    <w:qFormat/>
    <w:rsid w:val="00EF260E"/>
    <w:pPr>
      <w:spacing w:before="180" w:after="180" w:line="240" w:lineRule="auto"/>
    </w:pPr>
    <w:rPr>
      <w:sz w:val="22"/>
    </w:rPr>
  </w:style>
  <w:style w:type="character" w:customStyle="1" w:styleId="BodyTextChar">
    <w:name w:val="Body Text Char"/>
    <w:basedOn w:val="DefaultParagraphFont"/>
    <w:link w:val="BodyText"/>
    <w:rsid w:val="00EF260E"/>
    <w:rPr>
      <w:sz w:val="22"/>
    </w:rPr>
  </w:style>
  <w:style w:type="paragraph" w:customStyle="1" w:styleId="FirstParagraph">
    <w:name w:val="First Paragraph"/>
    <w:basedOn w:val="BodyText"/>
    <w:next w:val="BodyText"/>
    <w:autoRedefine/>
    <w:qFormat/>
    <w:rsid w:val="006E0A3C"/>
    <w:pPr>
      <w:spacing w:before="0" w:after="0"/>
    </w:pPr>
    <w:rPr>
      <w:rFonts w:asciiTheme="majorHAnsi" w:hAnsiTheme="majorHAnsi"/>
      <w:i/>
      <w:iCs/>
      <w:kern w:val="0"/>
      <w:sz w:val="20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791A28"/>
    <w:rPr>
      <w:rFonts w:asciiTheme="majorHAnsi" w:eastAsiaTheme="majorEastAsia" w:hAnsiTheme="majorHAnsi" w:cstheme="majorBidi"/>
      <w:bCs/>
      <w:i/>
      <w:color w:val="000000" w:themeColor="text1"/>
      <w:kern w:val="0"/>
      <w:sz w:val="20"/>
      <w:u w:val="single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52B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B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B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B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B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B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B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B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B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B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B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B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B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B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B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B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B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B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BA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52BA8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449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4959"/>
  </w:style>
  <w:style w:type="paragraph" w:styleId="Footer">
    <w:name w:val="footer"/>
    <w:basedOn w:val="Normal"/>
    <w:link w:val="FooterChar"/>
    <w:uiPriority w:val="99"/>
    <w:unhideWhenUsed/>
    <w:rsid w:val="009449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4959"/>
  </w:style>
  <w:style w:type="character" w:styleId="CommentReference">
    <w:name w:val="annotation reference"/>
    <w:basedOn w:val="DefaultParagraphFont"/>
    <w:uiPriority w:val="99"/>
    <w:semiHidden/>
    <w:unhideWhenUsed/>
    <w:rsid w:val="0011270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1270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1270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1270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1270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524</Words>
  <Characters>3289</Characters>
  <Application>Microsoft Office Word</Application>
  <DocSecurity>0</DocSecurity>
  <Lines>253</Lines>
  <Paragraphs>131</Paragraphs>
  <ScaleCrop>false</ScaleCrop>
  <Company/>
  <LinksUpToDate>false</LinksUpToDate>
  <CharactersWithSpaces>3682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Avery, Lisa</dc:creator>
  <cp:keywords/>
  <dc:description/>
  <cp:lastModifiedBy>Avery, Lisa</cp:lastModifiedBy>
  <cp:revision>18</cp:revision>
  <dcterms:created xsi:type="dcterms:W3CDTF">2026-03-03T15:52:00Z</dcterms:created>
  <dcterms:modified xsi:type="dcterms:W3CDTF">2026-04-07T17:48:00Z</dcterms:modified>
</cp:coreProperties>
</file>