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90DE5" w14:textId="023EE0BB" w:rsidR="00944959" w:rsidRPr="003C7EED" w:rsidRDefault="00944959">
      <w:pPr>
        <w:rPr>
          <w:b/>
          <w:bCs/>
        </w:rPr>
      </w:pPr>
      <w:r w:rsidRPr="003C7EED">
        <w:rPr>
          <w:b/>
          <w:bCs/>
        </w:rPr>
        <w:t>Performance of Prediction Models</w:t>
      </w:r>
      <w:r w:rsidR="003C7EED" w:rsidRPr="003C7EED">
        <w:rPr>
          <w:b/>
          <w:bCs/>
        </w:rPr>
        <w:t xml:space="preserve"> Function</w:t>
      </w:r>
      <w:r w:rsidR="003C7EED" w:rsidRPr="003C7EED">
        <w:rPr>
          <w:b/>
          <w:bCs/>
        </w:rPr>
        <w:tab/>
      </w:r>
      <w:r w:rsidR="00D363DA" w:rsidRPr="00D363DA">
        <w:rPr>
          <w:b/>
          <w:bCs/>
          <w:color w:val="C00000"/>
        </w:rPr>
        <w:t>Add Your Thoughts</w:t>
      </w:r>
      <w:r w:rsidR="00D363DA">
        <w:rPr>
          <w:b/>
          <w:bCs/>
          <w:color w:val="C00000"/>
        </w:rPr>
        <w:t>!</w:t>
      </w:r>
    </w:p>
    <w:p w14:paraId="13AFF566" w14:textId="053490F2" w:rsidR="003C7EED" w:rsidRDefault="003C7EED">
      <w:r w:rsidRPr="0053382D">
        <w:rPr>
          <w:b/>
          <w:bCs/>
          <w:u w:val="single"/>
        </w:rPr>
        <w:t>Goal:</w:t>
      </w:r>
      <w:r>
        <w:t xml:space="preserve"> To standardise </w:t>
      </w:r>
      <w:r w:rsidR="00254481">
        <w:t>our</w:t>
      </w:r>
      <w:r>
        <w:t xml:space="preserve"> reporting of predictive models</w:t>
      </w:r>
    </w:p>
    <w:p w14:paraId="46CE6945" w14:textId="1BA137D7" w:rsidR="003C7EED" w:rsidRPr="0053382D" w:rsidRDefault="003C7EED">
      <w:pPr>
        <w:rPr>
          <w:b/>
          <w:bCs/>
          <w:u w:val="single"/>
        </w:rPr>
      </w:pPr>
      <w:r w:rsidRPr="0053382D">
        <w:rPr>
          <w:b/>
          <w:bCs/>
          <w:u w:val="single"/>
        </w:rPr>
        <w:t>Input Options:</w:t>
      </w:r>
    </w:p>
    <w:p w14:paraId="6879B1C9" w14:textId="50B9B672" w:rsidR="003C7EED" w:rsidRDefault="003C7EED" w:rsidP="003C7EED">
      <w:pPr>
        <w:pStyle w:val="ListParagraph"/>
        <w:numPr>
          <w:ilvl w:val="0"/>
          <w:numId w:val="1"/>
        </w:numPr>
      </w:pPr>
      <w:r>
        <w:t>A vector of true values, and a vector of predicted classes?</w:t>
      </w:r>
    </w:p>
    <w:p w14:paraId="3C69D82D" w14:textId="7F9906F5" w:rsidR="003C7EED" w:rsidRDefault="003C7EED" w:rsidP="003C7EED">
      <w:pPr>
        <w:pStyle w:val="ListParagraph"/>
        <w:numPr>
          <w:ilvl w:val="0"/>
          <w:numId w:val="1"/>
        </w:numPr>
      </w:pPr>
      <w:r>
        <w:t>A data frame containing two columns for observations &amp; predictions?</w:t>
      </w:r>
    </w:p>
    <w:p w14:paraId="14EDFB76" w14:textId="3EAB1D2B" w:rsidR="00254481" w:rsidRDefault="00254481" w:rsidP="003C7EED">
      <w:pPr>
        <w:pStyle w:val="ListParagraph"/>
        <w:numPr>
          <w:ilvl w:val="0"/>
          <w:numId w:val="1"/>
        </w:numPr>
      </w:pPr>
      <w:r>
        <w:t>Do we want to allow multiple predictions for comparisons?</w:t>
      </w:r>
    </w:p>
    <w:p w14:paraId="26C93E2A" w14:textId="66EE6C78" w:rsidR="00944959" w:rsidRPr="0053382D" w:rsidRDefault="003C7EED">
      <w:pPr>
        <w:rPr>
          <w:b/>
          <w:bCs/>
          <w:u w:val="single"/>
        </w:rPr>
      </w:pPr>
      <w:r w:rsidRPr="0053382D">
        <w:rPr>
          <w:b/>
          <w:bCs/>
          <w:u w:val="single"/>
        </w:rPr>
        <w:t>Function Arguments</w:t>
      </w:r>
      <w:r w:rsidR="0053382D">
        <w:rPr>
          <w:b/>
          <w:bCs/>
          <w:u w:val="single"/>
        </w:rPr>
        <w:t>:</w:t>
      </w:r>
    </w:p>
    <w:p w14:paraId="646E08AD" w14:textId="6C0C3A5A" w:rsidR="003C7EED" w:rsidRDefault="003C7EED" w:rsidP="003C7EED">
      <w:pPr>
        <w:pStyle w:val="ListParagraph"/>
        <w:numPr>
          <w:ilvl w:val="0"/>
          <w:numId w:val="1"/>
        </w:numPr>
      </w:pPr>
      <w:r>
        <w:t>Confidence interval type (Clopper-Pearson, Bootstrap, other?)</w:t>
      </w:r>
    </w:p>
    <w:p w14:paraId="26D3B341" w14:textId="3BA8457B" w:rsidR="003C7EED" w:rsidRDefault="003C7EED" w:rsidP="003C7EED">
      <w:pPr>
        <w:pStyle w:val="ListParagraph"/>
        <w:numPr>
          <w:ilvl w:val="0"/>
          <w:numId w:val="1"/>
        </w:numPr>
      </w:pPr>
      <w:r>
        <w:t>CI width (default to 0.95)</w:t>
      </w:r>
    </w:p>
    <w:p w14:paraId="7FF8F4E5" w14:textId="7AA4571C" w:rsidR="003C7EED" w:rsidRDefault="003C7EED" w:rsidP="003C7EED">
      <w:pPr>
        <w:pStyle w:val="ListParagraph"/>
        <w:numPr>
          <w:ilvl w:val="0"/>
          <w:numId w:val="1"/>
        </w:numPr>
      </w:pPr>
      <w:r>
        <w:t xml:space="preserve">Output </w:t>
      </w:r>
      <w:r w:rsidR="00B818F5">
        <w:t>list</w:t>
      </w:r>
      <w:r>
        <w:t xml:space="preserve"> (full, recommended, custom ?)</w:t>
      </w:r>
    </w:p>
    <w:p w14:paraId="490B7776" w14:textId="09439053" w:rsidR="003C7EED" w:rsidRDefault="003C7EED" w:rsidP="003C7EED">
      <w:pPr>
        <w:pStyle w:val="ListParagraph"/>
        <w:numPr>
          <w:ilvl w:val="0"/>
          <w:numId w:val="1"/>
        </w:numPr>
      </w:pPr>
      <w:r>
        <w:t>Naming style (do we want options for traditional epidemiology + data science?)</w:t>
      </w:r>
    </w:p>
    <w:p w14:paraId="07E37E77" w14:textId="789EC863" w:rsidR="003C7EED" w:rsidRPr="0053382D" w:rsidRDefault="003C7EED" w:rsidP="00254481">
      <w:pPr>
        <w:rPr>
          <w:b/>
          <w:bCs/>
          <w:u w:val="single"/>
        </w:rPr>
      </w:pPr>
      <w:r w:rsidRPr="0053382D">
        <w:rPr>
          <w:b/>
          <w:bCs/>
          <w:u w:val="single"/>
        </w:rPr>
        <w:t>Function Output</w:t>
      </w:r>
    </w:p>
    <w:p w14:paraId="5BFDF63A" w14:textId="02EC8284" w:rsidR="00B818F5" w:rsidRDefault="0053382D" w:rsidP="00254481">
      <w:r>
        <w:t>Something like this?</w:t>
      </w:r>
    </w:p>
    <w:p w14:paraId="3C306612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1C7193E">
        <w:rPr>
          <w:rFonts w:ascii="Andale Mono" w:hAnsi="Andale Mono"/>
          <w:sz w:val="18"/>
          <w:szCs w:val="18"/>
        </w:rPr>
        <w:t xml:space="preserve">          Statistic     </w:t>
      </w:r>
      <w:commentRangeStart w:id="0"/>
      <w:commentRangeStart w:id="1"/>
      <w:r w:rsidRPr="01C7193E">
        <w:rPr>
          <w:rFonts w:ascii="Andale Mono" w:hAnsi="Andale Mono"/>
          <w:sz w:val="18"/>
          <w:szCs w:val="18"/>
        </w:rPr>
        <w:t>Value (95%CI)</w:t>
      </w:r>
      <w:commentRangeEnd w:id="0"/>
      <w:r w:rsidRPr="0053382D">
        <w:rPr>
          <w:rStyle w:val="CommentReference"/>
          <w:rFonts w:ascii="Andale Mono" w:hAnsi="Andale Mono"/>
          <w:sz w:val="18"/>
          <w:szCs w:val="18"/>
        </w:rPr>
        <w:commentReference w:id="0"/>
      </w:r>
      <w:commentRangeEnd w:id="1"/>
      <w:r w:rsidR="004338F1" w:rsidRPr="0053382D">
        <w:rPr>
          <w:rStyle w:val="CommentReference"/>
          <w:rFonts w:ascii="Andale Mono" w:hAnsi="Andale Mono"/>
          <w:sz w:val="18"/>
          <w:szCs w:val="18"/>
        </w:rPr>
        <w:commentReference w:id="1"/>
      </w:r>
    </w:p>
    <w:p w14:paraId="27C890B7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1        Prevalence 0.57 (0.47, 0.67)</w:t>
      </w:r>
    </w:p>
    <w:p w14:paraId="54647D98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2       Sensitivity 0.79 (0.66, 0.89)</w:t>
      </w:r>
    </w:p>
    <w:p w14:paraId="2E330424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3       Specificity 0.35 (0.21, 0.51)</w:t>
      </w:r>
    </w:p>
    <w:p w14:paraId="76329D56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4               PPV 0.62 (0.50, 0.73)</w:t>
      </w:r>
    </w:p>
    <w:p w14:paraId="0ECAD84B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5               NPV 0.56 (0.35, 0.75)</w:t>
      </w:r>
    </w:p>
    <w:p w14:paraId="16D865E1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6          Accuracy 0.60 (0.50, 0.70)</w:t>
      </w:r>
    </w:p>
    <w:p w14:paraId="06C917CC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7               AUC 0.63 (0.54, 0.75)</w:t>
      </w:r>
    </w:p>
    <w:p w14:paraId="6BA2A348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8       Sample Size               100</w:t>
      </w:r>
    </w:p>
    <w:p w14:paraId="2B9088E4" w14:textId="595EE782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9 Positive Category                 1</w:t>
      </w:r>
    </w:p>
    <w:p w14:paraId="7EF22586" w14:textId="77777777" w:rsidR="00B46A65" w:rsidRDefault="00B46A65"/>
    <w:p w14:paraId="573F6310" w14:textId="77777777" w:rsidR="005D0669" w:rsidRDefault="00B46A65">
      <w:r>
        <w:t xml:space="preserve">References </w:t>
      </w:r>
      <w:r w:rsidR="005D0669">
        <w:t>for comparing two predictive tests</w:t>
      </w:r>
    </w:p>
    <w:p w14:paraId="7258CC00" w14:textId="77777777" w:rsidR="005D0669" w:rsidRPr="005D0669" w:rsidRDefault="005D0669" w:rsidP="005D0669">
      <w:pPr>
        <w:rPr>
          <w:sz w:val="18"/>
          <w:szCs w:val="18"/>
        </w:rPr>
      </w:pPr>
      <w:r w:rsidRPr="005D0669">
        <w:rPr>
          <w:sz w:val="18"/>
          <w:szCs w:val="18"/>
        </w:rPr>
        <w:t>Kosinski AS. A weighted generalized score statistic for comparison of predictive values of diagnostic tests. Stat Med. 2013;32(6):964-977.</w:t>
      </w:r>
    </w:p>
    <w:p w14:paraId="6608154F" w14:textId="77777777" w:rsidR="005D0669" w:rsidRPr="005D0669" w:rsidRDefault="005D0669" w:rsidP="005D0669">
      <w:pPr>
        <w:rPr>
          <w:sz w:val="18"/>
          <w:szCs w:val="18"/>
        </w:rPr>
      </w:pPr>
      <w:r w:rsidRPr="005D0669">
        <w:rPr>
          <w:sz w:val="18"/>
          <w:szCs w:val="18"/>
        </w:rPr>
        <w:t>Wendy Leisenring, Todd Alono, Margaret Sullivan Pepe, Comparisons of Predictive Values of Binary Medical Diagnostic Tests for Paired Designs, Biometrics, Volume 56, Issue 2, June 2000, Pages 345–351, https://doi.org/10.1111/j.0006-341X.2000.00345.x</w:t>
      </w:r>
    </w:p>
    <w:p w14:paraId="60151EA2" w14:textId="77777777" w:rsidR="005D0669" w:rsidRPr="005D0669" w:rsidRDefault="005D0669" w:rsidP="005D0669">
      <w:pPr>
        <w:rPr>
          <w:sz w:val="18"/>
          <w:szCs w:val="18"/>
        </w:rPr>
      </w:pPr>
      <w:r w:rsidRPr="005D0669">
        <w:rPr>
          <w:sz w:val="18"/>
          <w:szCs w:val="18"/>
        </w:rPr>
        <w:t>McNemar, Q. (1947). Note on the sampling error of the difference between correlated proportions or percentages. Psychometrika, 12(2), 153-157.</w:t>
      </w:r>
    </w:p>
    <w:p w14:paraId="2BA9F0FE" w14:textId="65BF020B" w:rsidR="0053382D" w:rsidRDefault="005D0669">
      <w:r w:rsidRPr="005D0669">
        <w:rPr>
          <w:sz w:val="18"/>
          <w:szCs w:val="18"/>
        </w:rPr>
        <w:t>Obuchowski, N. A. (1998). On the comparison of correlated proportions for clustered data. Statistics in medicine, 17(13), 1495-1507.</w:t>
      </w:r>
      <w:r w:rsidR="0053382D">
        <w:br w:type="page"/>
      </w:r>
    </w:p>
    <w:p w14:paraId="39F6E402" w14:textId="77C069DB" w:rsidR="003C7EED" w:rsidRDefault="00B818F5" w:rsidP="00254481">
      <w:r>
        <w:lastRenderedPageBreak/>
        <w:t>Potential Metrics</w:t>
      </w:r>
      <w:r w:rsidR="003C7EED">
        <w:t xml:space="preserve">  (full disclosure</w:t>
      </w:r>
      <w:r w:rsidR="00254481">
        <w:t>:</w:t>
      </w:r>
      <w:r w:rsidR="003C7EED">
        <w:t xml:space="preserve"> AI did the first three columns</w:t>
      </w:r>
      <w:r w:rsidR="00254481">
        <w:t xml:space="preserve"> – I asked it be to thorough</w:t>
      </w:r>
      <w:r w:rsidR="00D363DA"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1808"/>
        <w:gridCol w:w="1425"/>
        <w:gridCol w:w="1275"/>
        <w:gridCol w:w="996"/>
        <w:gridCol w:w="2151"/>
      </w:tblGrid>
      <w:tr w:rsidR="00802178" w:rsidRPr="00452BA8" w14:paraId="0EDAD009" w14:textId="76D10261" w:rsidTr="001BB2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7C844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CB47059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Strengths</w:t>
            </w:r>
          </w:p>
        </w:tc>
        <w:tc>
          <w:tcPr>
            <w:tcW w:w="0" w:type="auto"/>
            <w:vAlign w:val="center"/>
            <w:hideMark/>
          </w:tcPr>
          <w:p w14:paraId="31471419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Limitations</w:t>
            </w:r>
          </w:p>
        </w:tc>
        <w:tc>
          <w:tcPr>
            <w:tcW w:w="0" w:type="auto"/>
          </w:tcPr>
          <w:p w14:paraId="0DB2A81C" w14:textId="1B92476A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Calculate &amp; make available?</w:t>
            </w:r>
          </w:p>
        </w:tc>
        <w:tc>
          <w:tcPr>
            <w:tcW w:w="0" w:type="auto"/>
          </w:tcPr>
          <w:p w14:paraId="783BD174" w14:textId="22546ACF" w:rsidR="00944959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Report by Default?</w:t>
            </w:r>
          </w:p>
        </w:tc>
        <w:tc>
          <w:tcPr>
            <w:tcW w:w="0" w:type="auto"/>
          </w:tcPr>
          <w:p w14:paraId="4B55411E" w14:textId="47F04C93" w:rsidR="00944959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Notes/ Comments</w:t>
            </w:r>
          </w:p>
        </w:tc>
      </w:tr>
      <w:tr w:rsidR="00802178" w:rsidRPr="00452BA8" w14:paraId="3A01C338" w14:textId="20AFFBBC" w:rsidTr="001BB263">
        <w:trPr>
          <w:tblCellSpacing w:w="15" w:type="dxa"/>
        </w:trPr>
        <w:tc>
          <w:tcPr>
            <w:tcW w:w="0" w:type="auto"/>
            <w:vAlign w:val="center"/>
          </w:tcPr>
          <w:p w14:paraId="4A7464C0" w14:textId="31F73FEE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Prevalence</w:t>
            </w:r>
          </w:p>
        </w:tc>
        <w:tc>
          <w:tcPr>
            <w:tcW w:w="0" w:type="auto"/>
            <w:vAlign w:val="center"/>
          </w:tcPr>
          <w:p w14:paraId="44A054DD" w14:textId="54C2AADF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Adds Context</w:t>
            </w:r>
          </w:p>
        </w:tc>
        <w:tc>
          <w:tcPr>
            <w:tcW w:w="0" w:type="auto"/>
            <w:vAlign w:val="center"/>
          </w:tcPr>
          <w:p w14:paraId="55E47FA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2C29D65" w14:textId="4A0DF4D6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759AC43B" w14:textId="4880169E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1A591AF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17B9D54B" w14:textId="676D1E85" w:rsidTr="001BB263">
        <w:trPr>
          <w:tblCellSpacing w:w="15" w:type="dxa"/>
        </w:trPr>
        <w:tc>
          <w:tcPr>
            <w:tcW w:w="0" w:type="auto"/>
            <w:vAlign w:val="center"/>
          </w:tcPr>
          <w:p w14:paraId="406FED66" w14:textId="466A8F0D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Reference Level</w:t>
            </w:r>
          </w:p>
        </w:tc>
        <w:tc>
          <w:tcPr>
            <w:tcW w:w="0" w:type="auto"/>
            <w:vAlign w:val="center"/>
          </w:tcPr>
          <w:p w14:paraId="20F33587" w14:textId="6F4B8CF4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Adds Context</w:t>
            </w:r>
          </w:p>
        </w:tc>
        <w:tc>
          <w:tcPr>
            <w:tcW w:w="0" w:type="auto"/>
            <w:vAlign w:val="center"/>
          </w:tcPr>
          <w:p w14:paraId="2D593CD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3807BF8" w14:textId="4C988B49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0320ADD7" w14:textId="74F09532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6038C083" w14:textId="2860361F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Don’t include if true class is 0/1 – assume reference is 0</w:t>
            </w:r>
          </w:p>
        </w:tc>
      </w:tr>
      <w:tr w:rsidR="00802178" w:rsidRPr="00452BA8" w14:paraId="42BF89E5" w14:textId="7C3E4684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BB1A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8EFFAD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Simple, intuitive</w:t>
            </w:r>
          </w:p>
        </w:tc>
        <w:tc>
          <w:tcPr>
            <w:tcW w:w="0" w:type="auto"/>
            <w:vAlign w:val="center"/>
            <w:hideMark/>
          </w:tcPr>
          <w:p w14:paraId="7976198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Misleading with class imbalance</w:t>
            </w:r>
          </w:p>
        </w:tc>
        <w:tc>
          <w:tcPr>
            <w:tcW w:w="0" w:type="auto"/>
          </w:tcPr>
          <w:p w14:paraId="0B7D752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8F59E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C24297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2C6C9EAE" w14:textId="1258A410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9F54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Sensitivity (Recall, TPR)</w:t>
            </w:r>
          </w:p>
        </w:tc>
        <w:tc>
          <w:tcPr>
            <w:tcW w:w="0" w:type="auto"/>
            <w:vAlign w:val="center"/>
            <w:hideMark/>
          </w:tcPr>
          <w:p w14:paraId="100B57D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Important for early detection</w:t>
            </w:r>
          </w:p>
        </w:tc>
        <w:tc>
          <w:tcPr>
            <w:tcW w:w="0" w:type="auto"/>
            <w:vAlign w:val="center"/>
            <w:hideMark/>
          </w:tcPr>
          <w:p w14:paraId="1E3683D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Ignores false positives</w:t>
            </w:r>
          </w:p>
        </w:tc>
        <w:tc>
          <w:tcPr>
            <w:tcW w:w="0" w:type="auto"/>
          </w:tcPr>
          <w:p w14:paraId="0A5E50D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BDE841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D9AB2D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D583A52" w14:textId="62CB77FC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04F4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Specificity (TNR)</w:t>
            </w:r>
          </w:p>
        </w:tc>
        <w:tc>
          <w:tcPr>
            <w:tcW w:w="0" w:type="auto"/>
            <w:vAlign w:val="center"/>
            <w:hideMark/>
          </w:tcPr>
          <w:p w14:paraId="0B5352B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Important for avoiding overtreatment</w:t>
            </w:r>
          </w:p>
        </w:tc>
        <w:tc>
          <w:tcPr>
            <w:tcW w:w="0" w:type="auto"/>
            <w:vAlign w:val="center"/>
            <w:hideMark/>
          </w:tcPr>
          <w:p w14:paraId="16992CC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Ignores false negatives</w:t>
            </w:r>
          </w:p>
        </w:tc>
        <w:tc>
          <w:tcPr>
            <w:tcW w:w="0" w:type="auto"/>
          </w:tcPr>
          <w:p w14:paraId="3EBAD2F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279890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32C6D9E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5D58160" w14:textId="11A19D0E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15B6" w14:textId="6017CE2B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 xml:space="preserve">PPV </w:t>
            </w:r>
            <w:r w:rsidR="00944959"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(</w:t>
            </w: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Precision</w:t>
            </w:r>
            <w:r w:rsidR="00944959"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CC80E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Clinically interpretable</w:t>
            </w:r>
          </w:p>
        </w:tc>
        <w:tc>
          <w:tcPr>
            <w:tcW w:w="0" w:type="auto"/>
            <w:vAlign w:val="center"/>
            <w:hideMark/>
          </w:tcPr>
          <w:p w14:paraId="0E7A532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Depends on prevalence</w:t>
            </w:r>
          </w:p>
        </w:tc>
        <w:tc>
          <w:tcPr>
            <w:tcW w:w="0" w:type="auto"/>
          </w:tcPr>
          <w:p w14:paraId="2740CC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3615F6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012CF6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3DB8C9C6" w14:textId="6CAC1196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0F0C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NPV</w:t>
            </w:r>
          </w:p>
        </w:tc>
        <w:tc>
          <w:tcPr>
            <w:tcW w:w="0" w:type="auto"/>
            <w:vAlign w:val="center"/>
            <w:hideMark/>
          </w:tcPr>
          <w:p w14:paraId="4560DE6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Useful for surveillance</w:t>
            </w:r>
          </w:p>
        </w:tc>
        <w:tc>
          <w:tcPr>
            <w:tcW w:w="0" w:type="auto"/>
            <w:vAlign w:val="center"/>
            <w:hideMark/>
          </w:tcPr>
          <w:p w14:paraId="3040B6F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Prevalence-dependent</w:t>
            </w:r>
          </w:p>
        </w:tc>
        <w:tc>
          <w:tcPr>
            <w:tcW w:w="0" w:type="auto"/>
          </w:tcPr>
          <w:p w14:paraId="6E15B8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368E0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02B9FE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4DD1C1C6" w14:textId="44A2447F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17DCE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F1 Score</w:t>
            </w:r>
          </w:p>
        </w:tc>
        <w:tc>
          <w:tcPr>
            <w:tcW w:w="0" w:type="auto"/>
            <w:vAlign w:val="center"/>
            <w:hideMark/>
          </w:tcPr>
          <w:p w14:paraId="5C6932C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Good for imbalance</w:t>
            </w:r>
          </w:p>
        </w:tc>
        <w:tc>
          <w:tcPr>
            <w:tcW w:w="0" w:type="auto"/>
            <w:vAlign w:val="center"/>
            <w:hideMark/>
          </w:tcPr>
          <w:p w14:paraId="4ACDA22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Harder to interpret clinically</w:t>
            </w:r>
          </w:p>
        </w:tc>
        <w:tc>
          <w:tcPr>
            <w:tcW w:w="0" w:type="auto"/>
          </w:tcPr>
          <w:p w14:paraId="5C7D261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CAD03B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02AA55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7C007A1" w14:textId="1F15AEFC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3B77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AUC (ROC-AUC)</w:t>
            </w:r>
          </w:p>
        </w:tc>
        <w:tc>
          <w:tcPr>
            <w:tcW w:w="0" w:type="auto"/>
            <w:vAlign w:val="center"/>
            <w:hideMark/>
          </w:tcPr>
          <w:p w14:paraId="46D96FF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Threshold-independent</w:t>
            </w:r>
          </w:p>
        </w:tc>
        <w:tc>
          <w:tcPr>
            <w:tcW w:w="0" w:type="auto"/>
            <w:vAlign w:val="center"/>
            <w:hideMark/>
          </w:tcPr>
          <w:p w14:paraId="1EAA565E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Not calibration-aware</w:t>
            </w:r>
          </w:p>
        </w:tc>
        <w:tc>
          <w:tcPr>
            <w:tcW w:w="0" w:type="auto"/>
          </w:tcPr>
          <w:p w14:paraId="6660129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AF48C3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DE6ABC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7E6C91E6" w14:textId="3557B30D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DE1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Brier Score</w:t>
            </w:r>
          </w:p>
        </w:tc>
        <w:tc>
          <w:tcPr>
            <w:tcW w:w="0" w:type="auto"/>
            <w:vAlign w:val="center"/>
            <w:hideMark/>
          </w:tcPr>
          <w:p w14:paraId="4987A9E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Captures both discrimination &amp; calibration</w:t>
            </w:r>
          </w:p>
        </w:tc>
        <w:tc>
          <w:tcPr>
            <w:tcW w:w="0" w:type="auto"/>
            <w:vAlign w:val="center"/>
            <w:hideMark/>
          </w:tcPr>
          <w:p w14:paraId="748DC93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Harder to interpret scale</w:t>
            </w:r>
          </w:p>
        </w:tc>
        <w:tc>
          <w:tcPr>
            <w:tcW w:w="0" w:type="auto"/>
          </w:tcPr>
          <w:p w14:paraId="610B194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33AA4C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07CCC7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212DB456" w14:textId="4EBBF945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1D08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Log-loss (Cross-entropy)</w:t>
            </w:r>
          </w:p>
        </w:tc>
        <w:tc>
          <w:tcPr>
            <w:tcW w:w="0" w:type="auto"/>
            <w:vAlign w:val="center"/>
            <w:hideMark/>
          </w:tcPr>
          <w:p w14:paraId="5FC730B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Sensitive to confidence</w:t>
            </w:r>
          </w:p>
        </w:tc>
        <w:tc>
          <w:tcPr>
            <w:tcW w:w="0" w:type="auto"/>
            <w:vAlign w:val="center"/>
            <w:hideMark/>
          </w:tcPr>
          <w:p w14:paraId="77A572B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 clinically</w:t>
            </w:r>
          </w:p>
        </w:tc>
        <w:tc>
          <w:tcPr>
            <w:tcW w:w="0" w:type="auto"/>
          </w:tcPr>
          <w:p w14:paraId="591376D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ED7AD2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C56AD5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F500DE5" w14:textId="4444259D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C1E6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Calibration Slope</w:t>
            </w:r>
          </w:p>
        </w:tc>
        <w:tc>
          <w:tcPr>
            <w:tcW w:w="0" w:type="auto"/>
            <w:vAlign w:val="center"/>
            <w:hideMark/>
          </w:tcPr>
          <w:p w14:paraId="69A698D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Detects overfitting</w:t>
            </w:r>
          </w:p>
        </w:tc>
        <w:tc>
          <w:tcPr>
            <w:tcW w:w="0" w:type="auto"/>
            <w:vAlign w:val="center"/>
            <w:hideMark/>
          </w:tcPr>
          <w:p w14:paraId="37414DB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Needs large sample</w:t>
            </w:r>
          </w:p>
        </w:tc>
        <w:tc>
          <w:tcPr>
            <w:tcW w:w="0" w:type="auto"/>
          </w:tcPr>
          <w:p w14:paraId="1633C80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177D2B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63D76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7C8E017F" w14:textId="624C067A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1F9E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Calibration Intercept</w:t>
            </w:r>
          </w:p>
        </w:tc>
        <w:tc>
          <w:tcPr>
            <w:tcW w:w="0" w:type="auto"/>
            <w:vAlign w:val="center"/>
            <w:hideMark/>
          </w:tcPr>
          <w:p w14:paraId="2216412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Detects bias</w:t>
            </w:r>
          </w:p>
        </w:tc>
        <w:tc>
          <w:tcPr>
            <w:tcW w:w="0" w:type="auto"/>
            <w:vAlign w:val="center"/>
            <w:hideMark/>
          </w:tcPr>
          <w:p w14:paraId="4ACEDA0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Sample dependent</w:t>
            </w:r>
          </w:p>
        </w:tc>
        <w:tc>
          <w:tcPr>
            <w:tcW w:w="0" w:type="auto"/>
          </w:tcPr>
          <w:p w14:paraId="3C4639C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BE41D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9A151A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8B56B56" w14:textId="5CC683FA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C5A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Net Reclassification Index (NRI)</w:t>
            </w:r>
          </w:p>
        </w:tc>
        <w:tc>
          <w:tcPr>
            <w:tcW w:w="0" w:type="auto"/>
            <w:vAlign w:val="center"/>
            <w:hideMark/>
          </w:tcPr>
          <w:p w14:paraId="64209B3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Useful for adding biomarkers (e.g., ctDNA)</w:t>
            </w:r>
          </w:p>
        </w:tc>
        <w:tc>
          <w:tcPr>
            <w:tcW w:w="0" w:type="auto"/>
            <w:vAlign w:val="center"/>
            <w:hideMark/>
          </w:tcPr>
          <w:p w14:paraId="51EEFEE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Can be unstable</w:t>
            </w:r>
          </w:p>
        </w:tc>
        <w:tc>
          <w:tcPr>
            <w:tcW w:w="0" w:type="auto"/>
          </w:tcPr>
          <w:p w14:paraId="794DC35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CDEF5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6C207E1" w14:textId="765C89F7" w:rsidR="00944959" w:rsidRPr="00452BA8" w:rsidRDefault="00802178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 xml:space="preserve">I like this as a concept, but maybe too niche? Also, we need a reference </w:t>
            </w:r>
          </w:p>
        </w:tc>
      </w:tr>
      <w:tr w:rsidR="00802178" w:rsidRPr="00452BA8" w14:paraId="57B961D2" w14:textId="1CB51875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39B6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Decision Curve Net Benefit</w:t>
            </w:r>
          </w:p>
        </w:tc>
        <w:tc>
          <w:tcPr>
            <w:tcW w:w="0" w:type="auto"/>
            <w:vAlign w:val="center"/>
            <w:hideMark/>
          </w:tcPr>
          <w:p w14:paraId="5060864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Directly links to decision-making</w:t>
            </w:r>
          </w:p>
        </w:tc>
        <w:tc>
          <w:tcPr>
            <w:tcW w:w="0" w:type="auto"/>
            <w:vAlign w:val="center"/>
            <w:hideMark/>
          </w:tcPr>
          <w:p w14:paraId="220C94E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Threshold-dependent</w:t>
            </w:r>
          </w:p>
        </w:tc>
        <w:tc>
          <w:tcPr>
            <w:tcW w:w="0" w:type="auto"/>
          </w:tcPr>
          <w:p w14:paraId="0FEF009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48B728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A78128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376BB787" w14:textId="1B6C8118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A917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Positive Likelihood Ratio (LR+)</w:t>
            </w:r>
          </w:p>
        </w:tc>
        <w:tc>
          <w:tcPr>
            <w:tcW w:w="0" w:type="auto"/>
            <w:vAlign w:val="center"/>
            <w:hideMark/>
          </w:tcPr>
          <w:p w14:paraId="21BB1CE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Prevalence-independent</w:t>
            </w:r>
          </w:p>
        </w:tc>
        <w:tc>
          <w:tcPr>
            <w:tcW w:w="0" w:type="auto"/>
            <w:vAlign w:val="center"/>
            <w:hideMark/>
          </w:tcPr>
          <w:p w14:paraId="2251CE8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</w:t>
            </w:r>
          </w:p>
        </w:tc>
        <w:tc>
          <w:tcPr>
            <w:tcW w:w="0" w:type="auto"/>
          </w:tcPr>
          <w:p w14:paraId="0A9DA82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374D37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CA12F5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5C105DD" w14:textId="3EA1EA3B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C844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Negative Likelihood Ratio (LR−)</w:t>
            </w:r>
          </w:p>
        </w:tc>
        <w:tc>
          <w:tcPr>
            <w:tcW w:w="0" w:type="auto"/>
            <w:vAlign w:val="center"/>
            <w:hideMark/>
          </w:tcPr>
          <w:p w14:paraId="05389EB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Prevalence-independent</w:t>
            </w:r>
          </w:p>
        </w:tc>
        <w:tc>
          <w:tcPr>
            <w:tcW w:w="0" w:type="auto"/>
            <w:vAlign w:val="center"/>
            <w:hideMark/>
          </w:tcPr>
          <w:p w14:paraId="682E5D5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</w:t>
            </w:r>
          </w:p>
        </w:tc>
        <w:tc>
          <w:tcPr>
            <w:tcW w:w="0" w:type="auto"/>
          </w:tcPr>
          <w:p w14:paraId="68B92F7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F1021B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4A3BA2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1BB263" w14:paraId="40A3EE11" w14:textId="77777777" w:rsidTr="001BB263">
        <w:trPr>
          <w:trHeight w:val="300"/>
          <w:tblCellSpacing w:w="15" w:type="dxa"/>
        </w:trPr>
        <w:tc>
          <w:tcPr>
            <w:tcW w:w="1685" w:type="dxa"/>
            <w:vAlign w:val="center"/>
            <w:hideMark/>
          </w:tcPr>
          <w:p w14:paraId="704F32F2" w14:textId="33D0C960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Cohen’s Kappa</w:t>
            </w:r>
          </w:p>
        </w:tc>
        <w:tc>
          <w:tcPr>
            <w:tcW w:w="1815" w:type="dxa"/>
            <w:vAlign w:val="center"/>
            <w:hideMark/>
          </w:tcPr>
          <w:p w14:paraId="0CA717D4" w14:textId="680708D1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sz w:val="20"/>
                <w:szCs w:val="20"/>
              </w:rPr>
              <w:t>Categorical</w:t>
            </w:r>
            <w:r w:rsidR="1F863C5B" w:rsidRPr="001BB263">
              <w:rPr>
                <w:rFonts w:ascii="Calibri" w:eastAsia="Times New Roman" w:hAnsi="Calibri" w:cs="Calibri"/>
                <w:sz w:val="20"/>
                <w:szCs w:val="20"/>
              </w:rPr>
              <w:t>. Inter-rater reliability</w:t>
            </w:r>
          </w:p>
        </w:tc>
        <w:tc>
          <w:tcPr>
            <w:tcW w:w="1423" w:type="dxa"/>
            <w:vAlign w:val="center"/>
            <w:hideMark/>
          </w:tcPr>
          <w:p w14:paraId="1323D1A5" w14:textId="5F2E164C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1270" w:type="dxa"/>
          </w:tcPr>
          <w:p w14:paraId="12AE0B30" w14:textId="1DF6E9FD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81" w:type="dxa"/>
          </w:tcPr>
          <w:p w14:paraId="621F14B2" w14:textId="6F410CE7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186" w:type="dxa"/>
          </w:tcPr>
          <w:p w14:paraId="053AEC51" w14:textId="50D9DBD0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1BB263" w14:paraId="052FE7A7" w14:textId="77777777" w:rsidTr="001BB263">
        <w:trPr>
          <w:trHeight w:val="300"/>
          <w:tblCellSpacing w:w="15" w:type="dxa"/>
        </w:trPr>
        <w:tc>
          <w:tcPr>
            <w:tcW w:w="1685" w:type="dxa"/>
            <w:vAlign w:val="center"/>
            <w:hideMark/>
          </w:tcPr>
          <w:p w14:paraId="4A8D7AA9" w14:textId="48D215FF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lastRenderedPageBreak/>
              <w:t>Normalized Mutual Information (NMI)</w:t>
            </w:r>
          </w:p>
        </w:tc>
        <w:tc>
          <w:tcPr>
            <w:tcW w:w="1815" w:type="dxa"/>
            <w:vAlign w:val="center"/>
            <w:hideMark/>
          </w:tcPr>
          <w:p w14:paraId="58CDA6AD" w14:textId="28032CC5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sz w:val="20"/>
                <w:szCs w:val="20"/>
              </w:rPr>
              <w:t>Categorical. Measure of similarity between two data clusters</w:t>
            </w:r>
          </w:p>
        </w:tc>
        <w:tc>
          <w:tcPr>
            <w:tcW w:w="1423" w:type="dxa"/>
            <w:vAlign w:val="center"/>
            <w:hideMark/>
          </w:tcPr>
          <w:p w14:paraId="13B509D4" w14:textId="3DA3168C" w:rsidR="001BB263" w:rsidRDefault="001BB263" w:rsidP="001BB263">
            <w:pPr>
              <w:spacing w:line="240" w:lineRule="auto"/>
              <w:ind w:left="720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1270" w:type="dxa"/>
          </w:tcPr>
          <w:p w14:paraId="21B428FF" w14:textId="289164A9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81" w:type="dxa"/>
          </w:tcPr>
          <w:p w14:paraId="4FA9B2AE" w14:textId="74832F54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186" w:type="dxa"/>
          </w:tcPr>
          <w:p w14:paraId="3968D8B8" w14:textId="2B1A4B6B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1BB263" w14:paraId="54E88D7F" w14:textId="77777777" w:rsidTr="001BB263">
        <w:trPr>
          <w:trHeight w:val="300"/>
          <w:tblCellSpacing w:w="15" w:type="dxa"/>
        </w:trPr>
        <w:tc>
          <w:tcPr>
            <w:tcW w:w="1685" w:type="dxa"/>
            <w:vAlign w:val="center"/>
            <w:hideMark/>
          </w:tcPr>
          <w:p w14:paraId="48762C61" w14:textId="5358FCA0" w:rsidR="3270CBF9" w:rsidRDefault="3270CBF9" w:rsidP="001BB263">
            <w:pPr>
              <w:spacing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Adjusted Rand Index (ARI)</w:t>
            </w:r>
          </w:p>
        </w:tc>
        <w:tc>
          <w:tcPr>
            <w:tcW w:w="1815" w:type="dxa"/>
            <w:vAlign w:val="center"/>
            <w:hideMark/>
          </w:tcPr>
          <w:p w14:paraId="6347C593" w14:textId="50C00ED1" w:rsidR="3270CBF9" w:rsidRDefault="3270CBF9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sz w:val="20"/>
                <w:szCs w:val="20"/>
              </w:rPr>
              <w:t>Categorical. Quantify the similarity between two clusterings of the same data</w:t>
            </w:r>
          </w:p>
        </w:tc>
        <w:tc>
          <w:tcPr>
            <w:tcW w:w="1423" w:type="dxa"/>
            <w:vAlign w:val="center"/>
            <w:hideMark/>
          </w:tcPr>
          <w:p w14:paraId="3A0B3383" w14:textId="22C69C4D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1270" w:type="dxa"/>
          </w:tcPr>
          <w:p w14:paraId="63137E32" w14:textId="6B2A9DB3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81" w:type="dxa"/>
          </w:tcPr>
          <w:p w14:paraId="4834DBF1" w14:textId="22C78FF5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186" w:type="dxa"/>
          </w:tcPr>
          <w:p w14:paraId="184618AA" w14:textId="4BD60458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</w:tbl>
    <w:p w14:paraId="0072CDDB" w14:textId="77777777" w:rsidR="00040563" w:rsidRPr="00944959" w:rsidRDefault="00040563">
      <w:pPr>
        <w:rPr>
          <w:rFonts w:ascii="Calibri" w:hAnsi="Calibri" w:cs="Calibri"/>
          <w:sz w:val="20"/>
          <w:szCs w:val="20"/>
        </w:rPr>
      </w:pPr>
    </w:p>
    <w:sectPr w:rsidR="00040563" w:rsidRPr="009449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very, Lisa" w:date="2026-03-04T08:17:00Z" w:initials="AL">
    <w:p w14:paraId="6B59FCED" w14:textId="77777777" w:rsidR="00112700" w:rsidRDefault="00112700" w:rsidP="00112700">
      <w:r>
        <w:rPr>
          <w:rStyle w:val="CommentReference"/>
        </w:rPr>
        <w:annotationRef/>
      </w:r>
      <w:r>
        <w:rPr>
          <w:sz w:val="20"/>
          <w:szCs w:val="20"/>
        </w:rPr>
        <w:t xml:space="preserve">Do we want to be able to compare multiple models? </w:t>
      </w:r>
    </w:p>
  </w:comment>
  <w:comment w:id="1" w:author="Avery, Lisa" w:date="2026-03-11T10:21:00Z" w:initials="AL">
    <w:p w14:paraId="30F21771" w14:textId="77777777" w:rsidR="004338F1" w:rsidRDefault="004338F1" w:rsidP="004338F1">
      <w:r>
        <w:rPr>
          <w:rStyle w:val="CommentReference"/>
        </w:rPr>
        <w:annotationRef/>
      </w:r>
      <w:r>
        <w:rPr>
          <w:sz w:val="20"/>
          <w:szCs w:val="20"/>
        </w:rPr>
        <w:t>Do we want to report the contingency table figures (TP/FP/TN/FN)?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59FCED" w15:done="0"/>
  <w15:commentEx w15:paraId="30F21771" w15:paraIdParent="6B59FC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A599025" w16cex:dateUtc="2026-03-04T13:17:00Z">
    <w16cex:extLst>
      <w16:ext w16:uri="{CE6994B0-6A32-4C9F-8C6B-6E91EDA988CE}">
        <cr:reactions xmlns:cr="http://schemas.microsoft.com/office/comments/2020/reactions">
          <cr:reaction reactionType="1">
            <cr:reactionInfo dateUtc="2026-03-04T14:19:27Z">
              <cr:user userId="S::anna.santiago@uhn.ca::7ac54e56-9699-4b62-86b4-ffa6744dbdaf" userProvider="AD" userName="Santiago, Anna"/>
            </cr:reactionInfo>
          </cr:reaction>
        </cr:reactions>
      </w16:ext>
    </w16cex:extLst>
  </w16cex:commentExtensible>
  <w16cex:commentExtensible w16cex:durableId="1857640F" w16cex:dateUtc="2026-03-11T1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59FCED" w16cid:durableId="1A599025"/>
  <w16cid:commentId w16cid:paraId="30F21771" w16cid:durableId="185764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3D89D" w14:textId="77777777" w:rsidR="00D11352" w:rsidRDefault="00D11352" w:rsidP="00944959">
      <w:pPr>
        <w:spacing w:after="0" w:line="240" w:lineRule="auto"/>
      </w:pPr>
      <w:r>
        <w:separator/>
      </w:r>
    </w:p>
  </w:endnote>
  <w:endnote w:type="continuationSeparator" w:id="0">
    <w:p w14:paraId="13D0D3A3" w14:textId="77777777" w:rsidR="00D11352" w:rsidRDefault="00D11352" w:rsidP="00944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2B644" w14:textId="77777777" w:rsidR="00D11352" w:rsidRDefault="00D11352" w:rsidP="00944959">
      <w:pPr>
        <w:spacing w:after="0" w:line="240" w:lineRule="auto"/>
      </w:pPr>
      <w:r>
        <w:separator/>
      </w:r>
    </w:p>
  </w:footnote>
  <w:footnote w:type="continuationSeparator" w:id="0">
    <w:p w14:paraId="16A4298C" w14:textId="77777777" w:rsidR="00D11352" w:rsidRDefault="00D11352" w:rsidP="00944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355D1"/>
    <w:multiLevelType w:val="hybridMultilevel"/>
    <w:tmpl w:val="21EA507C"/>
    <w:lvl w:ilvl="0" w:tplc="A1BE9680">
      <w:start w:val="1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01478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very, Lisa">
    <w15:presenceInfo w15:providerId="AD" w15:userId="S::Lisa.Avery@uhn.ca::63e02cad-c3a9-4536-864c-26cc29c58b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BA8"/>
    <w:rsid w:val="00040563"/>
    <w:rsid w:val="000B45D7"/>
    <w:rsid w:val="001025D5"/>
    <w:rsid w:val="00112700"/>
    <w:rsid w:val="001732FC"/>
    <w:rsid w:val="001BB263"/>
    <w:rsid w:val="0025310B"/>
    <w:rsid w:val="00254481"/>
    <w:rsid w:val="00387EA0"/>
    <w:rsid w:val="003C7EED"/>
    <w:rsid w:val="004338F1"/>
    <w:rsid w:val="00452BA8"/>
    <w:rsid w:val="0053382D"/>
    <w:rsid w:val="005D0669"/>
    <w:rsid w:val="005E68FE"/>
    <w:rsid w:val="006E0A3C"/>
    <w:rsid w:val="00704583"/>
    <w:rsid w:val="00755BD3"/>
    <w:rsid w:val="00775F02"/>
    <w:rsid w:val="00791A28"/>
    <w:rsid w:val="00802178"/>
    <w:rsid w:val="00944959"/>
    <w:rsid w:val="009652B8"/>
    <w:rsid w:val="00B46A65"/>
    <w:rsid w:val="00B818F5"/>
    <w:rsid w:val="00D11352"/>
    <w:rsid w:val="00D363DA"/>
    <w:rsid w:val="00D85132"/>
    <w:rsid w:val="00DD4E26"/>
    <w:rsid w:val="00E76079"/>
    <w:rsid w:val="00E91750"/>
    <w:rsid w:val="00EF260E"/>
    <w:rsid w:val="00FC357A"/>
    <w:rsid w:val="01C7193E"/>
    <w:rsid w:val="12E26454"/>
    <w:rsid w:val="1E87C4B1"/>
    <w:rsid w:val="1F863C5B"/>
    <w:rsid w:val="2349C028"/>
    <w:rsid w:val="3270CBF9"/>
    <w:rsid w:val="37DD2382"/>
    <w:rsid w:val="3EC1F861"/>
    <w:rsid w:val="41B61E82"/>
    <w:rsid w:val="4FA96999"/>
    <w:rsid w:val="5A9328CD"/>
    <w:rsid w:val="64F6E60A"/>
    <w:rsid w:val="656CC0F6"/>
    <w:rsid w:val="673CA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CA45F9"/>
  <w15:chartTrackingRefBased/>
  <w15:docId w15:val="{E71F9C48-3235-8346-8B8A-B43A6903E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autoRedefine/>
    <w:uiPriority w:val="9"/>
    <w:unhideWhenUsed/>
    <w:qFormat/>
    <w:rsid w:val="00791A28"/>
    <w:pPr>
      <w:keepNext/>
      <w:keepLines/>
      <w:spacing w:before="120" w:after="0" w:line="240" w:lineRule="auto"/>
      <w:outlineLvl w:val="3"/>
    </w:pPr>
    <w:rPr>
      <w:rFonts w:asciiTheme="majorHAnsi" w:eastAsiaTheme="majorEastAsia" w:hAnsiTheme="majorHAnsi" w:cstheme="majorBidi"/>
      <w:bCs/>
      <w:i/>
      <w:color w:val="000000" w:themeColor="text1"/>
      <w:kern w:val="0"/>
      <w:sz w:val="20"/>
      <w:u w:val="single"/>
      <w:lang w:val="en-US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EF260E"/>
    <w:pPr>
      <w:spacing w:before="180" w:after="180" w:line="240" w:lineRule="auto"/>
    </w:pPr>
    <w:rPr>
      <w:sz w:val="22"/>
    </w:rPr>
  </w:style>
  <w:style w:type="character" w:customStyle="1" w:styleId="BodyTextChar">
    <w:name w:val="Body Text Char"/>
    <w:basedOn w:val="DefaultParagraphFont"/>
    <w:link w:val="BodyText"/>
    <w:rsid w:val="00EF260E"/>
    <w:rPr>
      <w:sz w:val="22"/>
    </w:rPr>
  </w:style>
  <w:style w:type="paragraph" w:customStyle="1" w:styleId="FirstParagraph">
    <w:name w:val="First Paragraph"/>
    <w:basedOn w:val="BodyText"/>
    <w:next w:val="BodyText"/>
    <w:autoRedefine/>
    <w:qFormat/>
    <w:rsid w:val="006E0A3C"/>
    <w:pPr>
      <w:spacing w:before="0" w:after="0"/>
    </w:pPr>
    <w:rPr>
      <w:rFonts w:asciiTheme="majorHAnsi" w:hAnsiTheme="majorHAnsi"/>
      <w:i/>
      <w:iCs/>
      <w:kern w:val="0"/>
      <w:sz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91A28"/>
    <w:rPr>
      <w:rFonts w:asciiTheme="majorHAnsi" w:eastAsiaTheme="majorEastAsia" w:hAnsiTheme="majorHAnsi" w:cstheme="majorBidi"/>
      <w:bCs/>
      <w:i/>
      <w:color w:val="000000" w:themeColor="text1"/>
      <w:kern w:val="0"/>
      <w:sz w:val="20"/>
      <w:u w:val="single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52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B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B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B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B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B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B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BA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52BA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449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959"/>
  </w:style>
  <w:style w:type="paragraph" w:styleId="Footer">
    <w:name w:val="footer"/>
    <w:basedOn w:val="Normal"/>
    <w:link w:val="FooterChar"/>
    <w:uiPriority w:val="99"/>
    <w:unhideWhenUsed/>
    <w:rsid w:val="009449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959"/>
  </w:style>
  <w:style w:type="character" w:styleId="CommentReference">
    <w:name w:val="annotation reference"/>
    <w:basedOn w:val="DefaultParagraphFont"/>
    <w:uiPriority w:val="99"/>
    <w:semiHidden/>
    <w:unhideWhenUsed/>
    <w:rsid w:val="001127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27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270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27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270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481</Words>
  <Characters>2947</Characters>
  <Application>Microsoft Office Word</Application>
  <DocSecurity>0</DocSecurity>
  <Lines>294</Lines>
  <Paragraphs>142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Avery, Lisa</dc:creator>
  <cp:keywords/>
  <dc:description/>
  <cp:lastModifiedBy>Avery, Lisa</cp:lastModifiedBy>
  <cp:revision>13</cp:revision>
  <dcterms:created xsi:type="dcterms:W3CDTF">2026-03-03T15:52:00Z</dcterms:created>
  <dcterms:modified xsi:type="dcterms:W3CDTF">2026-03-11T14:22:00Z</dcterms:modified>
</cp:coreProperties>
</file>