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0"/>
      </w:pPr>
    </w:p>
    <w:p>
      <w:pPr>
        <w:spacing w:after="80"/>
        <w:jc w:val="center"/>
      </w:pPr>
      <w:r>
        <w:rPr>
          <w:rFonts w:ascii="Arial" w:cs="Arial" w:eastAsia="Arial" w:hAnsi="Arial"/>
          <w:b/>
          <w:bCs/>
          <w:color w:val="2E75B6"/>
          <w:spacing w:val="200"/>
          <w:sz w:val="20"/>
          <w:szCs w:val="20"/>
        </w:rPr>
        <w:t xml:space="preserve">PRODUCT REQUIREMENTS DOCUMENT</w:t>
      </w:r>
    </w:p>
    <w:p>
      <w:pPr>
        <w:pBdr>
          <w:bottom w:val="single" w:color="2E75B6" w:sz="6" w:space="12"/>
        </w:pBdr>
        <w:spacing w:after="200"/>
        <w:jc w:val="center"/>
      </w:pPr>
    </w:p>
    <w:p>
      <w:pPr>
        <w:spacing w:after="200"/>
      </w:pPr>
    </w:p>
    <w:p>
      <w:pPr>
        <w:spacing w:after="120"/>
        <w:jc w:val="center"/>
      </w:pPr>
      <w:r>
        <w:rPr>
          <w:rFonts w:ascii="Arial" w:cs="Arial" w:eastAsia="Arial" w:hAnsi="Arial"/>
          <w:b/>
          <w:bCs/>
          <w:color w:val="1B2A4A"/>
          <w:sz w:val="48"/>
          <w:szCs w:val="48"/>
        </w:rPr>
        <w:t xml:space="preserve">Codon Geometry Validation &amp; Prediction Engine</w:t>
      </w:r>
    </w:p>
    <w:p>
      <w:pPr>
        <w:spacing w:after="80"/>
        <w:jc w:val="center"/>
      </w:pPr>
      <w:r>
        <w:rPr>
          <w:rFonts w:ascii="Arial" w:cs="Arial" w:eastAsia="Arial" w:hAnsi="Arial"/>
          <w:color w:val="404040"/>
          <w:sz w:val="28"/>
          <w:szCs w:val="28"/>
        </w:rPr>
        <w:t xml:space="preserve">Computational Examination, Validation, and</w:t>
      </w:r>
    </w:p>
    <w:p>
      <w:pPr>
        <w:spacing w:after="400"/>
        <w:jc w:val="center"/>
      </w:pPr>
      <w:r>
        <w:rPr>
          <w:rFonts w:ascii="Arial" w:cs="Arial" w:eastAsia="Arial" w:hAnsi="Arial"/>
          <w:color w:val="404040"/>
          <w:sz w:val="28"/>
          <w:szCs w:val="28"/>
        </w:rPr>
        <w:t xml:space="preserve">Experimental Extension of the Filtration Framework</w:t>
      </w:r>
    </w:p>
    <w:p>
      <w:pPr>
        <w:pBdr>
          <w:top w:val="single" w:color="BFBFBF" w:sz="2" w:space="12"/>
        </w:pBdr>
        <w:spacing w:after="0"/>
        <w:jc w:val="center"/>
      </w:pPr>
    </w:p>
    <w:p>
      <w:pPr>
        <w:spacing w:after="100"/>
      </w:pPr>
    </w:p>
    <w:p>
      <w:pPr>
        <w:spacing w:after="60"/>
        <w:jc w:val="center"/>
      </w:pPr>
      <w:r>
        <w:rPr>
          <w:rFonts w:ascii="Arial" w:cs="Arial" w:eastAsia="Arial" w:hAnsi="Arial"/>
          <w:b/>
          <w:bCs/>
          <w:color w:val="2E75B6"/>
          <w:sz w:val="24"/>
          <w:szCs w:val="24"/>
        </w:rPr>
        <w:t xml:space="preserve">Codename: CODON-TOPO</w:t>
      </w:r>
    </w:p>
    <w:p>
      <w:pPr>
        <w:spacing w:after="60"/>
        <w:jc w:val="center"/>
      </w:pPr>
      <w:r>
        <w:rPr>
          <w:rFonts w:ascii="Arial" w:cs="Arial" w:eastAsia="Arial" w:hAnsi="Arial"/>
          <w:color w:val="404040"/>
          <w:sz w:val="20"/>
          <w:szCs w:val="20"/>
        </w:rPr>
        <w:t xml:space="preserve">Version 1.0  |  April 2026  |  CONFIDENTIAL</w:t>
      </w:r>
    </w:p>
    <w:p>
      <w:pPr>
        <w:spacing w:after="60"/>
        <w:jc w:val="center"/>
      </w:pPr>
      <w:r>
        <w:rPr>
          <w:rFonts w:ascii="Arial" w:cs="Arial" w:eastAsia="Arial" w:hAnsi="Arial"/>
          <w:color w:val="404040"/>
          <w:sz w:val="20"/>
          <w:szCs w:val="20"/>
        </w:rPr>
        <w:t xml:space="preserve">Prepared for: Dr. Kornilov</w:t>
      </w:r>
    </w:p>
    <w:p>
      <w:pPr>
        <w:spacing w:after="60"/>
        <w:jc w:val="center"/>
      </w:pPr>
      <w:r>
        <w:rPr>
          <w:rFonts w:ascii="Arial" w:cs="Arial" w:eastAsia="Arial" w:hAnsi="Arial"/>
          <w:i/>
          <w:iCs/>
          <w:color w:val="404040"/>
          <w:sz w:val="20"/>
          <w:szCs w:val="20"/>
        </w:rPr>
        <w:t xml:space="preserve">Origin: Independent verification of Clayworth TN-2026-11</w:t>
      </w:r>
    </w:p>
    <w:p>
      <w:pPr>
        <w:sectPr>
          <w:pgSz w:w="12240" w:h="15840" w:orient="portrait"/>
          <w:pgMar w:top="1440" w:right="1440" w:bottom="1440" w:left="1440" w:header="708" w:footer="708" w:gutter="0"/>
          <w:pgNumType/>
          <w:docGrid w:linePitch="360"/>
        </w:sectPr>
      </w:pPr>
    </w:p>
    <w:p>
      <w:pPr>
        <w:pStyle w:val="Heading1"/>
      </w:pPr>
      <w:r>
        <w:t xml:space="preserve">Executive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1"/>
              <w:bottom w:val="single" w:color="2E75B6" w:sz="1"/>
              <w:right w:val="single" w:color="2E75B6" w:sz="1"/>
            </w:tcBorders>
            <w:shd w:fill="EDF3FA" w:val="clear"/>
            <w:tcMar>
              <w:top w:type="dxa" w:w="120"/>
              <w:left w:type="dxa" w:w="200"/>
              <w:bottom w:type="dxa" w:w="120"/>
              <w:right w:type="dxa" w:w="200"/>
            </w:tcMar>
          </w:tcPr>
          <w:p>
            <w:pPr>
              <w:spacing w:after="80" w:line="240"/>
            </w:pPr>
            <w:r>
              <w:rPr>
                <w:rFonts w:ascii="Arial" w:cs="Arial" w:eastAsia="Arial" w:hAnsi="Arial"/>
                <w:b/>
                <w:bCs/>
                <w:color w:val="1F4E79"/>
                <w:sz w:val="22"/>
                <w:szCs w:val="22"/>
              </w:rPr>
              <w:t xml:space="preserve">THESIS</w:t>
            </w:r>
          </w:p>
          <w:p>
            <w:pPr>
              <w:spacing w:after="0" w:line="260"/>
            </w:pPr>
            <w:r>
              <w:rPr>
                <w:rFonts w:ascii="Arial" w:cs="Arial" w:eastAsia="Arial" w:hAnsi="Arial"/>
                <w:color w:val="404040"/>
                <w:sz w:val="20"/>
                <w:szCs w:val="20"/>
              </w:rPr>
              <w:t xml:space="preserve">The genetic code, when encoded as 6-bit binary vectors in GF(2)⁶, exhibits exact algebraic structure (filtration, persistent homology, topological invariants) that is preserved across all 23 known variant genetic codes. This structure generates testable predictions about codon reassignment constraints, evolutionary depth, and engineered code stability. This PRD specifies the computational pipeline to validate these claims exhaustively, extend them to novel predictions, and assess commercial viability for synthetic biology applications.</w:t>
            </w:r>
          </w:p>
        </w:tc>
      </w:tr>
    </w:tbl>
    <w:p>
      <w:pPr>
        <w:spacing w:after="100"/>
      </w:pPr>
    </w:p>
    <w:p>
      <w:pPr>
        <w:spacing w:after="160" w:before="0" w:line="276"/>
      </w:pPr>
      <w:r>
        <w:rPr>
          <w:rFonts w:ascii="Arial" w:cs="Arial" w:eastAsia="Arial" w:hAnsi="Arial"/>
          <w:color w:val="404040"/>
          <w:sz w:val="22"/>
          <w:szCs w:val="22"/>
        </w:rPr>
        <w:t xml:space="preserve">This document formalizes a research program arising from independent verification of claims made in Clayworth TN-2026-11. Our preliminary analysis confirmed all core combinatorial assertions and extended the framework across every known NCBI translation table, producing novel findings not present in the original work.</w:t>
      </w:r>
    </w:p>
    <w:p>
      <w:pPr>
        <w:pStyle w:val="Heading2"/>
      </w:pPr>
      <w:r>
        <w:t xml:space="preserve">Key Findings to Date</w:t>
      </w:r>
    </w:p>
    <w:p>
      <w:pPr>
        <w:pStyle w:val="ListParagraph"/>
        <w:numPr>
          <w:ilvl w:val="0"/>
          <w:numId w:val="2"/>
        </w:numPr>
        <w:spacing w:after="100" w:line="276"/>
      </w:pPr>
      <w:r>
        <w:rPr>
          <w:rFonts w:ascii="Arial" w:cs="Arial" w:eastAsia="Arial" w:hAnsi="Arial"/>
          <w:b/>
          <w:bCs/>
          <w:color w:val="404040"/>
          <w:sz w:val="22"/>
          <w:szCs w:val="22"/>
        </w:rPr>
        <w:t xml:space="preserve">Filtration verified: </w:t>
      </w:r>
      <w:r>
        <w:rPr>
          <w:rFonts w:ascii="Arial" w:cs="Arial" w:eastAsia="Arial" w:hAnsi="Arial"/>
          <w:color w:val="404040"/>
          <w:sz w:val="22"/>
          <w:szCs w:val="22"/>
        </w:rPr>
        <w:t xml:space="preserve">Two-fold (bit-5) and four-fold (prefix uniformity) degeneracy patterns hold with 100% fidelity across 23 codes (~220 individual checks, zero exceptions).</w:t>
      </w:r>
    </w:p>
    <w:p>
      <w:pPr>
        <w:pStyle w:val="ListParagraph"/>
        <w:numPr>
          <w:ilvl w:val="0"/>
          <w:numId w:val="2"/>
        </w:numPr>
        <w:spacing w:after="100" w:line="276"/>
      </w:pPr>
      <w:r>
        <w:rPr>
          <w:rFonts w:ascii="Arial" w:cs="Arial" w:eastAsia="Arial" w:hAnsi="Arial"/>
          <w:b/>
          <w:bCs/>
          <w:color w:val="404040"/>
          <w:sz w:val="22"/>
          <w:szCs w:val="22"/>
        </w:rPr>
        <w:t xml:space="preserve">Serine invariant: </w:t>
      </w:r>
      <w:r>
        <w:rPr>
          <w:rFonts w:ascii="Arial" w:cs="Arial" w:eastAsia="Arial" w:hAnsi="Arial"/>
          <w:color w:val="404040"/>
          <w:sz w:val="22"/>
          <w:szCs w:val="22"/>
        </w:rPr>
        <w:t xml:space="preserve">Serine is topologically disconnected (ε=4) in every known genetic code. No codon reassignment in any lineage has bridged this gap. This is a universal topological invariant of genetic code evolution.</w:t>
      </w:r>
    </w:p>
    <w:p>
      <w:pPr>
        <w:pStyle w:val="ListParagraph"/>
        <w:numPr>
          <w:ilvl w:val="0"/>
          <w:numId w:val="2"/>
        </w:numPr>
        <w:spacing w:after="100" w:line="276"/>
      </w:pPr>
      <w:r>
        <w:rPr>
          <w:rFonts w:ascii="Arial" w:cs="Arial" w:eastAsia="Arial" w:hAnsi="Arial"/>
          <w:b/>
          <w:bCs/>
          <w:color w:val="404040"/>
          <w:sz w:val="22"/>
          <w:szCs w:val="22"/>
        </w:rPr>
        <w:t xml:space="preserve">Novel disconnections catalogued: </w:t>
      </w:r>
      <w:r>
        <w:rPr>
          <w:rFonts w:ascii="Arial" w:cs="Arial" w:eastAsia="Arial" w:hAnsi="Arial"/>
          <w:color w:val="404040"/>
          <w:sz w:val="22"/>
          <w:szCs w:val="22"/>
        </w:rPr>
        <w:t xml:space="preserve">Threonine (yeast mito, ε=2), Leucine (chlorophycean mito, ε=2), Alanine (Pachysolen nuclear, ε=3), and a unique three-component Serine topology (Candida nuclear, ε=3).</w:t>
      </w:r>
    </w:p>
    <w:p>
      <w:pPr>
        <w:pStyle w:val="ListParagraph"/>
        <w:numPr>
          <w:ilvl w:val="0"/>
          <w:numId w:val="2"/>
        </w:numPr>
        <w:spacing w:after="100" w:line="276"/>
      </w:pPr>
      <w:r>
        <w:rPr>
          <w:rFonts w:ascii="Arial" w:cs="Arial" w:eastAsia="Arial" w:hAnsi="Arial"/>
          <w:b/>
          <w:bCs/>
          <w:color w:val="404040"/>
          <w:sz w:val="22"/>
          <w:szCs w:val="22"/>
        </w:rPr>
        <w:t xml:space="preserve">Reconnection-depth correlation: </w:t>
      </w:r>
      <w:r>
        <w:rPr>
          <w:rFonts w:ascii="Arial" w:cs="Arial" w:eastAsia="Arial" w:hAnsi="Arial"/>
          <w:color w:val="404040"/>
          <w:sz w:val="22"/>
          <w:szCs w:val="22"/>
        </w:rPr>
        <w:t xml:space="preserve">Reconnection distance (ε) broadly correlates with evolutionary depth of the reassignment event: ancient events show larger ε, recent events smaller ε.</w:t>
      </w:r>
    </w:p>
    <w:p>
      <w:pPr>
        <w:pStyle w:val="ListParagraph"/>
        <w:numPr>
          <w:ilvl w:val="0"/>
          <w:numId w:val="2"/>
        </w:numPr>
        <w:spacing w:after="100" w:line="276"/>
      </w:pPr>
      <w:r>
        <w:rPr>
          <w:rFonts w:ascii="Arial" w:cs="Arial" w:eastAsia="Arial" w:hAnsi="Arial"/>
          <w:b/>
          <w:bCs/>
          <w:color w:val="404040"/>
          <w:sz w:val="22"/>
          <w:szCs w:val="22"/>
        </w:rPr>
        <w:t xml:space="preserve">Filtration breakage is informative: </w:t>
      </w:r>
      <w:r>
        <w:rPr>
          <w:rFonts w:ascii="Arial" w:cs="Arial" w:eastAsia="Arial" w:hAnsi="Arial"/>
          <w:color w:val="404040"/>
          <w:sz w:val="22"/>
          <w:szCs w:val="22"/>
        </w:rPr>
        <w:t xml:space="preserve">Four-fold filtration breaks only when stop codons are reassigned to amino acids, precisely the expected structural failure mode.</w:t>
      </w:r>
    </w:p>
    <w:p>
      <w:pPr>
        <w:pStyle w:val="Heading2"/>
      </w:pPr>
      <w:r>
        <w:t xml:space="preserve">What This PRD Covers</w:t>
      </w:r>
    </w:p>
    <w:p>
      <w:pPr>
        <w:spacing w:after="160" w:before="0" w:line="276"/>
      </w:pPr>
      <w:r>
        <w:rPr>
          <w:rFonts w:ascii="Arial" w:cs="Arial" w:eastAsia="Arial" w:hAnsi="Arial"/>
          <w:color w:val="404040"/>
          <w:sz w:val="22"/>
          <w:szCs w:val="22"/>
        </w:rPr>
        <w:t xml:space="preserve">This PRD specifies six workstreams (WS1–WS6) that constitute the full computational validation and extension pipeline. All workstreams are in silico. No wet-lab work is scoped here. The output is a comprehensive validation report, a ranked hypothesis catalogue, and a commercial feasibility assessment.</w:t>
      </w:r>
    </w:p>
    <w:p>
      <w:r>
        <w:br w:type="page"/>
      </w:r>
    </w:p>
    <w:p>
      <w:pPr>
        <w:pStyle w:val="Heading1"/>
      </w:pPr>
      <w:r>
        <w:t xml:space="preserve">1. Scope and Objectives</w:t>
      </w:r>
    </w:p>
    <w:p>
      <w:pPr>
        <w:pStyle w:val="Heading2"/>
      </w:pPr>
      <w:r>
        <w:t xml:space="preserve">1.1 In-Scope</w:t>
      </w:r>
    </w:p>
    <w:p>
      <w:pPr>
        <w:pStyle w:val="ListParagraph"/>
        <w:numPr>
          <w:ilvl w:val="0"/>
          <w:numId w:val="3"/>
        </w:numPr>
        <w:spacing w:after="100" w:line="276"/>
      </w:pPr>
      <w:r>
        <w:rPr>
          <w:rFonts w:ascii="Arial" w:cs="Arial" w:eastAsia="Arial" w:hAnsi="Arial"/>
          <w:color w:val="404040"/>
          <w:sz w:val="22"/>
          <w:szCs w:val="22"/>
        </w:rPr>
        <w:t xml:space="preserve">Complete computational replication and extension of Clayworth TN-2026-11 claims across all NCBI translation tables</w:t>
      </w:r>
    </w:p>
    <w:p>
      <w:pPr>
        <w:pStyle w:val="ListParagraph"/>
        <w:numPr>
          <w:ilvl w:val="0"/>
          <w:numId w:val="3"/>
        </w:numPr>
        <w:spacing w:after="100" w:line="276"/>
      </w:pPr>
      <w:r>
        <w:rPr>
          <w:rFonts w:ascii="Arial" w:cs="Arial" w:eastAsia="Arial" w:hAnsi="Arial"/>
          <w:color w:val="404040"/>
          <w:sz w:val="22"/>
          <w:szCs w:val="22"/>
        </w:rPr>
        <w:t xml:space="preserve">Systematic validation of the filtration, embedding, and persistent homology results with formal statistical testing</w:t>
      </w:r>
    </w:p>
    <w:p>
      <w:pPr>
        <w:pStyle w:val="ListParagraph"/>
        <w:numPr>
          <w:ilvl w:val="0"/>
          <w:numId w:val="3"/>
        </w:numPr>
        <w:spacing w:after="100" w:line="276"/>
      </w:pPr>
      <w:r>
        <w:rPr>
          <w:rFonts w:ascii="Arial" w:cs="Arial" w:eastAsia="Arial" w:hAnsi="Arial"/>
          <w:color w:val="404040"/>
          <w:sz w:val="22"/>
          <w:szCs w:val="22"/>
        </w:rPr>
        <w:t xml:space="preserve">Construction of null models to assess whether observed patterns exceed chance expectation</w:t>
      </w:r>
    </w:p>
    <w:p>
      <w:pPr>
        <w:pStyle w:val="ListParagraph"/>
        <w:numPr>
          <w:ilvl w:val="0"/>
          <w:numId w:val="3"/>
        </w:numPr>
        <w:spacing w:after="100" w:line="276"/>
      </w:pPr>
      <w:r>
        <w:rPr>
          <w:rFonts w:ascii="Arial" w:cs="Arial" w:eastAsia="Arial" w:hAnsi="Arial"/>
          <w:color w:val="404040"/>
          <w:sz w:val="22"/>
          <w:szCs w:val="22"/>
        </w:rPr>
        <w:t xml:space="preserve">Cross-validation against external databases (COSMIC, cBioPortal, NCBI tRNA database, CoCoPUTs codon usage)</w:t>
      </w:r>
    </w:p>
    <w:p>
      <w:pPr>
        <w:pStyle w:val="ListParagraph"/>
        <w:numPr>
          <w:ilvl w:val="0"/>
          <w:numId w:val="3"/>
        </w:numPr>
        <w:spacing w:after="100" w:line="276"/>
      </w:pPr>
      <w:r>
        <w:rPr>
          <w:rFonts w:ascii="Arial" w:cs="Arial" w:eastAsia="Arial" w:hAnsi="Arial"/>
          <w:color w:val="404040"/>
          <w:sz w:val="22"/>
          <w:szCs w:val="22"/>
        </w:rPr>
        <w:t xml:space="preserve">Generation of ranked, falsifiable predictions with explicit success/failure criteria</w:t>
      </w:r>
    </w:p>
    <w:p>
      <w:pPr>
        <w:pStyle w:val="ListParagraph"/>
        <w:numPr>
          <w:ilvl w:val="0"/>
          <w:numId w:val="3"/>
        </w:numPr>
        <w:spacing w:after="100" w:line="276"/>
      </w:pPr>
      <w:r>
        <w:rPr>
          <w:rFonts w:ascii="Arial" w:cs="Arial" w:eastAsia="Arial" w:hAnsi="Arial"/>
          <w:color w:val="404040"/>
          <w:sz w:val="22"/>
          <w:szCs w:val="22"/>
        </w:rPr>
        <w:t xml:space="preserve">Commercial feasibility analysis for synthetic biology codon design applications</w:t>
      </w:r>
    </w:p>
    <w:p>
      <w:pPr>
        <w:pStyle w:val="Heading2"/>
      </w:pPr>
      <w:r>
        <w:t xml:space="preserve">1.2 Out-of-Scope</w:t>
      </w:r>
    </w:p>
    <w:p>
      <w:pPr>
        <w:pStyle w:val="ListParagraph"/>
        <w:numPr>
          <w:ilvl w:val="0"/>
          <w:numId w:val="2"/>
        </w:numPr>
        <w:spacing w:after="100" w:line="276"/>
      </w:pPr>
      <w:r>
        <w:rPr>
          <w:rFonts w:ascii="Arial" w:cs="Arial" w:eastAsia="Arial" w:hAnsi="Arial"/>
          <w:color w:val="404040"/>
          <w:sz w:val="22"/>
          <w:szCs w:val="22"/>
        </w:rPr>
        <w:t xml:space="preserve">Wet-lab validation (deferred to Phase 2 pending computational results)</w:t>
      </w:r>
    </w:p>
    <w:p>
      <w:pPr>
        <w:pStyle w:val="ListParagraph"/>
        <w:numPr>
          <w:ilvl w:val="0"/>
          <w:numId w:val="2"/>
        </w:numPr>
        <w:spacing w:after="100" w:line="276"/>
      </w:pPr>
      <w:r>
        <w:rPr>
          <w:rFonts w:ascii="Arial" w:cs="Arial" w:eastAsia="Arial" w:hAnsi="Arial"/>
          <w:color w:val="404040"/>
          <w:sz w:val="22"/>
          <w:szCs w:val="22"/>
        </w:rPr>
        <w:t xml:space="preserve">Clinical trial design for liquid biopsy applications</w:t>
      </w:r>
    </w:p>
    <w:p>
      <w:pPr>
        <w:pStyle w:val="ListParagraph"/>
        <w:numPr>
          <w:ilvl w:val="0"/>
          <w:numId w:val="2"/>
        </w:numPr>
        <w:spacing w:after="100" w:line="276"/>
      </w:pPr>
      <w:r>
        <w:rPr>
          <w:rFonts w:ascii="Arial" w:cs="Arial" w:eastAsia="Arial" w:hAnsi="Arial"/>
          <w:color w:val="404040"/>
          <w:sz w:val="22"/>
          <w:szCs w:val="22"/>
        </w:rPr>
        <w:t xml:space="preserve">Patent filing (deferred pending validation; freedom-to-operate analysis recommended)</w:t>
      </w:r>
    </w:p>
    <w:p>
      <w:pPr>
        <w:pStyle w:val="ListParagraph"/>
        <w:numPr>
          <w:ilvl w:val="0"/>
          <w:numId w:val="2"/>
        </w:numPr>
        <w:spacing w:after="100" w:line="276"/>
      </w:pPr>
      <w:r>
        <w:rPr>
          <w:rFonts w:ascii="Arial" w:cs="Arial" w:eastAsia="Arial" w:hAnsi="Arial"/>
          <w:color w:val="404040"/>
          <w:sz w:val="22"/>
          <w:szCs w:val="22"/>
        </w:rPr>
        <w:t xml:space="preserve">Replication of Clayworth’s proprietary constraint propagation algorithm</w:t>
      </w:r>
    </w:p>
    <w:p>
      <w:pPr>
        <w:pStyle w:val="Heading2"/>
      </w:pPr>
      <w:r>
        <w:t xml:space="preserve">1.3 Success Criteria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BFBFBF" w:sz="1"/>
              <w:left w:val="single" w:color="BFBFBF" w:sz="1"/>
              <w:bottom w:val="single" w:color="BFBFBF" w:sz="1"/>
              <w:right w:val="single" w:color="BFBFBF" w:sz="1"/>
            </w:tcBorders>
            <w:shd w:fill="1B2A4A" w:val="clear"/>
            <w:tcMar>
              <w:top w:type="dxa" w:w="80"/>
              <w:left w:type="dxa" w:w="120"/>
              <w:bottom w:type="dxa" w:w="80"/>
              <w:right w:type="dxa" w:w="120"/>
            </w:tcMar>
            <w:vAlign w:val="center"/>
          </w:tcPr>
          <w:p>
            <w:pPr>
              <w:spacing w:after="0" w:line="240"/>
            </w:pPr>
            <w:r>
              <w:rPr>
                <w:rFonts w:ascii="Arial" w:cs="Arial" w:eastAsia="Arial" w:hAnsi="Arial"/>
                <w:b/>
                <w:bCs/>
                <w:color w:val="FFFFFF"/>
                <w:sz w:val="20"/>
                <w:szCs w:val="20"/>
              </w:rPr>
              <w:t xml:space="preserve">Criterion</w:t>
            </w:r>
          </w:p>
        </w:tc>
        <w:tc>
          <w:tcPr>
            <w:tcW w:type="dxa" w:w="3120"/>
            <w:tcBorders>
              <w:top w:val="single" w:color="BFBFBF" w:sz="1"/>
              <w:left w:val="single" w:color="BFBFBF" w:sz="1"/>
              <w:bottom w:val="single" w:color="BFBFBF" w:sz="1"/>
              <w:right w:val="single" w:color="BFBFBF" w:sz="1"/>
            </w:tcBorders>
            <w:shd w:fill="1B2A4A" w:val="clear"/>
            <w:tcMar>
              <w:top w:type="dxa" w:w="80"/>
              <w:left w:type="dxa" w:w="120"/>
              <w:bottom w:type="dxa" w:w="80"/>
              <w:right w:type="dxa" w:w="120"/>
            </w:tcMar>
            <w:vAlign w:val="center"/>
          </w:tcPr>
          <w:p>
            <w:pPr>
              <w:spacing w:after="0" w:line="240"/>
            </w:pPr>
            <w:r>
              <w:rPr>
                <w:rFonts w:ascii="Arial" w:cs="Arial" w:eastAsia="Arial" w:hAnsi="Arial"/>
                <w:b/>
                <w:bCs/>
                <w:color w:val="FFFFFF"/>
                <w:sz w:val="20"/>
                <w:szCs w:val="20"/>
              </w:rPr>
              <w:t xml:space="preserve">Threshold</w:t>
            </w:r>
          </w:p>
        </w:tc>
        <w:tc>
          <w:tcPr>
            <w:tcW w:type="dxa" w:w="3120"/>
            <w:tcBorders>
              <w:top w:val="single" w:color="BFBFBF" w:sz="1"/>
              <w:left w:val="single" w:color="BFBFBF" w:sz="1"/>
              <w:bottom w:val="single" w:color="BFBFBF" w:sz="1"/>
              <w:right w:val="single" w:color="BFBFBF" w:sz="1"/>
            </w:tcBorders>
            <w:shd w:fill="1B2A4A" w:val="clear"/>
            <w:tcMar>
              <w:top w:type="dxa" w:w="80"/>
              <w:left w:type="dxa" w:w="120"/>
              <w:bottom w:type="dxa" w:w="80"/>
              <w:right w:type="dxa" w:w="120"/>
            </w:tcMar>
            <w:vAlign w:val="center"/>
          </w:tcPr>
          <w:p>
            <w:pPr>
              <w:spacing w:after="0" w:line="240"/>
            </w:pPr>
            <w:r>
              <w:rPr>
                <w:rFonts w:ascii="Arial" w:cs="Arial" w:eastAsia="Arial" w:hAnsi="Arial"/>
                <w:b/>
                <w:bCs/>
                <w:color w:val="FFFFFF"/>
                <w:sz w:val="20"/>
                <w:szCs w:val="20"/>
              </w:rPr>
              <w:t xml:space="preserve">Measurement</w:t>
            </w:r>
          </w:p>
        </w:tc>
      </w:tr>
      <w:tr>
        <w:trPr>
          <w:tblHeader w:val="false"/>
        </w:trPr>
        <w:tc>
          <w:tcPr>
            <w:tcW w:type="dxa" w:w="312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spacing w:after="0" w:line="240"/>
            </w:pPr>
            <w:r>
              <w:rPr>
                <w:rFonts w:ascii="Arial" w:cs="Arial" w:eastAsia="Arial" w:hAnsi="Arial"/>
                <w:color w:val="404040"/>
                <w:sz w:val="20"/>
                <w:szCs w:val="20"/>
              </w:rPr>
              <w:t xml:space="preserve">Filtration universality</w:t>
            </w:r>
          </w:p>
        </w:tc>
        <w:tc>
          <w:tcPr>
            <w:tcW w:type="dxa" w:w="312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spacing w:after="0" w:line="240"/>
            </w:pPr>
            <w:r>
              <w:rPr>
                <w:rFonts w:ascii="Arial" w:cs="Arial" w:eastAsia="Arial" w:hAnsi="Arial"/>
                <w:color w:val="404040"/>
                <w:sz w:val="20"/>
                <w:szCs w:val="20"/>
              </w:rPr>
              <w:t xml:space="preserve">100% preservation of two-fold bit-5 pattern across all codes</w:t>
            </w:r>
          </w:p>
        </w:tc>
        <w:tc>
          <w:tcPr>
            <w:tcW w:type="dxa" w:w="312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spacing w:after="0" w:line="240"/>
            </w:pPr>
            <w:r>
              <w:rPr>
                <w:rFonts w:ascii="Arial" w:cs="Arial" w:eastAsia="Arial" w:hAnsi="Arial"/>
                <w:color w:val="404040"/>
                <w:sz w:val="20"/>
                <w:szCs w:val="20"/>
              </w:rPr>
              <w:t xml:space="preserve">Binary pass/fail per amino acid per code</w:t>
            </w:r>
          </w:p>
        </w:tc>
      </w:tr>
      <w:tr>
        <w:trPr>
          <w:tblHeader w:val="false"/>
        </w:trPr>
        <w:tc>
          <w:tcPr>
            <w:tcW w:type="dxa" w:w="312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spacing w:after="0" w:line="240"/>
            </w:pPr>
            <w:r>
              <w:rPr>
                <w:rFonts w:ascii="Arial" w:cs="Arial" w:eastAsia="Arial" w:hAnsi="Arial"/>
                <w:color w:val="404040"/>
                <w:sz w:val="20"/>
                <w:szCs w:val="20"/>
              </w:rPr>
              <w:t xml:space="preserve">Serine invariant</w:t>
            </w:r>
          </w:p>
        </w:tc>
        <w:tc>
          <w:tcPr>
            <w:tcW w:type="dxa" w:w="312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spacing w:after="0" w:line="240"/>
            </w:pPr>
            <w:r>
              <w:rPr>
                <w:rFonts w:ascii="Arial" w:cs="Arial" w:eastAsia="Arial" w:hAnsi="Arial"/>
                <w:color w:val="404040"/>
                <w:sz w:val="20"/>
                <w:szCs w:val="20"/>
              </w:rPr>
              <w:t xml:space="preserve">Disconnected at ε≤4 in all known codes</w:t>
            </w:r>
          </w:p>
        </w:tc>
        <w:tc>
          <w:tcPr>
            <w:tcW w:type="dxa" w:w="312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spacing w:after="0" w:line="240"/>
            </w:pPr>
            <w:r>
              <w:rPr>
                <w:rFonts w:ascii="Arial" w:cs="Arial" w:eastAsia="Arial" w:hAnsi="Arial"/>
                <w:color w:val="404040"/>
                <w:sz w:val="20"/>
                <w:szCs w:val="20"/>
              </w:rPr>
              <w:t xml:space="preserve">Persistent homology computation</w:t>
            </w:r>
          </w:p>
        </w:tc>
      </w:tr>
      <w:tr>
        <w:trPr>
          <w:tblHeader w:val="false"/>
        </w:trPr>
        <w:tc>
          <w:tcPr>
            <w:tcW w:type="dxa" w:w="312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spacing w:after="0" w:line="240"/>
            </w:pPr>
            <w:r>
              <w:rPr>
                <w:rFonts w:ascii="Arial" w:cs="Arial" w:eastAsia="Arial" w:hAnsi="Arial"/>
                <w:color w:val="404040"/>
                <w:sz w:val="20"/>
                <w:szCs w:val="20"/>
              </w:rPr>
              <w:t xml:space="preserve">Null model rejection</w:t>
            </w:r>
          </w:p>
        </w:tc>
        <w:tc>
          <w:tcPr>
            <w:tcW w:type="dxa" w:w="312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spacing w:after="0" w:line="240"/>
            </w:pPr>
            <w:r>
              <w:rPr>
                <w:rFonts w:ascii="Arial" w:cs="Arial" w:eastAsia="Arial" w:hAnsi="Arial"/>
                <w:color w:val="404040"/>
                <w:sz w:val="20"/>
                <w:szCs w:val="20"/>
              </w:rPr>
              <w:t xml:space="preserve">Observed structure exceeds 99% of random code permutations</w:t>
            </w:r>
          </w:p>
        </w:tc>
        <w:tc>
          <w:tcPr>
            <w:tcW w:type="dxa" w:w="312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spacing w:after="0" w:line="240"/>
            </w:pPr>
            <w:r>
              <w:rPr>
                <w:rFonts w:ascii="Arial" w:cs="Arial" w:eastAsia="Arial" w:hAnsi="Arial"/>
                <w:color w:val="404040"/>
                <w:sz w:val="20"/>
                <w:szCs w:val="20"/>
              </w:rPr>
              <w:t xml:space="preserve">Permutation test, p&lt;0.01</w:t>
            </w:r>
          </w:p>
        </w:tc>
      </w:tr>
      <w:tr>
        <w:trPr>
          <w:tblHeader w:val="false"/>
        </w:trPr>
        <w:tc>
          <w:tcPr>
            <w:tcW w:type="dxa" w:w="312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spacing w:after="0" w:line="240"/>
            </w:pPr>
            <w:r>
              <w:rPr>
                <w:rFonts w:ascii="Arial" w:cs="Arial" w:eastAsia="Arial" w:hAnsi="Arial"/>
                <w:color w:val="404040"/>
                <w:sz w:val="20"/>
                <w:szCs w:val="20"/>
              </w:rPr>
              <w:t xml:space="preserve">Reassignment directionality</w:t>
            </w:r>
          </w:p>
        </w:tc>
        <w:tc>
          <w:tcPr>
            <w:tcW w:type="dxa" w:w="312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spacing w:after="0" w:line="240"/>
            </w:pPr>
            <w:r>
              <w:rPr>
                <w:rFonts w:ascii="Arial" w:cs="Arial" w:eastAsia="Arial" w:hAnsi="Arial"/>
                <w:color w:val="404040"/>
                <w:sz w:val="20"/>
                <w:szCs w:val="20"/>
              </w:rPr>
              <w:t xml:space="preserve">Known reassignments cluster on short Hamming paths vs. random (p&lt;0.05)</w:t>
            </w:r>
          </w:p>
        </w:tc>
        <w:tc>
          <w:tcPr>
            <w:tcW w:type="dxa" w:w="312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spacing w:after="0" w:line="240"/>
            </w:pPr>
            <w:r>
              <w:rPr>
                <w:rFonts w:ascii="Arial" w:cs="Arial" w:eastAsia="Arial" w:hAnsi="Arial"/>
                <w:color w:val="404040"/>
                <w:sz w:val="20"/>
                <w:szCs w:val="20"/>
              </w:rPr>
              <w:t xml:space="preserve">Exact permutation test</w:t>
            </w:r>
          </w:p>
        </w:tc>
      </w:tr>
      <w:tr>
        <w:trPr>
          <w:tblHeader w:val="false"/>
        </w:trPr>
        <w:tc>
          <w:tcPr>
            <w:tcW w:type="dxa" w:w="312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spacing w:after="0" w:line="240"/>
            </w:pPr>
            <w:r>
              <w:rPr>
                <w:rFonts w:ascii="Arial" w:cs="Arial" w:eastAsia="Arial" w:hAnsi="Arial"/>
                <w:color w:val="404040"/>
                <w:sz w:val="20"/>
                <w:szCs w:val="20"/>
              </w:rPr>
              <w:t xml:space="preserve">Prediction catalogue</w:t>
            </w:r>
          </w:p>
        </w:tc>
        <w:tc>
          <w:tcPr>
            <w:tcW w:type="dxa" w:w="312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spacing w:after="0" w:line="240"/>
            </w:pPr>
            <w:r>
              <w:rPr>
                <w:rFonts w:ascii="Arial" w:cs="Arial" w:eastAsia="Arial" w:hAnsi="Arial"/>
                <w:color w:val="404040"/>
                <w:sz w:val="20"/>
                <w:szCs w:val="20"/>
              </w:rPr>
              <w:t xml:space="preserve">≥10 ranked, falsifiable predictions with explicit criteria</w:t>
            </w:r>
          </w:p>
        </w:tc>
        <w:tc>
          <w:tcPr>
            <w:tcW w:type="dxa" w:w="312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spacing w:after="0" w:line="240"/>
            </w:pPr>
            <w:r>
              <w:rPr>
                <w:rFonts w:ascii="Arial" w:cs="Arial" w:eastAsia="Arial" w:hAnsi="Arial"/>
                <w:color w:val="404040"/>
                <w:sz w:val="20"/>
                <w:szCs w:val="20"/>
              </w:rPr>
              <w:t xml:space="preserve">Expert review</w:t>
            </w:r>
          </w:p>
        </w:tc>
      </w:tr>
      <w:tr>
        <w:trPr>
          <w:tblHeader w:val="false"/>
        </w:trPr>
        <w:tc>
          <w:tcPr>
            <w:tcW w:type="dxa" w:w="312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spacing w:after="0" w:line="240"/>
            </w:pPr>
            <w:r>
              <w:rPr>
                <w:rFonts w:ascii="Arial" w:cs="Arial" w:eastAsia="Arial" w:hAnsi="Arial"/>
                <w:color w:val="404040"/>
                <w:sz w:val="20"/>
                <w:szCs w:val="20"/>
              </w:rPr>
              <w:t xml:space="preserve">Synthetic biology signal</w:t>
            </w:r>
          </w:p>
        </w:tc>
        <w:tc>
          <w:tcPr>
            <w:tcW w:type="dxa" w:w="312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spacing w:after="0" w:line="240"/>
            </w:pPr>
            <w:r>
              <w:rPr>
                <w:rFonts w:ascii="Arial" w:cs="Arial" w:eastAsia="Arial" w:hAnsi="Arial"/>
                <w:color w:val="404040"/>
                <w:sz w:val="20"/>
                <w:szCs w:val="20"/>
              </w:rPr>
              <w:t xml:space="preserve">Geometric consistency correlates with reported stability in ≥5 published reassignment experiments</w:t>
            </w:r>
          </w:p>
        </w:tc>
        <w:tc>
          <w:tcPr>
            <w:tcW w:type="dxa" w:w="312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spacing w:after="0" w:line="240"/>
            </w:pPr>
            <w:r>
              <w:rPr>
                <w:rFonts w:ascii="Arial" w:cs="Arial" w:eastAsia="Arial" w:hAnsi="Arial"/>
                <w:color w:val="404040"/>
                <w:sz w:val="20"/>
                <w:szCs w:val="20"/>
              </w:rPr>
              <w:t xml:space="preserve">Effect size + significance</w:t>
            </w:r>
          </w:p>
        </w:tc>
      </w:tr>
    </w:tbl>
    <w:p>
      <w:r>
        <w:br w:type="page"/>
      </w:r>
    </w:p>
    <w:p>
      <w:pPr>
        <w:pStyle w:val="Heading1"/>
      </w:pPr>
      <w:r>
        <w:t xml:space="preserve">2. Workstreams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1"/>
              <w:bottom w:val="single" w:color="2E75B6" w:sz="1"/>
              <w:right w:val="single" w:color="2E75B6" w:sz="1"/>
            </w:tcBorders>
            <w:shd w:fill="EDF3FA" w:val="clear"/>
            <w:tcMar>
              <w:top w:type="dxa" w:w="120"/>
              <w:left w:type="dxa" w:w="200"/>
              <w:bottom w:type="dxa" w:w="120"/>
              <w:right w:type="dxa" w:w="200"/>
            </w:tcMar>
          </w:tcPr>
          <w:p>
            <w:pPr>
              <w:spacing w:after="80" w:line="240"/>
            </w:pPr>
            <w:r>
              <w:rPr>
                <w:rFonts w:ascii="Arial" w:cs="Arial" w:eastAsia="Arial" w:hAnsi="Arial"/>
                <w:b/>
                <w:bCs/>
                <w:color w:val="1F4E79"/>
                <w:sz w:val="22"/>
                <w:szCs w:val="22"/>
              </w:rPr>
              <w:t xml:space="preserve">ARCHITECTURE</w:t>
            </w:r>
          </w:p>
          <w:p>
            <w:pPr>
              <w:spacing w:after="0" w:line="260"/>
            </w:pPr>
            <w:r>
              <w:rPr>
                <w:rFonts w:ascii="Arial" w:cs="Arial" w:eastAsia="Arial" w:hAnsi="Arial"/>
                <w:color w:val="404040"/>
                <w:sz w:val="20"/>
                <w:szCs w:val="20"/>
              </w:rPr>
              <w:t xml:space="preserve">Six workstreams organized in dependency order. WS1–WS2 are foundational (must complete first). WS3–WS4 are independent extensions. WS5 synthesizes predictions. WS6 assesses commercial viability. Each workstream specifies inputs, methods, outputs, and validation criteria.</w:t>
            </w:r>
          </w:p>
        </w:tc>
      </w:tr>
    </w:tbl>
    <w:p>
      <w:pPr>
        <w:spacing w:after="100"/>
      </w:pPr>
    </w:p>
    <w:p>
      <w:pPr>
        <w:pStyle w:val="Heading2"/>
      </w:pPr>
      <w:r>
        <w:t xml:space="preserve">2.1 WS1: Core Replication &amp; Null Model Construction</w:t>
      </w:r>
    </w:p>
    <w:p>
      <w:pPr>
        <w:spacing w:after="160" w:before="0" w:line="276"/>
      </w:pPr>
      <w:r>
        <w:rPr>
          <w:rFonts w:ascii="Arial" w:cs="Arial" w:eastAsia="Arial" w:hAnsi="Arial"/>
          <w:b/>
          <w:bCs/>
          <w:color w:val="404040"/>
          <w:sz w:val="22"/>
          <w:szCs w:val="22"/>
        </w:rPr>
        <w:t xml:space="preserve">Objective: </w:t>
      </w:r>
      <w:r>
        <w:rPr>
          <w:rFonts w:ascii="Arial" w:cs="Arial" w:eastAsia="Arial" w:hAnsi="Arial"/>
          <w:color w:val="404040"/>
          <w:sz w:val="22"/>
          <w:szCs w:val="22"/>
        </w:rPr>
        <w:t xml:space="preserve">Establish that the observed algebraic structure is not an artifact of the encoding or a trivial consequence of amino acid count distributions. Formalize all existing verification code into a tested, documented library.</w:t>
      </w:r>
    </w:p>
    <w:p>
      <w:pPr>
        <w:pStyle w:val="Heading3"/>
      </w:pPr>
      <w:r>
        <w:t xml:space="preserve">2.1.1 Tasks</w:t>
      </w:r>
    </w:p>
    <w:p>
      <w:pPr>
        <w:pStyle w:val="ListParagraph"/>
        <w:numPr>
          <w:ilvl w:val="0"/>
          <w:numId w:val="4"/>
        </w:numPr>
        <w:spacing w:after="100" w:line="276"/>
      </w:pPr>
      <w:r>
        <w:rPr>
          <w:rFonts w:ascii="Arial" w:cs="Arial" w:eastAsia="Arial" w:hAnsi="Arial"/>
          <w:color w:val="404040"/>
          <w:sz w:val="22"/>
          <w:szCs w:val="22"/>
        </w:rPr>
        <w:t xml:space="preserve">Refactor existing verification scripts into a Python package (codon_topo) with unit tests, type hints, and docstrings.</w:t>
      </w:r>
    </w:p>
    <w:p>
      <w:pPr>
        <w:pStyle w:val="ListParagraph"/>
        <w:numPr>
          <w:ilvl w:val="0"/>
          <w:numId w:val="4"/>
        </w:numPr>
        <w:spacing w:after="100" w:line="276"/>
      </w:pPr>
      <w:r>
        <w:rPr>
          <w:rFonts w:ascii="Arial" w:cs="Arial" w:eastAsia="Arial" w:hAnsi="Arial"/>
          <w:color w:val="404040"/>
          <w:sz w:val="22"/>
          <w:szCs w:val="22"/>
        </w:rPr>
        <w:t xml:space="preserve">Implement complete filtration analysis for arbitrary genetic code tables (input: codon→AA mapping; output: filtration report, persistent homology, disconnection catalogue).</w:t>
      </w:r>
    </w:p>
    <w:p>
      <w:pPr>
        <w:pStyle w:val="ListParagraph"/>
        <w:numPr>
          <w:ilvl w:val="0"/>
          <w:numId w:val="4"/>
        </w:numPr>
        <w:spacing w:after="100" w:line="276"/>
      </w:pPr>
      <w:r>
        <w:rPr>
          <w:rFonts w:ascii="Arial" w:cs="Arial" w:eastAsia="Arial" w:hAnsi="Arial"/>
          <w:color w:val="404040"/>
          <w:sz w:val="22"/>
          <w:szCs w:val="22"/>
        </w:rPr>
        <w:t xml:space="preserve">Construct three null models for statistical testing:</w:t>
      </w:r>
    </w:p>
    <w:p>
      <w:pPr>
        <w:pStyle w:val="ListParagraph"/>
        <w:numPr>
          <w:ilvl w:val="1"/>
          <w:numId w:val="2"/>
        </w:numPr>
        <w:spacing w:after="100" w:line="276"/>
      </w:pPr>
      <w:r>
        <w:rPr>
          <w:rFonts w:ascii="Arial" w:cs="Arial" w:eastAsia="Arial" w:hAnsi="Arial"/>
          <w:b/>
          <w:bCs/>
          <w:color w:val="404040"/>
          <w:sz w:val="22"/>
          <w:szCs w:val="22"/>
        </w:rPr>
        <w:t xml:space="preserve">Null Model A (Random Assignment): </w:t>
      </w:r>
      <w:r>
        <w:rPr>
          <w:rFonts w:ascii="Arial" w:cs="Arial" w:eastAsia="Arial" w:hAnsi="Arial"/>
          <w:color w:val="404040"/>
          <w:sz w:val="22"/>
          <w:szCs w:val="22"/>
        </w:rPr>
        <w:t xml:space="preserve">Fix the degeneracy structure (how many amino acids have 1, 2, 3, 4, 6 codons) but randomly assign codons to amino acids. Run 100,000 permutations. Measure: how often does a random code produce exactly one disconnected amino acid at ε=1? How often does it produce the exact bit-5 uniformity?</w:t>
      </w:r>
    </w:p>
    <w:p>
      <w:pPr>
        <w:pStyle w:val="ListParagraph"/>
        <w:numPr>
          <w:ilvl w:val="1"/>
          <w:numId w:val="2"/>
        </w:numPr>
        <w:spacing w:after="100" w:line="276"/>
      </w:pPr>
      <w:r>
        <w:rPr>
          <w:rFonts w:ascii="Arial" w:cs="Arial" w:eastAsia="Arial" w:hAnsi="Arial"/>
          <w:b/>
          <w:bCs/>
          <w:color w:val="404040"/>
          <w:sz w:val="22"/>
          <w:szCs w:val="22"/>
        </w:rPr>
        <w:t xml:space="preserve">Null Model B (Block-Preserving Shuffle): </w:t>
      </w:r>
      <w:r>
        <w:rPr>
          <w:rFonts w:ascii="Arial" w:cs="Arial" w:eastAsia="Arial" w:hAnsi="Arial"/>
          <w:color w:val="404040"/>
          <w:sz w:val="22"/>
          <w:szCs w:val="22"/>
        </w:rPr>
        <w:t xml:space="preserve">Preserve the block structure (groups of codons sharing first two bases) but randomly assign blocks to amino acids. This tests whether the observed patterns are a trivial consequence of the block structure itself.</w:t>
      </w:r>
    </w:p>
    <w:p>
      <w:pPr>
        <w:pStyle w:val="ListParagraph"/>
        <w:numPr>
          <w:ilvl w:val="1"/>
          <w:numId w:val="2"/>
        </w:numPr>
        <w:spacing w:after="100" w:line="276"/>
      </w:pPr>
      <w:r>
        <w:rPr>
          <w:rFonts w:ascii="Arial" w:cs="Arial" w:eastAsia="Arial" w:hAnsi="Arial"/>
          <w:b/>
          <w:bCs/>
          <w:color w:val="404040"/>
          <w:sz w:val="22"/>
          <w:szCs w:val="22"/>
        </w:rPr>
        <w:t xml:space="preserve">Null Model C (Alternative Encodings): </w:t>
      </w:r>
      <w:r>
        <w:rPr>
          <w:rFonts w:ascii="Arial" w:cs="Arial" w:eastAsia="Arial" w:hAnsi="Arial"/>
          <w:color w:val="404040"/>
          <w:sz w:val="22"/>
          <w:szCs w:val="22"/>
        </w:rPr>
        <w:t xml:space="preserve">Test all 4! = 24 possible binary encodings of the four bases (not just C=00, U=01, A=10, G=11). Determine whether the filtration properties are encoding-dependent or encoding-invariant.</w:t>
      </w:r>
    </w:p>
    <w:p>
      <w:pPr>
        <w:pStyle w:val="ListParagraph"/>
        <w:numPr>
          <w:ilvl w:val="0"/>
          <w:numId w:val="4"/>
        </w:numPr>
        <w:spacing w:after="100" w:line="276"/>
      </w:pPr>
      <w:r>
        <w:rPr>
          <w:rFonts w:ascii="Arial" w:cs="Arial" w:eastAsia="Arial" w:hAnsi="Arial"/>
          <w:color w:val="404040"/>
          <w:sz w:val="22"/>
          <w:szCs w:val="22"/>
        </w:rPr>
        <w:t xml:space="preserve">Implement the holomorphic embedding φ: GF(2)⁶ → ℂ³ and verify all geometric properties computationally for every NCBI table.</w:t>
      </w:r>
    </w:p>
    <w:p>
      <w:pPr>
        <w:pStyle w:val="ListParagraph"/>
        <w:numPr>
          <w:ilvl w:val="0"/>
          <w:numId w:val="4"/>
        </w:numPr>
        <w:spacing w:after="100" w:line="276"/>
      </w:pPr>
      <w:r>
        <w:rPr>
          <w:rFonts w:ascii="Arial" w:cs="Arial" w:eastAsia="Arial" w:hAnsi="Arial"/>
          <w:color w:val="404040"/>
          <w:sz w:val="22"/>
          <w:szCs w:val="22"/>
        </w:rPr>
        <w:t xml:space="preserve">Generate publication-quality visualizations: hypercube projections, persistent homology barcodes, embedding scatter plots in ℂ³.</w:t>
      </w:r>
    </w:p>
    <w:p>
      <w:pPr>
        <w:pStyle w:val="Heading3"/>
      </w:pPr>
      <w:r>
        <w:t xml:space="preserve">2.1.2 Outputs</w:t>
      </w:r>
    </w:p>
    <w:p>
      <w:pPr>
        <w:pStyle w:val="ListParagraph"/>
        <w:numPr>
          <w:ilvl w:val="0"/>
          <w:numId w:val="2"/>
        </w:numPr>
        <w:spacing w:after="100" w:line="276"/>
      </w:pPr>
      <w:r>
        <w:rPr>
          <w:rFonts w:ascii="Arial" w:cs="Arial" w:eastAsia="Arial" w:hAnsi="Arial"/>
          <w:color w:val="404040"/>
          <w:sz w:val="22"/>
          <w:szCs w:val="22"/>
        </w:rPr>
        <w:t xml:space="preserve">Python package codon_topo (pip-installable, tested, documented)</w:t>
      </w:r>
    </w:p>
    <w:p>
      <w:pPr>
        <w:pStyle w:val="ListParagraph"/>
        <w:numPr>
          <w:ilvl w:val="0"/>
          <w:numId w:val="2"/>
        </w:numPr>
        <w:spacing w:after="100" w:line="276"/>
      </w:pPr>
      <w:r>
        <w:rPr>
          <w:rFonts w:ascii="Arial" w:cs="Arial" w:eastAsia="Arial" w:hAnsi="Arial"/>
          <w:color w:val="404040"/>
          <w:sz w:val="22"/>
          <w:szCs w:val="22"/>
        </w:rPr>
        <w:t xml:space="preserve">Null model results with p-values and effect sizes</w:t>
      </w:r>
    </w:p>
    <w:p>
      <w:pPr>
        <w:pStyle w:val="ListParagraph"/>
        <w:numPr>
          <w:ilvl w:val="0"/>
          <w:numId w:val="2"/>
        </w:numPr>
        <w:spacing w:after="100" w:line="276"/>
      </w:pPr>
      <w:r>
        <w:rPr>
          <w:rFonts w:ascii="Arial" w:cs="Arial" w:eastAsia="Arial" w:hAnsi="Arial"/>
          <w:color w:val="404040"/>
          <w:sz w:val="22"/>
          <w:szCs w:val="22"/>
        </w:rPr>
        <w:t xml:space="preserve">Visualization suite (matplotlib/plotly) for all 23+ codes</w:t>
      </w:r>
    </w:p>
    <w:p>
      <w:pPr>
        <w:pStyle w:val="ListParagraph"/>
        <w:numPr>
          <w:ilvl w:val="0"/>
          <w:numId w:val="2"/>
        </w:numPr>
        <w:spacing w:after="100" w:line="276"/>
      </w:pPr>
      <w:r>
        <w:rPr>
          <w:rFonts w:ascii="Arial" w:cs="Arial" w:eastAsia="Arial" w:hAnsi="Arial"/>
          <w:color w:val="404040"/>
          <w:sz w:val="22"/>
          <w:szCs w:val="22"/>
        </w:rPr>
        <w:t xml:space="preserve">Technical report: “Statistical Validation of Filtration Invariants in the Genetic Code”</w:t>
      </w:r>
    </w:p>
    <w:p>
      <w:pPr>
        <w:pStyle w:val="Heading3"/>
      </w:pPr>
      <w:r>
        <w:t xml:space="preserve">2.1.3 Validation Criteria</w:t>
      </w:r>
    </w:p>
    <w:p>
      <w:pPr>
        <w:pStyle w:val="ListParagraph"/>
        <w:numPr>
          <w:ilvl w:val="0"/>
          <w:numId w:val="2"/>
        </w:numPr>
        <w:spacing w:after="100" w:line="276"/>
      </w:pPr>
      <w:r>
        <w:rPr>
          <w:rFonts w:ascii="Arial" w:cs="Arial" w:eastAsia="Arial" w:hAnsi="Arial"/>
          <w:color w:val="404040"/>
          <w:sz w:val="22"/>
          <w:szCs w:val="22"/>
        </w:rPr>
        <w:t xml:space="preserve">All existing results reproduced identically from packaged code</w:t>
      </w:r>
    </w:p>
    <w:p>
      <w:pPr>
        <w:pStyle w:val="ListParagraph"/>
        <w:numPr>
          <w:ilvl w:val="0"/>
          <w:numId w:val="2"/>
        </w:numPr>
        <w:spacing w:after="100" w:line="276"/>
      </w:pPr>
      <w:r>
        <w:rPr>
          <w:rFonts w:ascii="Arial" w:cs="Arial" w:eastAsia="Arial" w:hAnsi="Arial"/>
          <w:color w:val="404040"/>
          <w:sz w:val="22"/>
          <w:szCs w:val="22"/>
        </w:rPr>
        <w:t xml:space="preserve">Null Model A: p &lt; 0.01 for observed filtration structure</w:t>
      </w:r>
    </w:p>
    <w:p>
      <w:pPr>
        <w:pStyle w:val="ListParagraph"/>
        <w:numPr>
          <w:ilvl w:val="0"/>
          <w:numId w:val="2"/>
        </w:numPr>
        <w:spacing w:after="100" w:line="276"/>
      </w:pPr>
      <w:r>
        <w:rPr>
          <w:rFonts w:ascii="Arial" w:cs="Arial" w:eastAsia="Arial" w:hAnsi="Arial"/>
          <w:color w:val="404040"/>
          <w:sz w:val="22"/>
          <w:szCs w:val="22"/>
        </w:rPr>
        <w:t xml:space="preserve">Null Model C: encoding sensitivity fully characterized</w:t>
      </w:r>
    </w:p>
    <w:p>
      <w:pPr>
        <w:pStyle w:val="ListParagraph"/>
        <w:numPr>
          <w:ilvl w:val="0"/>
          <w:numId w:val="2"/>
        </w:numPr>
        <w:spacing w:after="100" w:line="276"/>
      </w:pPr>
      <w:r>
        <w:rPr>
          <w:rFonts w:ascii="Arial" w:cs="Arial" w:eastAsia="Arial" w:hAnsi="Arial"/>
          <w:color w:val="404040"/>
          <w:sz w:val="22"/>
          <w:szCs w:val="22"/>
        </w:rPr>
        <w:t xml:space="preserve">100% unit test coverage on core computation functions</w:t>
      </w:r>
    </w:p>
    <w:p>
      <w:r>
        <w:br w:type="page"/>
      </w:r>
    </w:p>
    <w:p>
      <w:pPr>
        <w:pStyle w:val="Heading2"/>
      </w:pPr>
      <w:r>
        <w:t xml:space="preserve">2.2 WS2: Reassignment Directionality Analysis</w:t>
      </w:r>
    </w:p>
    <w:p>
      <w:pPr>
        <w:spacing w:after="160" w:before="0" w:line="276"/>
      </w:pPr>
      <w:r>
        <w:rPr>
          <w:rFonts w:ascii="Arial" w:cs="Arial" w:eastAsia="Arial" w:hAnsi="Arial"/>
          <w:b/>
          <w:bCs/>
          <w:color w:val="404040"/>
          <w:sz w:val="22"/>
          <w:szCs w:val="22"/>
        </w:rPr>
        <w:t xml:space="preserve">Objective: </w:t>
      </w:r>
      <w:r>
        <w:rPr>
          <w:rFonts w:ascii="Arial" w:cs="Arial" w:eastAsia="Arial" w:hAnsi="Arial"/>
          <w:color w:val="404040"/>
          <w:sz w:val="22"/>
          <w:szCs w:val="22"/>
        </w:rPr>
        <w:t xml:space="preserve">Test whether known codon reassignments preferentially follow short Hamming paths, as predicted by the geometric constraint hypothesis.</w:t>
      </w:r>
    </w:p>
    <w:p>
      <w:pPr>
        <w:pStyle w:val="Heading3"/>
      </w:pPr>
      <w:r>
        <w:t xml:space="preserve">2.2.1 Tasks</w:t>
      </w:r>
    </w:p>
    <w:p>
      <w:pPr>
        <w:pStyle w:val="ListParagraph"/>
        <w:numPr>
          <w:ilvl w:val="0"/>
          <w:numId w:val="5"/>
        </w:numPr>
        <w:spacing w:after="100" w:line="276"/>
      </w:pPr>
      <w:r>
        <w:rPr>
          <w:rFonts w:ascii="Arial" w:cs="Arial" w:eastAsia="Arial" w:hAnsi="Arial"/>
          <w:color w:val="404040"/>
          <w:sz w:val="22"/>
          <w:szCs w:val="22"/>
        </w:rPr>
        <w:t xml:space="preserve">Compile a comprehensive database of all known codon reassignments from the literature (estimated 40–60 documented events across all NCBI tables plus published reports of ambiguous/transitional codes).</w:t>
      </w:r>
    </w:p>
    <w:p>
      <w:pPr>
        <w:pStyle w:val="ListParagraph"/>
        <w:numPr>
          <w:ilvl w:val="0"/>
          <w:numId w:val="5"/>
        </w:numPr>
        <w:spacing w:after="100" w:line="276"/>
      </w:pPr>
      <w:r>
        <w:rPr>
          <w:rFonts w:ascii="Arial" w:cs="Arial" w:eastAsia="Arial" w:hAnsi="Arial"/>
          <w:color w:val="404040"/>
          <w:sz w:val="22"/>
          <w:szCs w:val="22"/>
        </w:rPr>
        <w:t xml:space="preserve">For each reassignment, compute: (a) Hamming distance from reassigned codon to nearest codon of the recipient amino acid; (b) Hamming distance from reassigned codon to nearest codon of the donor amino acid; (c) whether the reassignment preserves or breaks filtration structure; (d) whether the reassignment creates or resolves a topological disconnection.</w:t>
      </w:r>
    </w:p>
    <w:p>
      <w:pPr>
        <w:pStyle w:val="ListParagraph"/>
        <w:numPr>
          <w:ilvl w:val="0"/>
          <w:numId w:val="5"/>
        </w:numPr>
        <w:spacing w:after="100" w:line="276"/>
      </w:pPr>
      <w:r>
        <w:rPr>
          <w:rFonts w:ascii="Arial" w:cs="Arial" w:eastAsia="Arial" w:hAnsi="Arial"/>
          <w:color w:val="404040"/>
          <w:sz w:val="22"/>
          <w:szCs w:val="22"/>
        </w:rPr>
        <w:t xml:space="preserve">Construct a null distribution: for each reassignment event, compute the expected Hamming distance if the reassignment target were chosen uniformly at random from all 20 amino acids. Compare observed vs. expected.</w:t>
      </w:r>
    </w:p>
    <w:p>
      <w:pPr>
        <w:pStyle w:val="ListParagraph"/>
        <w:numPr>
          <w:ilvl w:val="0"/>
          <w:numId w:val="5"/>
        </w:numPr>
        <w:spacing w:after="100" w:line="276"/>
      </w:pPr>
      <w:r>
        <w:rPr>
          <w:rFonts w:ascii="Arial" w:cs="Arial" w:eastAsia="Arial" w:hAnsi="Arial"/>
          <w:color w:val="404040"/>
          <w:sz w:val="22"/>
          <w:szCs w:val="22"/>
        </w:rPr>
        <w:t xml:space="preserve">Test for directionality bias: are reassignments more likely to flow toward amino acids with geometrically proximal codon blocks?</w:t>
      </w:r>
    </w:p>
    <w:p>
      <w:pPr>
        <w:pStyle w:val="ListParagraph"/>
        <w:numPr>
          <w:ilvl w:val="0"/>
          <w:numId w:val="5"/>
        </w:numPr>
        <w:spacing w:after="100" w:line="276"/>
      </w:pPr>
      <w:r>
        <w:rPr>
          <w:rFonts w:ascii="Arial" w:cs="Arial" w:eastAsia="Arial" w:hAnsi="Arial"/>
          <w:color w:val="404040"/>
          <w:sz w:val="22"/>
          <w:szCs w:val="22"/>
        </w:rPr>
        <w:t xml:space="preserve">Correlate reassignment frequency with geometric accessibility (number of single-bit-flip paths connecting donor and recipient blocks).</w:t>
      </w:r>
    </w:p>
    <w:p>
      <w:pPr>
        <w:pStyle w:val="Heading3"/>
      </w:pPr>
      <w:r>
        <w:t xml:space="preserve">2.2.2 Data Sources</w:t>
      </w:r>
    </w:p>
    <w:p>
      <w:pPr>
        <w:pStyle w:val="ListParagraph"/>
        <w:numPr>
          <w:ilvl w:val="0"/>
          <w:numId w:val="2"/>
        </w:numPr>
        <w:spacing w:after="100" w:line="276"/>
      </w:pPr>
      <w:r>
        <w:rPr>
          <w:rFonts w:ascii="Arial" w:cs="Arial" w:eastAsia="Arial" w:hAnsi="Arial"/>
          <w:color w:val="404040"/>
          <w:sz w:val="22"/>
          <w:szCs w:val="22"/>
        </w:rPr>
        <w:t xml:space="preserve">NCBI Taxonomy translation tables (primary)</w:t>
      </w:r>
    </w:p>
    <w:p>
      <w:pPr>
        <w:pStyle w:val="ListParagraph"/>
        <w:numPr>
          <w:ilvl w:val="0"/>
          <w:numId w:val="2"/>
        </w:numPr>
        <w:spacing w:after="100" w:line="276"/>
      </w:pPr>
      <w:r>
        <w:rPr>
          <w:rFonts w:ascii="Arial" w:cs="Arial" w:eastAsia="Arial" w:hAnsi="Arial"/>
          <w:color w:val="404040"/>
          <w:sz w:val="22"/>
          <w:szCs w:val="22"/>
        </w:rPr>
        <w:t xml:space="preserve">Sengupta &amp; Higgs (2015) “Pathways of Genetic Code Evolution” and related reviews</w:t>
      </w:r>
    </w:p>
    <w:p>
      <w:pPr>
        <w:pStyle w:val="ListParagraph"/>
        <w:numPr>
          <w:ilvl w:val="0"/>
          <w:numId w:val="2"/>
        </w:numPr>
        <w:spacing w:after="100" w:line="276"/>
      </w:pPr>
      <w:r>
        <w:rPr>
          <w:rFonts w:ascii="Arial" w:cs="Arial" w:eastAsia="Arial" w:hAnsi="Arial"/>
          <w:color w:val="404040"/>
          <w:sz w:val="22"/>
          <w:szCs w:val="22"/>
        </w:rPr>
        <w:t xml:space="preserve">Knight, Freeland &amp; Landweber (2001) codon reassignment catalogue</w:t>
      </w:r>
    </w:p>
    <w:p>
      <w:pPr>
        <w:pStyle w:val="ListParagraph"/>
        <w:numPr>
          <w:ilvl w:val="0"/>
          <w:numId w:val="2"/>
        </w:numPr>
        <w:spacing w:after="100" w:line="276"/>
      </w:pPr>
      <w:r>
        <w:rPr>
          <w:rFonts w:ascii="Arial" w:cs="Arial" w:eastAsia="Arial" w:hAnsi="Arial"/>
          <w:color w:val="404040"/>
          <w:sz w:val="22"/>
          <w:szCs w:val="22"/>
        </w:rPr>
        <w:t xml:space="preserve">Ling et al. (2015) tRNA reassignment mechanisms review</w:t>
      </w:r>
    </w:p>
    <w:p>
      <w:pPr>
        <w:pStyle w:val="Heading3"/>
      </w:pPr>
      <w:r>
        <w:t xml:space="preserve">2.2.3 Outputs</w:t>
      </w:r>
    </w:p>
    <w:p>
      <w:pPr>
        <w:pStyle w:val="ListParagraph"/>
        <w:numPr>
          <w:ilvl w:val="0"/>
          <w:numId w:val="2"/>
        </w:numPr>
        <w:spacing w:after="100" w:line="276"/>
      </w:pPr>
      <w:r>
        <w:rPr>
          <w:rFonts w:ascii="Arial" w:cs="Arial" w:eastAsia="Arial" w:hAnsi="Arial"/>
          <w:color w:val="404040"/>
          <w:sz w:val="22"/>
          <w:szCs w:val="22"/>
        </w:rPr>
        <w:t xml:space="preserve">Reassignment database (CSV/JSON) with geometric annotations</w:t>
      </w:r>
    </w:p>
    <w:p>
      <w:pPr>
        <w:pStyle w:val="ListParagraph"/>
        <w:numPr>
          <w:ilvl w:val="0"/>
          <w:numId w:val="2"/>
        </w:numPr>
        <w:spacing w:after="100" w:line="276"/>
      </w:pPr>
      <w:r>
        <w:rPr>
          <w:rFonts w:ascii="Arial" w:cs="Arial" w:eastAsia="Arial" w:hAnsi="Arial"/>
          <w:color w:val="404040"/>
          <w:sz w:val="22"/>
          <w:szCs w:val="22"/>
        </w:rPr>
        <w:t xml:space="preserve">Statistical test results: observed vs. null Hamming distance distributions</w:t>
      </w:r>
    </w:p>
    <w:p>
      <w:pPr>
        <w:pStyle w:val="ListParagraph"/>
        <w:numPr>
          <w:ilvl w:val="0"/>
          <w:numId w:val="2"/>
        </w:numPr>
        <w:spacing w:after="100" w:line="276"/>
      </w:pPr>
      <w:r>
        <w:rPr>
          <w:rFonts w:ascii="Arial" w:cs="Arial" w:eastAsia="Arial" w:hAnsi="Arial"/>
          <w:color w:val="404040"/>
          <w:sz w:val="22"/>
          <w:szCs w:val="22"/>
        </w:rPr>
        <w:t xml:space="preserve">Visualization: reassignment flows on hypercube projection</w:t>
      </w:r>
    </w:p>
    <w:p>
      <w:pPr>
        <w:pStyle w:val="ListParagraph"/>
        <w:numPr>
          <w:ilvl w:val="0"/>
          <w:numId w:val="2"/>
        </w:numPr>
        <w:spacing w:after="100" w:line="276"/>
      </w:pPr>
      <w:r>
        <w:rPr>
          <w:rFonts w:ascii="Arial" w:cs="Arial" w:eastAsia="Arial" w:hAnsi="Arial"/>
          <w:color w:val="404040"/>
          <w:sz w:val="22"/>
          <w:szCs w:val="22"/>
        </w:rPr>
        <w:t xml:space="preserve">Classification: “geometrically permitted” vs. “geometrically anomalous” reassignments</w:t>
      </w:r>
    </w:p>
    <w:p>
      <w:pPr>
        <w:pStyle w:val="Heading2"/>
      </w:pPr>
      <w:r>
        <w:t xml:space="preserve">2.3 WS3: Evolutionary Depth Calibration</w:t>
      </w:r>
    </w:p>
    <w:p>
      <w:pPr>
        <w:spacing w:after="160" w:before="0" w:line="276"/>
      </w:pPr>
      <w:r>
        <w:rPr>
          <w:rFonts w:ascii="Arial" w:cs="Arial" w:eastAsia="Arial" w:hAnsi="Arial"/>
          <w:b/>
          <w:bCs/>
          <w:color w:val="404040"/>
          <w:sz w:val="22"/>
          <w:szCs w:val="22"/>
        </w:rPr>
        <w:t xml:space="preserve">Objective: </w:t>
      </w:r>
      <w:r>
        <w:rPr>
          <w:rFonts w:ascii="Arial" w:cs="Arial" w:eastAsia="Arial" w:hAnsi="Arial"/>
          <w:color w:val="404040"/>
          <w:sz w:val="22"/>
          <w:szCs w:val="22"/>
        </w:rPr>
        <w:t xml:space="preserve">Rigorously test whether reconnection distance (ε) correlates with independently dated evolutionary events, and characterize the nature of that correlation.</w:t>
      </w:r>
    </w:p>
    <w:p>
      <w:pPr>
        <w:pStyle w:val="Heading3"/>
      </w:pPr>
      <w:r>
        <w:t xml:space="preserve">2.3.1 Tasks</w:t>
      </w:r>
    </w:p>
    <w:p>
      <w:pPr>
        <w:pStyle w:val="ListParagraph"/>
        <w:numPr>
          <w:ilvl w:val="0"/>
          <w:numId w:val="6"/>
        </w:numPr>
        <w:spacing w:after="100" w:line="276"/>
      </w:pPr>
      <w:r>
        <w:rPr>
          <w:rFonts w:ascii="Arial" w:cs="Arial" w:eastAsia="Arial" w:hAnsi="Arial"/>
          <w:color w:val="404040"/>
          <w:sz w:val="22"/>
          <w:szCs w:val="22"/>
        </w:rPr>
        <w:t xml:space="preserve">For each disconnected amino acid identified in our analysis, compile independent evolutionary dating estimates from the comparative genomics literature.</w:t>
      </w:r>
    </w:p>
    <w:p>
      <w:pPr>
        <w:pStyle w:val="ListParagraph"/>
        <w:numPr>
          <w:ilvl w:val="0"/>
          <w:numId w:val="6"/>
        </w:numPr>
        <w:spacing w:after="100" w:line="276"/>
      </w:pPr>
      <w:r>
        <w:rPr>
          <w:rFonts w:ascii="Arial" w:cs="Arial" w:eastAsia="Arial" w:hAnsi="Arial"/>
          <w:color w:val="404040"/>
          <w:sz w:val="22"/>
          <w:szCs w:val="22"/>
        </w:rPr>
        <w:t xml:space="preserve">Build a calibration dataset: {ε_reconnect, d_min, lineage, estimated_age_Mya, mechanism, evidence_quality}.</w:t>
      </w:r>
    </w:p>
    <w:p>
      <w:pPr>
        <w:pStyle w:val="ListParagraph"/>
        <w:numPr>
          <w:ilvl w:val="0"/>
          <w:numId w:val="6"/>
        </w:numPr>
        <w:spacing w:after="100" w:line="276"/>
      </w:pPr>
      <w:r>
        <w:rPr>
          <w:rFonts w:ascii="Arial" w:cs="Arial" w:eastAsia="Arial" w:hAnsi="Arial"/>
          <w:color w:val="404040"/>
          <w:sz w:val="22"/>
          <w:szCs w:val="22"/>
        </w:rPr>
        <w:t xml:space="preserve">Test correlation between ε and estimated age. Assess whether the relationship is linear, ordinal, or structural (driven by hypercube geometry rather than time).</w:t>
      </w:r>
    </w:p>
    <w:p>
      <w:pPr>
        <w:pStyle w:val="ListParagraph"/>
        <w:numPr>
          <w:ilvl w:val="0"/>
          <w:numId w:val="6"/>
        </w:numPr>
        <w:spacing w:after="100" w:line="276"/>
      </w:pPr>
      <w:r>
        <w:rPr>
          <w:rFonts w:ascii="Arial" w:cs="Arial" w:eastAsia="Arial" w:hAnsi="Arial"/>
          <w:color w:val="404040"/>
          <w:sz w:val="22"/>
          <w:szCs w:val="22"/>
        </w:rPr>
        <w:t xml:space="preserve">Analyze the ε=2 anomaly: Leu/UAG in green algae (~500 Mya) has the same ε as Thr/CUN in yeast (~200 Mya). Determine whether this reflects structural equivalence (both are stop-codon or block-transfer events) rather than temporal equivalence.</w:t>
      </w:r>
    </w:p>
    <w:p>
      <w:pPr>
        <w:pStyle w:val="ListParagraph"/>
        <w:numPr>
          <w:ilvl w:val="0"/>
          <w:numId w:val="6"/>
        </w:numPr>
        <w:spacing w:after="100" w:line="276"/>
      </w:pPr>
      <w:r>
        <w:rPr>
          <w:rFonts w:ascii="Arial" w:cs="Arial" w:eastAsia="Arial" w:hAnsi="Arial"/>
          <w:color w:val="404040"/>
          <w:sz w:val="22"/>
          <w:szCs w:val="22"/>
        </w:rPr>
        <w:t xml:space="preserve">Compare tRNA phylogenetics with topological signatures: do the most phylogenetically divergent tRNA pairs for a given amino acid correspond to the most topologically separated codon blocks?</w:t>
      </w:r>
    </w:p>
    <w:p>
      <w:pPr>
        <w:pStyle w:val="Heading3"/>
      </w:pPr>
      <w:r>
        <w:t xml:space="preserve">2.3.2 Data Sources</w:t>
      </w:r>
    </w:p>
    <w:p>
      <w:pPr>
        <w:pStyle w:val="ListParagraph"/>
        <w:numPr>
          <w:ilvl w:val="0"/>
          <w:numId w:val="2"/>
        </w:numPr>
        <w:spacing w:after="100" w:line="276"/>
      </w:pPr>
      <w:r>
        <w:rPr>
          <w:rFonts w:ascii="Arial" w:cs="Arial" w:eastAsia="Arial" w:hAnsi="Arial"/>
          <w:color w:val="404040"/>
          <w:sz w:val="22"/>
          <w:szCs w:val="22"/>
        </w:rPr>
        <w:t xml:space="preserve">GtRNAdb (Genomic tRNA Database) for tRNA gene content across species</w:t>
      </w:r>
    </w:p>
    <w:p>
      <w:pPr>
        <w:pStyle w:val="ListParagraph"/>
        <w:numPr>
          <w:ilvl w:val="0"/>
          <w:numId w:val="2"/>
        </w:numPr>
        <w:spacing w:after="100" w:line="276"/>
      </w:pPr>
      <w:r>
        <w:rPr>
          <w:rFonts w:ascii="Arial" w:cs="Arial" w:eastAsia="Arial" w:hAnsi="Arial"/>
          <w:color w:val="404040"/>
          <w:sz w:val="22"/>
          <w:szCs w:val="22"/>
        </w:rPr>
        <w:t xml:space="preserve">TimeTree for divergence time estimates</w:t>
      </w:r>
    </w:p>
    <w:p>
      <w:pPr>
        <w:pStyle w:val="ListParagraph"/>
        <w:numPr>
          <w:ilvl w:val="0"/>
          <w:numId w:val="2"/>
        </w:numPr>
        <w:spacing w:after="100" w:line="276"/>
      </w:pPr>
      <w:r>
        <w:rPr>
          <w:rFonts w:ascii="Arial" w:cs="Arial" w:eastAsia="Arial" w:hAnsi="Arial"/>
          <w:color w:val="404040"/>
          <w:sz w:val="22"/>
          <w:szCs w:val="22"/>
        </w:rPr>
        <w:t xml:space="preserve">Lang et al. (1999), Sengupta &amp; Bhattacharya (2004) for fungal mitogenomics</w:t>
      </w:r>
    </w:p>
    <w:p>
      <w:pPr>
        <w:pStyle w:val="ListParagraph"/>
        <w:numPr>
          <w:ilvl w:val="0"/>
          <w:numId w:val="2"/>
        </w:numPr>
        <w:spacing w:after="100" w:line="276"/>
      </w:pPr>
      <w:r>
        <w:rPr>
          <w:rFonts w:ascii="Arial" w:cs="Arial" w:eastAsia="Arial" w:hAnsi="Arial"/>
          <w:color w:val="404040"/>
          <w:sz w:val="22"/>
          <w:szCs w:val="22"/>
        </w:rPr>
        <w:t xml:space="preserve">NCBI RefSeq for mitochondrial genome annotations</w:t>
      </w:r>
    </w:p>
    <w:p>
      <w:pPr>
        <w:pStyle w:val="Heading3"/>
      </w:pPr>
      <w:r>
        <w:t xml:space="preserve">2.3.3 Outputs</w:t>
      </w:r>
    </w:p>
    <w:p>
      <w:pPr>
        <w:pStyle w:val="ListParagraph"/>
        <w:numPr>
          <w:ilvl w:val="0"/>
          <w:numId w:val="2"/>
        </w:numPr>
        <w:spacing w:after="100" w:line="276"/>
      </w:pPr>
      <w:r>
        <w:rPr>
          <w:rFonts w:ascii="Arial" w:cs="Arial" w:eastAsia="Arial" w:hAnsi="Arial"/>
          <w:color w:val="404040"/>
          <w:sz w:val="22"/>
          <w:szCs w:val="22"/>
        </w:rPr>
        <w:t xml:space="preserve">Calibration dataset with confidence intervals on dating estimates</w:t>
      </w:r>
    </w:p>
    <w:p>
      <w:pPr>
        <w:pStyle w:val="ListParagraph"/>
        <w:numPr>
          <w:ilvl w:val="0"/>
          <w:numId w:val="2"/>
        </w:numPr>
        <w:spacing w:after="100" w:line="276"/>
      </w:pPr>
      <w:r>
        <w:rPr>
          <w:rFonts w:ascii="Arial" w:cs="Arial" w:eastAsia="Arial" w:hAnsi="Arial"/>
          <w:color w:val="404040"/>
          <w:sz w:val="22"/>
          <w:szCs w:val="22"/>
        </w:rPr>
        <w:t xml:space="preserve">Statistical test: ε vs. age correlation (Spearman ρ, with bootstrap CIs)</w:t>
      </w:r>
    </w:p>
    <w:p>
      <w:pPr>
        <w:pStyle w:val="ListParagraph"/>
        <w:numPr>
          <w:ilvl w:val="0"/>
          <w:numId w:val="2"/>
        </w:numPr>
        <w:spacing w:after="100" w:line="276"/>
      </w:pPr>
      <w:r>
        <w:rPr>
          <w:rFonts w:ascii="Arial" w:cs="Arial" w:eastAsia="Arial" w:hAnsi="Arial"/>
          <w:color w:val="404040"/>
          <w:sz w:val="22"/>
          <w:szCs w:val="22"/>
        </w:rPr>
        <w:t xml:space="preserve">Structural vs. temporal analysis of the ε=2 equivalence class</w:t>
      </w:r>
    </w:p>
    <w:p>
      <w:pPr>
        <w:pStyle w:val="ListParagraph"/>
        <w:numPr>
          <w:ilvl w:val="0"/>
          <w:numId w:val="2"/>
        </w:numPr>
        <w:spacing w:after="100" w:line="276"/>
      </w:pPr>
      <w:r>
        <w:rPr>
          <w:rFonts w:ascii="Arial" w:cs="Arial" w:eastAsia="Arial" w:hAnsi="Arial"/>
          <w:color w:val="404040"/>
          <w:sz w:val="22"/>
          <w:szCs w:val="22"/>
        </w:rPr>
        <w:t xml:space="preserve">tRNA phylogeny–topology concordance analysis</w:t>
      </w:r>
    </w:p>
    <w:p>
      <w:r>
        <w:br w:type="page"/>
      </w:r>
    </w:p>
    <w:p>
      <w:pPr>
        <w:pStyle w:val="Heading2"/>
      </w:pPr>
      <w:r>
        <w:t xml:space="preserve">2.4 WS4: KRAS Geometry &amp; Cancer Mutation Database Cross-Reference</w:t>
      </w:r>
    </w:p>
    <w:p>
      <w:pPr>
        <w:spacing w:after="160" w:before="0" w:line="276"/>
      </w:pPr>
      <w:r>
        <w:rPr>
          <w:rFonts w:ascii="Arial" w:cs="Arial" w:eastAsia="Arial" w:hAnsi="Arial"/>
          <w:b/>
          <w:bCs/>
          <w:color w:val="404040"/>
          <w:sz w:val="22"/>
          <w:szCs w:val="22"/>
        </w:rPr>
        <w:t xml:space="preserve">Objective: </w:t>
      </w:r>
      <w:r>
        <w:rPr>
          <w:rFonts w:ascii="Arial" w:cs="Arial" w:eastAsia="Arial" w:hAnsi="Arial"/>
          <w:color w:val="404040"/>
          <w:sz w:val="22"/>
          <w:szCs w:val="22"/>
        </w:rPr>
        <w:t xml:space="preserve">Test the most specific and falsifiable claim in TN-2026-11: that the Fano-line structure predicts mutational co-occurrence patterns in cancer genomes. Also test the deflationary counter-hypothesis that every single-bit mutation generates a Fano line and none of them predict anything.</w:t>
      </w:r>
    </w:p>
    <w:p>
      <w:pPr>
        <w:pStyle w:val="Heading3"/>
      </w:pPr>
      <w:r>
        <w:t xml:space="preserve">2.4.1 Tasks</w:t>
      </w:r>
    </w:p>
    <w:p>
      <w:pPr>
        <w:pStyle w:val="ListParagraph"/>
        <w:numPr>
          <w:ilvl w:val="0"/>
          <w:numId w:val="7"/>
        </w:numPr>
        <w:spacing w:after="100" w:line="276"/>
      </w:pPr>
      <w:r>
        <w:rPr>
          <w:rFonts w:ascii="Arial" w:cs="Arial" w:eastAsia="Arial" w:hAnsi="Arial"/>
          <w:color w:val="404040"/>
          <w:sz w:val="22"/>
          <w:szCs w:val="22"/>
        </w:rPr>
        <w:t xml:space="preserve">Compute the complete Fano-line catalogue: for every possible single-nucleotide mutation in the human coding genome (or a representative subset: all driver mutations in COSMIC), identify the third codon on the Fano line.</w:t>
      </w:r>
    </w:p>
    <w:p>
      <w:pPr>
        <w:pStyle w:val="ListParagraph"/>
        <w:numPr>
          <w:ilvl w:val="0"/>
          <w:numId w:val="7"/>
        </w:numPr>
        <w:spacing w:after="100" w:line="276"/>
      </w:pPr>
      <w:r>
        <w:rPr>
          <w:rFonts w:ascii="Arial" w:cs="Arial" w:eastAsia="Arial" w:hAnsi="Arial"/>
          <w:color w:val="404040"/>
          <w:sz w:val="22"/>
          <w:szCs w:val="22"/>
        </w:rPr>
        <w:t xml:space="preserve">Query COSMIC and cBioPortal for co-occurrence patterns: for each driver mutation, test whether the Fano-line partner amino acid shows statistically enriched co-mutation frequency in the same tumor.</w:t>
      </w:r>
    </w:p>
    <w:p>
      <w:pPr>
        <w:pStyle w:val="ListParagraph"/>
        <w:numPr>
          <w:ilvl w:val="0"/>
          <w:numId w:val="7"/>
        </w:numPr>
        <w:spacing w:after="100" w:line="276"/>
      </w:pPr>
      <w:r>
        <w:rPr>
          <w:rFonts w:ascii="Arial" w:cs="Arial" w:eastAsia="Arial" w:hAnsi="Arial"/>
          <w:color w:val="404040"/>
          <w:sz w:val="22"/>
          <w:szCs w:val="22"/>
        </w:rPr>
        <w:t xml:space="preserve">Specific KRAS G12V test: query COSMIC for all KRAS G12V tumors. Compute frequency of mutations at His codons (CAC/CAU) across the genome. Compare to: (a) background His mutation rate; (b) Fano-line partners of other G12 variants (G12D→Leu, G12C→Thr, etc.).</w:t>
      </w:r>
    </w:p>
    <w:p>
      <w:pPr>
        <w:pStyle w:val="ListParagraph"/>
        <w:numPr>
          <w:ilvl w:val="0"/>
          <w:numId w:val="7"/>
        </w:numPr>
        <w:spacing w:after="100" w:line="276"/>
      </w:pPr>
      <w:r>
        <w:rPr>
          <w:rFonts w:ascii="Arial" w:cs="Arial" w:eastAsia="Arial" w:hAnsi="Arial"/>
          <w:color w:val="404040"/>
          <w:sz w:val="22"/>
          <w:szCs w:val="22"/>
        </w:rPr>
        <w:t xml:space="preserve">Null model: for each driver mutation, generate 1000 random “partner” amino acids and test co-occurrence. If the Fano-line partners are not enriched relative to random, the clinical application collapses.</w:t>
      </w:r>
    </w:p>
    <w:p>
      <w:pPr>
        <w:pStyle w:val="ListParagraph"/>
        <w:numPr>
          <w:ilvl w:val="0"/>
          <w:numId w:val="7"/>
        </w:numPr>
        <w:spacing w:after="100" w:line="276"/>
      </w:pPr>
      <w:r>
        <w:rPr>
          <w:rFonts w:ascii="Arial" w:cs="Arial" w:eastAsia="Arial" w:hAnsi="Arial"/>
          <w:color w:val="404040"/>
          <w:sz w:val="22"/>
          <w:szCs w:val="22"/>
        </w:rPr>
        <w:t xml:space="preserve">Mutational signature analysis: test whether the Fano-line structure correlates with known mutational signatures (COSMIC SBS signatures). If mutations follow biochemical processes (APOBEC, UV, MMR deficiency), the geometric constraints may be irrelevant.</w:t>
      </w:r>
    </w:p>
    <w:p>
      <w:pPr>
        <w:pStyle w:val="Heading3"/>
      </w:pPr>
      <w:r>
        <w:t xml:space="preserve">2.4.2 Data Sources</w:t>
      </w:r>
    </w:p>
    <w:p>
      <w:pPr>
        <w:pStyle w:val="ListParagraph"/>
        <w:numPr>
          <w:ilvl w:val="0"/>
          <w:numId w:val="2"/>
        </w:numPr>
        <w:spacing w:after="100" w:line="276"/>
      </w:pPr>
      <w:r>
        <w:rPr>
          <w:rFonts w:ascii="Arial" w:cs="Arial" w:eastAsia="Arial" w:hAnsi="Arial"/>
          <w:color w:val="404040"/>
          <w:sz w:val="22"/>
          <w:szCs w:val="22"/>
        </w:rPr>
        <w:t xml:space="preserve">COSMIC v99+ (Catalogue of Somatic Mutations in Cancer)</w:t>
      </w:r>
    </w:p>
    <w:p>
      <w:pPr>
        <w:pStyle w:val="ListParagraph"/>
        <w:numPr>
          <w:ilvl w:val="0"/>
          <w:numId w:val="2"/>
        </w:numPr>
        <w:spacing w:after="100" w:line="276"/>
      </w:pPr>
      <w:r>
        <w:rPr>
          <w:rFonts w:ascii="Arial" w:cs="Arial" w:eastAsia="Arial" w:hAnsi="Arial"/>
          <w:color w:val="404040"/>
          <w:sz w:val="22"/>
          <w:szCs w:val="22"/>
        </w:rPr>
        <w:t xml:space="preserve">cBioPortal (Memorial Sloan Kettering)</w:t>
      </w:r>
    </w:p>
    <w:p>
      <w:pPr>
        <w:pStyle w:val="ListParagraph"/>
        <w:numPr>
          <w:ilvl w:val="0"/>
          <w:numId w:val="2"/>
        </w:numPr>
        <w:spacing w:after="100" w:line="276"/>
      </w:pPr>
      <w:r>
        <w:rPr>
          <w:rFonts w:ascii="Arial" w:cs="Arial" w:eastAsia="Arial" w:hAnsi="Arial"/>
          <w:color w:val="404040"/>
          <w:sz w:val="22"/>
          <w:szCs w:val="22"/>
        </w:rPr>
        <w:t xml:space="preserve">TCGA pan-cancer atlas</w:t>
      </w:r>
    </w:p>
    <w:p>
      <w:pPr>
        <w:pStyle w:val="ListParagraph"/>
        <w:numPr>
          <w:ilvl w:val="0"/>
          <w:numId w:val="2"/>
        </w:numPr>
        <w:spacing w:after="100" w:line="276"/>
      </w:pPr>
      <w:r>
        <w:rPr>
          <w:rFonts w:ascii="Arial" w:cs="Arial" w:eastAsia="Arial" w:hAnsi="Arial"/>
          <w:color w:val="404040"/>
          <w:sz w:val="22"/>
          <w:szCs w:val="22"/>
        </w:rPr>
        <w:t xml:space="preserve">COSMIC Mutational Signatures (SBS, DBS, ID)</w:t>
      </w:r>
    </w:p>
    <w:p>
      <w:pPr>
        <w:pStyle w:val="Heading3"/>
      </w:pPr>
      <w:r>
        <w:t xml:space="preserve">2.4.3 Outputs</w:t>
      </w:r>
    </w:p>
    <w:p>
      <w:pPr>
        <w:pStyle w:val="ListParagraph"/>
        <w:numPr>
          <w:ilvl w:val="0"/>
          <w:numId w:val="2"/>
        </w:numPr>
        <w:spacing w:after="100" w:line="276"/>
      </w:pPr>
      <w:r>
        <w:rPr>
          <w:rFonts w:ascii="Arial" w:cs="Arial" w:eastAsia="Arial" w:hAnsi="Arial"/>
          <w:color w:val="404040"/>
          <w:sz w:val="22"/>
          <w:szCs w:val="22"/>
        </w:rPr>
        <w:t xml:space="preserve">Fano-line catalogue for all COSMIC driver mutations</w:t>
      </w:r>
    </w:p>
    <w:p>
      <w:pPr>
        <w:pStyle w:val="ListParagraph"/>
        <w:numPr>
          <w:ilvl w:val="0"/>
          <w:numId w:val="2"/>
        </w:numPr>
        <w:spacing w:after="100" w:line="276"/>
      </w:pPr>
      <w:r>
        <w:rPr>
          <w:rFonts w:ascii="Arial" w:cs="Arial" w:eastAsia="Arial" w:hAnsi="Arial"/>
          <w:color w:val="404040"/>
          <w:sz w:val="22"/>
          <w:szCs w:val="22"/>
        </w:rPr>
        <w:t xml:space="preserve">Co-occurrence enrichment analysis with multiple testing correction</w:t>
      </w:r>
    </w:p>
    <w:p>
      <w:pPr>
        <w:pStyle w:val="ListParagraph"/>
        <w:numPr>
          <w:ilvl w:val="0"/>
          <w:numId w:val="2"/>
        </w:numPr>
        <w:spacing w:after="100" w:line="276"/>
      </w:pPr>
      <w:r>
        <w:rPr>
          <w:rFonts w:ascii="Arial" w:cs="Arial" w:eastAsia="Arial" w:hAnsi="Arial"/>
          <w:color w:val="404040"/>
          <w:sz w:val="22"/>
          <w:szCs w:val="22"/>
        </w:rPr>
        <w:t xml:space="preserve">KRAS-specific analysis report with effect sizes and confidence intervals</w:t>
      </w:r>
    </w:p>
    <w:p>
      <w:pPr>
        <w:pStyle w:val="ListParagraph"/>
        <w:numPr>
          <w:ilvl w:val="0"/>
          <w:numId w:val="2"/>
        </w:numPr>
        <w:spacing w:after="100" w:line="276"/>
      </w:pPr>
      <w:r>
        <w:rPr>
          <w:rFonts w:ascii="Arial" w:cs="Arial" w:eastAsia="Arial" w:hAnsi="Arial"/>
          <w:color w:val="404040"/>
          <w:sz w:val="22"/>
          <w:szCs w:val="22"/>
        </w:rPr>
        <w:t xml:space="preserve">Verdict: does the Fano-line structure predict mutational co-occurrence? (Binary + nuanced)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1"/>
              <w:bottom w:val="single" w:color="2E75B6" w:sz="1"/>
              <w:right w:val="single" w:color="2E75B6" w:sz="1"/>
            </w:tcBorders>
            <w:shd w:fill="FCE4D6" w:val="clear"/>
            <w:tcMar>
              <w:top w:type="dxa" w:w="120"/>
              <w:left w:type="dxa" w:w="200"/>
              <w:bottom w:type="dxa" w:w="120"/>
              <w:right w:type="dxa" w:w="200"/>
            </w:tcMar>
          </w:tcPr>
          <w:p>
            <w:pPr>
              <w:spacing w:after="80" w:line="240"/>
            </w:pPr>
            <w:r>
              <w:rPr>
                <w:rFonts w:ascii="Arial" w:cs="Arial" w:eastAsia="Arial" w:hAnsi="Arial"/>
                <w:b/>
                <w:bCs/>
                <w:color w:val="1F4E79"/>
                <w:sz w:val="22"/>
                <w:szCs w:val="22"/>
              </w:rPr>
              <w:t xml:space="preserve">CRITICAL DECISION GATE</w:t>
            </w:r>
          </w:p>
          <w:p>
            <w:pPr>
              <w:spacing w:after="0" w:line="260"/>
            </w:pPr>
            <w:r>
              <w:rPr>
                <w:rFonts w:ascii="Arial" w:cs="Arial" w:eastAsia="Arial" w:hAnsi="Arial"/>
                <w:color w:val="404040"/>
                <w:sz w:val="20"/>
                <w:szCs w:val="20"/>
              </w:rPr>
              <w:t xml:space="preserve">If WS4 produces no significant co-occurrence signal for Fano-line partners across COSMIC, the liquid biopsy application is definitively invalidated. The remainder of the framework (filtration, topology, synthetic biology applications) remains unaffected. This test should be prioritized as it resolves the highest-uncertainty, highest-stakes claim.</w:t>
            </w:r>
          </w:p>
        </w:tc>
      </w:tr>
    </w:tbl>
    <w:p>
      <w:pPr>
        <w:pStyle w:val="Heading2"/>
      </w:pPr>
      <w:r>
        <w:t xml:space="preserve">2.5 WS5: Prediction Catalogue &amp; Hypothesis Ranking</w:t>
      </w:r>
    </w:p>
    <w:p>
      <w:pPr>
        <w:spacing w:after="160" w:before="0" w:line="276"/>
      </w:pPr>
      <w:r>
        <w:rPr>
          <w:rFonts w:ascii="Arial" w:cs="Arial" w:eastAsia="Arial" w:hAnsi="Arial"/>
          <w:b/>
          <w:bCs/>
          <w:color w:val="404040"/>
          <w:sz w:val="22"/>
          <w:szCs w:val="22"/>
        </w:rPr>
        <w:t xml:space="preserve">Objective: </w:t>
      </w:r>
      <w:r>
        <w:rPr>
          <w:rFonts w:ascii="Arial" w:cs="Arial" w:eastAsia="Arial" w:hAnsi="Arial"/>
          <w:color w:val="404040"/>
          <w:sz w:val="22"/>
          <w:szCs w:val="22"/>
        </w:rPr>
        <w:t xml:space="preserve">Synthesize findings from WS1–WS4 into a ranked catalogue of testable predictions, each with explicit success criteria, estimated tractability, and potential impact.</w:t>
      </w:r>
    </w:p>
    <w:p>
      <w:pPr>
        <w:pStyle w:val="Heading3"/>
      </w:pPr>
      <w:r>
        <w:t xml:space="preserve">2.5.1 Tasks</w:t>
      </w:r>
    </w:p>
    <w:p>
      <w:pPr>
        <w:pStyle w:val="ListParagraph"/>
        <w:numPr>
          <w:ilvl w:val="0"/>
          <w:numId w:val="8"/>
        </w:numPr>
        <w:spacing w:after="100" w:line="276"/>
      </w:pPr>
      <w:r>
        <w:rPr>
          <w:rFonts w:ascii="Arial" w:cs="Arial" w:eastAsia="Arial" w:hAnsi="Arial"/>
          <w:color w:val="404040"/>
          <w:sz w:val="22"/>
          <w:szCs w:val="22"/>
        </w:rPr>
        <w:t xml:space="preserve">Compile all predictions generated across workstreams into a master catalogue.</w:t>
      </w:r>
    </w:p>
    <w:p>
      <w:pPr>
        <w:pStyle w:val="ListParagraph"/>
        <w:numPr>
          <w:ilvl w:val="0"/>
          <w:numId w:val="8"/>
        </w:numPr>
        <w:spacing w:after="100" w:line="276"/>
      </w:pPr>
      <w:r>
        <w:rPr>
          <w:rFonts w:ascii="Arial" w:cs="Arial" w:eastAsia="Arial" w:hAnsi="Arial"/>
          <w:color w:val="404040"/>
          <w:sz w:val="22"/>
          <w:szCs w:val="22"/>
        </w:rPr>
        <w:t xml:space="preserve">For each prediction, specify: the claim, the test, the data source, the success criterion, the failure criterion, estimated time/cost to test, and impact if confirmed.</w:t>
      </w:r>
    </w:p>
    <w:p>
      <w:pPr>
        <w:pStyle w:val="ListParagraph"/>
        <w:numPr>
          <w:ilvl w:val="0"/>
          <w:numId w:val="8"/>
        </w:numPr>
        <w:spacing w:after="100" w:line="276"/>
      </w:pPr>
      <w:r>
        <w:rPr>
          <w:rFonts w:ascii="Arial" w:cs="Arial" w:eastAsia="Arial" w:hAnsi="Arial"/>
          <w:color w:val="404040"/>
          <w:sz w:val="22"/>
          <w:szCs w:val="22"/>
        </w:rPr>
        <w:t xml:space="preserve">Rank predictions by a composite score: (tractability × impact × novelty) / cost.</w:t>
      </w:r>
    </w:p>
    <w:p>
      <w:pPr>
        <w:pStyle w:val="ListParagraph"/>
        <w:numPr>
          <w:ilvl w:val="0"/>
          <w:numId w:val="8"/>
        </w:numPr>
        <w:spacing w:after="100" w:line="276"/>
      </w:pPr>
      <w:r>
        <w:rPr>
          <w:rFonts w:ascii="Arial" w:cs="Arial" w:eastAsia="Arial" w:hAnsi="Arial"/>
          <w:color w:val="404040"/>
          <w:sz w:val="22"/>
          <w:szCs w:val="22"/>
        </w:rPr>
        <w:t xml:space="preserve">Identify “killer experiments”: predictions whose failure would invalidate major portions of the framework.</w:t>
      </w:r>
    </w:p>
    <w:p>
      <w:pPr>
        <w:pStyle w:val="ListParagraph"/>
        <w:numPr>
          <w:ilvl w:val="0"/>
          <w:numId w:val="8"/>
        </w:numPr>
        <w:spacing w:after="100" w:line="276"/>
      </w:pPr>
      <w:r>
        <w:rPr>
          <w:rFonts w:ascii="Arial" w:cs="Arial" w:eastAsia="Arial" w:hAnsi="Arial"/>
          <w:color w:val="404040"/>
          <w:sz w:val="22"/>
          <w:szCs w:val="22"/>
        </w:rPr>
        <w:t xml:space="preserve">Identify “free predictions”: predictions testable with existing public data at zero additional cost.</w:t>
      </w:r>
    </w:p>
    <w:p>
      <w:pPr>
        <w:pStyle w:val="Heading3"/>
      </w:pPr>
      <w:r>
        <w:t xml:space="preserve">2.5.2 Prediction Categories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5360"/>
      </w:tblGrid>
      <w:tr>
        <w:trPr>
          <w:tblHeader/>
        </w:trPr>
        <w:tc>
          <w:tcPr>
            <w:tcW w:type="dxa" w:w="2200"/>
            <w:tcBorders>
              <w:top w:val="single" w:color="BFBFBF" w:sz="1"/>
              <w:left w:val="single" w:color="BFBFBF" w:sz="1"/>
              <w:bottom w:val="single" w:color="BFBFBF" w:sz="1"/>
              <w:right w:val="single" w:color="BFBFBF" w:sz="1"/>
            </w:tcBorders>
            <w:shd w:fill="1B2A4A" w:val="clear"/>
            <w:tcMar>
              <w:top w:type="dxa" w:w="80"/>
              <w:left w:type="dxa" w:w="120"/>
              <w:bottom w:type="dxa" w:w="80"/>
              <w:right w:type="dxa" w:w="120"/>
            </w:tcMar>
            <w:vAlign w:val="center"/>
          </w:tcPr>
          <w:p>
            <w:pPr>
              <w:spacing w:after="0" w:line="240"/>
            </w:pPr>
            <w:r>
              <w:rPr>
                <w:rFonts w:ascii="Arial" w:cs="Arial" w:eastAsia="Arial" w:hAnsi="Arial"/>
                <w:b/>
                <w:bCs/>
                <w:color w:val="FFFFFF"/>
                <w:sz w:val="20"/>
                <w:szCs w:val="20"/>
              </w:rPr>
              <w:t xml:space="preserve">Category</w:t>
            </w:r>
          </w:p>
        </w:tc>
        <w:tc>
          <w:tcPr>
            <w:tcW w:type="dxa" w:w="1800"/>
            <w:tcBorders>
              <w:top w:val="single" w:color="BFBFBF" w:sz="1"/>
              <w:left w:val="single" w:color="BFBFBF" w:sz="1"/>
              <w:bottom w:val="single" w:color="BFBFBF" w:sz="1"/>
              <w:right w:val="single" w:color="BFBFBF" w:sz="1"/>
            </w:tcBorders>
            <w:shd w:fill="1B2A4A" w:val="clear"/>
            <w:tcMar>
              <w:top w:type="dxa" w:w="80"/>
              <w:left w:type="dxa" w:w="120"/>
              <w:bottom w:type="dxa" w:w="80"/>
              <w:right w:type="dxa" w:w="120"/>
            </w:tcMar>
            <w:vAlign w:val="center"/>
          </w:tcPr>
          <w:p>
            <w:pPr>
              <w:spacing w:after="0" w:line="240"/>
            </w:pPr>
            <w:r>
              <w:rPr>
                <w:rFonts w:ascii="Arial" w:cs="Arial" w:eastAsia="Arial" w:hAnsi="Arial"/>
                <w:b/>
                <w:bCs/>
                <w:color w:val="FFFFFF"/>
                <w:sz w:val="20"/>
                <w:szCs w:val="20"/>
              </w:rPr>
              <w:t xml:space="preserve">Type</w:t>
            </w:r>
          </w:p>
        </w:tc>
        <w:tc>
          <w:tcPr>
            <w:tcW w:type="dxa" w:w="5360"/>
            <w:tcBorders>
              <w:top w:val="single" w:color="BFBFBF" w:sz="1"/>
              <w:left w:val="single" w:color="BFBFBF" w:sz="1"/>
              <w:bottom w:val="single" w:color="BFBFBF" w:sz="1"/>
              <w:right w:val="single" w:color="BFBFBF" w:sz="1"/>
            </w:tcBorders>
            <w:shd w:fill="1B2A4A" w:val="clear"/>
            <w:tcMar>
              <w:top w:type="dxa" w:w="80"/>
              <w:left w:type="dxa" w:w="120"/>
              <w:bottom w:type="dxa" w:w="80"/>
              <w:right w:type="dxa" w:w="120"/>
            </w:tcMar>
            <w:vAlign w:val="center"/>
          </w:tcPr>
          <w:p>
            <w:pPr>
              <w:spacing w:after="0" w:line="240"/>
            </w:pPr>
            <w:r>
              <w:rPr>
                <w:rFonts w:ascii="Arial" w:cs="Arial" w:eastAsia="Arial" w:hAnsi="Arial"/>
                <w:b/>
                <w:bCs/>
                <w:color w:val="FFFFFF"/>
                <w:sz w:val="20"/>
                <w:szCs w:val="20"/>
              </w:rPr>
              <w:t xml:space="preserve">Example</w:t>
            </w:r>
          </w:p>
        </w:tc>
      </w:tr>
      <w:tr>
        <w:trPr>
          <w:tblHeader w:val="false"/>
        </w:trPr>
        <w:tc>
          <w:tcPr>
            <w:tcW w:type="dxa" w:w="22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spacing w:after="0" w:line="240"/>
            </w:pPr>
            <w:r>
              <w:rPr>
                <w:rFonts w:ascii="Arial" w:cs="Arial" w:eastAsia="Arial" w:hAnsi="Arial"/>
                <w:color w:val="404040"/>
                <w:sz w:val="20"/>
                <w:szCs w:val="20"/>
              </w:rPr>
              <w:t xml:space="preserve">Structural invariants</w:t>
            </w:r>
          </w:p>
        </w:tc>
        <w:tc>
          <w:tcPr>
            <w:tcW w:type="dxa" w:w="18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spacing w:after="0" w:line="240"/>
            </w:pPr>
            <w:r>
              <w:rPr>
                <w:rFonts w:ascii="Arial" w:cs="Arial" w:eastAsia="Arial" w:hAnsi="Arial"/>
                <w:color w:val="404040"/>
                <w:sz w:val="20"/>
                <w:szCs w:val="20"/>
              </w:rPr>
              <w:t xml:space="preserve">Descriptive</w:t>
            </w:r>
          </w:p>
        </w:tc>
        <w:tc>
          <w:tcPr>
            <w:tcW w:type="dxa" w:w="536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spacing w:after="0" w:line="240"/>
            </w:pPr>
            <w:r>
              <w:rPr>
                <w:rFonts w:ascii="Arial" w:cs="Arial" w:eastAsia="Arial" w:hAnsi="Arial"/>
                <w:color w:val="404040"/>
                <w:sz w:val="20"/>
                <w:szCs w:val="20"/>
              </w:rPr>
              <w:t xml:space="preserve">Serine disconnection persists in all future code variants discovered</w:t>
            </w:r>
          </w:p>
        </w:tc>
      </w:tr>
      <w:tr>
        <w:trPr>
          <w:tblHeader w:val="false"/>
        </w:trPr>
        <w:tc>
          <w:tcPr>
            <w:tcW w:type="dxa" w:w="22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spacing w:after="0" w:line="240"/>
            </w:pPr>
            <w:r>
              <w:rPr>
                <w:rFonts w:ascii="Arial" w:cs="Arial" w:eastAsia="Arial" w:hAnsi="Arial"/>
                <w:color w:val="404040"/>
                <w:sz w:val="20"/>
                <w:szCs w:val="20"/>
              </w:rPr>
              <w:t xml:space="preserve">Evolutionary constraints</w:t>
            </w:r>
          </w:p>
        </w:tc>
        <w:tc>
          <w:tcPr>
            <w:tcW w:type="dxa" w:w="18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spacing w:after="0" w:line="240"/>
            </w:pPr>
            <w:r>
              <w:rPr>
                <w:rFonts w:ascii="Arial" w:cs="Arial" w:eastAsia="Arial" w:hAnsi="Arial"/>
                <w:color w:val="404040"/>
                <w:sz w:val="20"/>
                <w:szCs w:val="20"/>
              </w:rPr>
              <w:t xml:space="preserve">Retrodictive</w:t>
            </w:r>
          </w:p>
        </w:tc>
        <w:tc>
          <w:tcPr>
            <w:tcW w:type="dxa" w:w="536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spacing w:after="0" w:line="240"/>
            </w:pPr>
            <w:r>
              <w:rPr>
                <w:rFonts w:ascii="Arial" w:cs="Arial" w:eastAsia="Arial" w:hAnsi="Arial"/>
                <w:color w:val="404040"/>
                <w:sz w:val="20"/>
                <w:szCs w:val="20"/>
              </w:rPr>
              <w:t xml:space="preserve">Known reassignments cluster on short Hamming paths</w:t>
            </w:r>
          </w:p>
        </w:tc>
      </w:tr>
      <w:tr>
        <w:trPr>
          <w:tblHeader w:val="false"/>
        </w:trPr>
        <w:tc>
          <w:tcPr>
            <w:tcW w:type="dxa" w:w="22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spacing w:after="0" w:line="240"/>
            </w:pPr>
            <w:r>
              <w:rPr>
                <w:rFonts w:ascii="Arial" w:cs="Arial" w:eastAsia="Arial" w:hAnsi="Arial"/>
                <w:color w:val="404040"/>
                <w:sz w:val="20"/>
                <w:szCs w:val="20"/>
              </w:rPr>
              <w:t xml:space="preserve">Evolutionary predictions</w:t>
            </w:r>
          </w:p>
        </w:tc>
        <w:tc>
          <w:tcPr>
            <w:tcW w:type="dxa" w:w="18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spacing w:after="0" w:line="240"/>
            </w:pPr>
            <w:r>
              <w:rPr>
                <w:rFonts w:ascii="Arial" w:cs="Arial" w:eastAsia="Arial" w:hAnsi="Arial"/>
                <w:color w:val="404040"/>
                <w:sz w:val="20"/>
                <w:szCs w:val="20"/>
              </w:rPr>
              <w:t xml:space="preserve">Prospective</w:t>
            </w:r>
          </w:p>
        </w:tc>
        <w:tc>
          <w:tcPr>
            <w:tcW w:type="dxa" w:w="536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spacing w:after="0" w:line="240"/>
            </w:pPr>
            <w:r>
              <w:rPr>
                <w:rFonts w:ascii="Arial" w:cs="Arial" w:eastAsia="Arial" w:hAnsi="Arial"/>
                <w:color w:val="404040"/>
                <w:sz w:val="20"/>
                <w:szCs w:val="20"/>
              </w:rPr>
              <w:t xml:space="preserve">Specific reassignments that should NOT be found in undiscovered codes</w:t>
            </w:r>
          </w:p>
        </w:tc>
      </w:tr>
      <w:tr>
        <w:trPr>
          <w:tblHeader w:val="false"/>
        </w:trPr>
        <w:tc>
          <w:tcPr>
            <w:tcW w:type="dxa" w:w="22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spacing w:after="0" w:line="240"/>
            </w:pPr>
            <w:r>
              <w:rPr>
                <w:rFonts w:ascii="Arial" w:cs="Arial" w:eastAsia="Arial" w:hAnsi="Arial"/>
                <w:color w:val="404040"/>
                <w:sz w:val="20"/>
                <w:szCs w:val="20"/>
              </w:rPr>
              <w:t xml:space="preserve">Cancer genomics</w:t>
            </w:r>
          </w:p>
        </w:tc>
        <w:tc>
          <w:tcPr>
            <w:tcW w:type="dxa" w:w="18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spacing w:after="0" w:line="240"/>
            </w:pPr>
            <w:r>
              <w:rPr>
                <w:rFonts w:ascii="Arial" w:cs="Arial" w:eastAsia="Arial" w:hAnsi="Arial"/>
                <w:color w:val="404040"/>
                <w:sz w:val="20"/>
                <w:szCs w:val="20"/>
              </w:rPr>
              <w:t xml:space="preserve">Empirical</w:t>
            </w:r>
          </w:p>
        </w:tc>
        <w:tc>
          <w:tcPr>
            <w:tcW w:type="dxa" w:w="536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spacing w:after="0" w:line="240"/>
            </w:pPr>
            <w:r>
              <w:rPr>
                <w:rFonts w:ascii="Arial" w:cs="Arial" w:eastAsia="Arial" w:hAnsi="Arial"/>
                <w:color w:val="404040"/>
                <w:sz w:val="20"/>
                <w:szCs w:val="20"/>
              </w:rPr>
              <w:t xml:space="preserve">Fano-line partners show co-occurrence enrichment</w:t>
            </w:r>
          </w:p>
        </w:tc>
      </w:tr>
      <w:tr>
        <w:trPr>
          <w:tblHeader w:val="false"/>
        </w:trPr>
        <w:tc>
          <w:tcPr>
            <w:tcW w:type="dxa" w:w="22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spacing w:after="0" w:line="240"/>
            </w:pPr>
            <w:r>
              <w:rPr>
                <w:rFonts w:ascii="Arial" w:cs="Arial" w:eastAsia="Arial" w:hAnsi="Arial"/>
                <w:color w:val="404040"/>
                <w:sz w:val="20"/>
                <w:szCs w:val="20"/>
              </w:rPr>
              <w:t xml:space="preserve">Synthetic biology</w:t>
            </w:r>
          </w:p>
        </w:tc>
        <w:tc>
          <w:tcPr>
            <w:tcW w:type="dxa" w:w="18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spacing w:after="0" w:line="240"/>
            </w:pPr>
            <w:r>
              <w:rPr>
                <w:rFonts w:ascii="Arial" w:cs="Arial" w:eastAsia="Arial" w:hAnsi="Arial"/>
                <w:color w:val="404040"/>
                <w:sz w:val="20"/>
                <w:szCs w:val="20"/>
              </w:rPr>
              <w:t xml:space="preserve">Applied</w:t>
            </w:r>
          </w:p>
        </w:tc>
        <w:tc>
          <w:tcPr>
            <w:tcW w:type="dxa" w:w="536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spacing w:after="0" w:line="240"/>
            </w:pPr>
            <w:r>
              <w:rPr>
                <w:rFonts w:ascii="Arial" w:cs="Arial" w:eastAsia="Arial" w:hAnsi="Arial"/>
                <w:color w:val="404040"/>
                <w:sz w:val="20"/>
                <w:szCs w:val="20"/>
              </w:rPr>
              <w:t xml:space="preserve">Geometrically consistent reassignments are more stable</w:t>
            </w:r>
          </w:p>
        </w:tc>
      </w:tr>
      <w:tr>
        <w:trPr>
          <w:tblHeader w:val="false"/>
        </w:trPr>
        <w:tc>
          <w:tcPr>
            <w:tcW w:type="dxa" w:w="22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spacing w:after="0" w:line="240"/>
            </w:pPr>
            <w:r>
              <w:rPr>
                <w:rFonts w:ascii="Arial" w:cs="Arial" w:eastAsia="Arial" w:hAnsi="Arial"/>
                <w:b/>
                <w:bCs/>
                <w:color w:val="404040"/>
                <w:sz w:val="20"/>
                <w:szCs w:val="20"/>
              </w:rPr>
              <w:t xml:space="preserve">Code origin</w:t>
            </w:r>
          </w:p>
        </w:tc>
        <w:tc>
          <w:tcPr>
            <w:tcW w:type="dxa" w:w="18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spacing w:after="0" w:line="240"/>
            </w:pPr>
            <w:r>
              <w:rPr>
                <w:rFonts w:ascii="Arial" w:cs="Arial" w:eastAsia="Arial" w:hAnsi="Arial"/>
                <w:b w:val="false"/>
                <w:bCs w:val="false"/>
                <w:color w:val="404040"/>
                <w:sz w:val="20"/>
                <w:szCs w:val="20"/>
              </w:rPr>
              <w:t xml:space="preserve">Theoretical</w:t>
            </w:r>
          </w:p>
        </w:tc>
        <w:tc>
          <w:tcPr>
            <w:tcW w:type="dxa" w:w="536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spacing w:after="0" w:line="240"/>
            </w:pPr>
            <w:r>
              <w:rPr>
                <w:rFonts w:ascii="Arial" w:cs="Arial" w:eastAsia="Arial" w:hAnsi="Arial"/>
                <w:b w:val="false"/>
                <w:bCs w:val="false"/>
                <w:color w:val="404040"/>
                <w:sz w:val="20"/>
                <w:szCs w:val="20"/>
              </w:rPr>
              <w:t xml:space="preserve">The code’s error-minimization properties are consequences of the GF(2)⁶ filtration</w:t>
            </w:r>
          </w:p>
        </w:tc>
      </w:tr>
    </w:tbl>
    <w:p>
      <w:pPr>
        <w:pStyle w:val="Heading3"/>
      </w:pPr>
      <w:r>
        <w:t xml:space="preserve">2.5.3 Outputs</w:t>
      </w:r>
    </w:p>
    <w:p>
      <w:pPr>
        <w:pStyle w:val="ListParagraph"/>
        <w:numPr>
          <w:ilvl w:val="0"/>
          <w:numId w:val="2"/>
        </w:numPr>
        <w:spacing w:after="100" w:line="276"/>
      </w:pPr>
      <w:r>
        <w:rPr>
          <w:rFonts w:ascii="Arial" w:cs="Arial" w:eastAsia="Arial" w:hAnsi="Arial"/>
          <w:color w:val="404040"/>
          <w:sz w:val="22"/>
          <w:szCs w:val="22"/>
        </w:rPr>
        <w:t xml:space="preserve">Ranked prediction catalogue (spreadsheet + narrative document)</w:t>
      </w:r>
    </w:p>
    <w:p>
      <w:pPr>
        <w:pStyle w:val="ListParagraph"/>
        <w:numPr>
          <w:ilvl w:val="0"/>
          <w:numId w:val="2"/>
        </w:numPr>
        <w:spacing w:after="100" w:line="276"/>
      </w:pPr>
      <w:r>
        <w:rPr>
          <w:rFonts w:ascii="Arial" w:cs="Arial" w:eastAsia="Arial" w:hAnsi="Arial"/>
          <w:color w:val="404040"/>
          <w:sz w:val="22"/>
          <w:szCs w:val="22"/>
        </w:rPr>
        <w:t xml:space="preserve">Decision matrix for Phase 2 (wet-lab) prioritization</w:t>
      </w:r>
    </w:p>
    <w:p>
      <w:pPr>
        <w:pStyle w:val="ListParagraph"/>
        <w:numPr>
          <w:ilvl w:val="0"/>
          <w:numId w:val="2"/>
        </w:numPr>
        <w:spacing w:after="100" w:line="276"/>
      </w:pPr>
      <w:r>
        <w:rPr>
          <w:rFonts w:ascii="Arial" w:cs="Arial" w:eastAsia="Arial" w:hAnsi="Arial"/>
          <w:color w:val="404040"/>
          <w:sz w:val="22"/>
          <w:szCs w:val="22"/>
        </w:rPr>
        <w:t xml:space="preserve">Risk register: what fails if each prediction is wrong</w:t>
      </w:r>
    </w:p>
    <w:p>
      <w:r>
        <w:br w:type="page"/>
      </w:r>
    </w:p>
    <w:p>
      <w:pPr>
        <w:pStyle w:val="Heading2"/>
      </w:pPr>
      <w:r>
        <w:t xml:space="preserve">2.6 WS6: Synthetic Biology Feasibility Assessment</w:t>
      </w:r>
    </w:p>
    <w:p>
      <w:pPr>
        <w:spacing w:after="160" w:before="0" w:line="276"/>
      </w:pPr>
      <w:r>
        <w:rPr>
          <w:rFonts w:ascii="Arial" w:cs="Arial" w:eastAsia="Arial" w:hAnsi="Arial"/>
          <w:b/>
          <w:bCs/>
          <w:color w:val="404040"/>
          <w:sz w:val="22"/>
          <w:szCs w:val="22"/>
        </w:rPr>
        <w:t xml:space="preserve">Objective: </w:t>
      </w:r>
      <w:r>
        <w:rPr>
          <w:rFonts w:ascii="Arial" w:cs="Arial" w:eastAsia="Arial" w:hAnsi="Arial"/>
          <w:color w:val="404040"/>
          <w:sz w:val="22"/>
          <w:szCs w:val="22"/>
        </w:rPr>
        <w:t xml:space="preserve">Evaluate whether the filtration framework can serve as a practical design tool for expanded genetic code engineering, and assess the commercial opportunity.</w:t>
      </w:r>
    </w:p>
    <w:p>
      <w:pPr>
        <w:pStyle w:val="Heading3"/>
      </w:pPr>
      <w:r>
        <w:t xml:space="preserve">2.6.1 Tasks</w:t>
      </w:r>
    </w:p>
    <w:p>
      <w:pPr>
        <w:pStyle w:val="ListParagraph"/>
        <w:numPr>
          <w:ilvl w:val="0"/>
          <w:numId w:val="8"/>
        </w:numPr>
        <w:spacing w:after="100" w:line="276"/>
      </w:pPr>
      <w:r>
        <w:rPr>
          <w:rFonts w:ascii="Arial" w:cs="Arial" w:eastAsia="Arial" w:hAnsi="Arial"/>
          <w:color w:val="404040"/>
          <w:sz w:val="22"/>
          <w:szCs w:val="22"/>
        </w:rPr>
        <w:t xml:space="preserve">Literature meta-analysis: compile all published codon reassignment experiments in synthetic biology (estimated 30–50 studies, covering UAG, UGA, and rare sense codon reassignments).</w:t>
      </w:r>
    </w:p>
    <w:p>
      <w:pPr>
        <w:pStyle w:val="ListParagraph"/>
        <w:numPr>
          <w:ilvl w:val="0"/>
          <w:numId w:val="8"/>
        </w:numPr>
        <w:spacing w:after="100" w:line="276"/>
      </w:pPr>
      <w:r>
        <w:rPr>
          <w:rFonts w:ascii="Arial" w:cs="Arial" w:eastAsia="Arial" w:hAnsi="Arial"/>
          <w:color w:val="404040"/>
          <w:sz w:val="22"/>
          <w:szCs w:val="22"/>
        </w:rPr>
        <w:t xml:space="preserve">For each experiment, extract: organism, reassigned codon, target (ncAA or natural AA), reported stability metrics (escape rate, growth penalty, codon avoidance index, reversion frequency), and experimental conditions.</w:t>
      </w:r>
    </w:p>
    <w:p>
      <w:pPr>
        <w:pStyle w:val="ListParagraph"/>
        <w:numPr>
          <w:ilvl w:val="0"/>
          <w:numId w:val="8"/>
        </w:numPr>
        <w:spacing w:after="100" w:line="276"/>
      </w:pPr>
      <w:r>
        <w:rPr>
          <w:rFonts w:ascii="Arial" w:cs="Arial" w:eastAsia="Arial" w:hAnsi="Arial"/>
          <w:color w:val="404040"/>
          <w:sz w:val="22"/>
          <w:szCs w:val="22"/>
        </w:rPr>
        <w:t xml:space="preserve">Compute geometric compatibility score for each experiment: Hamming distance to nearest block of target AA, filtration preservation, topological consistency.</w:t>
      </w:r>
    </w:p>
    <w:p>
      <w:pPr>
        <w:pStyle w:val="ListParagraph"/>
        <w:numPr>
          <w:ilvl w:val="0"/>
          <w:numId w:val="8"/>
        </w:numPr>
        <w:spacing w:after="100" w:line="276"/>
      </w:pPr>
      <w:r>
        <w:rPr>
          <w:rFonts w:ascii="Arial" w:cs="Arial" w:eastAsia="Arial" w:hAnsi="Arial"/>
          <w:color w:val="404040"/>
          <w:sz w:val="22"/>
          <w:szCs w:val="22"/>
        </w:rPr>
        <w:t xml:space="preserve">Statistical test: does geometric compatibility correlate with reported stability? Effect size, confidence interval, logistic regression.</w:t>
      </w:r>
    </w:p>
    <w:p>
      <w:pPr>
        <w:pStyle w:val="ListParagraph"/>
        <w:numPr>
          <w:ilvl w:val="0"/>
          <w:numId w:val="8"/>
        </w:numPr>
        <w:spacing w:after="100" w:line="276"/>
      </w:pPr>
      <w:r>
        <w:rPr>
          <w:rFonts w:ascii="Arial" w:cs="Arial" w:eastAsia="Arial" w:hAnsi="Arial"/>
          <w:color w:val="404040"/>
          <w:sz w:val="22"/>
          <w:szCs w:val="22"/>
        </w:rPr>
        <w:t xml:space="preserve">Competitive landscape analysis: existing codon optimization tools (Twist, GenScript, Arzeda, Codex DNA), their capabilities, their gaps.</w:t>
      </w:r>
    </w:p>
    <w:p>
      <w:pPr>
        <w:pStyle w:val="ListParagraph"/>
        <w:numPr>
          <w:ilvl w:val="0"/>
          <w:numId w:val="8"/>
        </w:numPr>
        <w:spacing w:after="100" w:line="276"/>
      </w:pPr>
      <w:r>
        <w:rPr>
          <w:rFonts w:ascii="Arial" w:cs="Arial" w:eastAsia="Arial" w:hAnsi="Arial"/>
          <w:color w:val="404040"/>
          <w:sz w:val="22"/>
          <w:szCs w:val="22"/>
        </w:rPr>
        <w:t xml:space="preserve">IP landscape scan: prior art on geometric/algebraic methods for codon design.</w:t>
      </w:r>
    </w:p>
    <w:p>
      <w:pPr>
        <w:pStyle w:val="ListParagraph"/>
        <w:numPr>
          <w:ilvl w:val="0"/>
          <w:numId w:val="8"/>
        </w:numPr>
        <w:spacing w:after="100" w:line="276"/>
      </w:pPr>
      <w:r>
        <w:rPr>
          <w:rFonts w:ascii="Arial" w:cs="Arial" w:eastAsia="Arial" w:hAnsi="Arial"/>
          <w:color w:val="404040"/>
          <w:sz w:val="22"/>
          <w:szCs w:val="22"/>
        </w:rPr>
        <w:t xml:space="preserve">Revenue model sketch: SaaS tool for codon reassignment stability scoring.</w:t>
      </w:r>
    </w:p>
    <w:p>
      <w:pPr>
        <w:pStyle w:val="Heading3"/>
      </w:pPr>
      <w:r>
        <w:t xml:space="preserve">2.6.2 Outputs</w:t>
      </w:r>
    </w:p>
    <w:p>
      <w:pPr>
        <w:pStyle w:val="ListParagraph"/>
        <w:numPr>
          <w:ilvl w:val="0"/>
          <w:numId w:val="2"/>
        </w:numPr>
        <w:spacing w:after="100" w:line="276"/>
      </w:pPr>
      <w:r>
        <w:rPr>
          <w:rFonts w:ascii="Arial" w:cs="Arial" w:eastAsia="Arial" w:hAnsi="Arial"/>
          <w:color w:val="404040"/>
          <w:sz w:val="22"/>
          <w:szCs w:val="22"/>
        </w:rPr>
        <w:t xml:space="preserve">Meta-analysis dataset with geometric annotations</w:t>
      </w:r>
    </w:p>
    <w:p>
      <w:pPr>
        <w:pStyle w:val="ListParagraph"/>
        <w:numPr>
          <w:ilvl w:val="0"/>
          <w:numId w:val="2"/>
        </w:numPr>
        <w:spacing w:after="100" w:line="276"/>
      </w:pPr>
      <w:r>
        <w:rPr>
          <w:rFonts w:ascii="Arial" w:cs="Arial" w:eastAsia="Arial" w:hAnsi="Arial"/>
          <w:color w:val="404040"/>
          <w:sz w:val="22"/>
          <w:szCs w:val="22"/>
        </w:rPr>
        <w:t xml:space="preserve">Statistical report: geometric consistency vs. stability</w:t>
      </w:r>
    </w:p>
    <w:p>
      <w:pPr>
        <w:pStyle w:val="ListParagraph"/>
        <w:numPr>
          <w:ilvl w:val="0"/>
          <w:numId w:val="2"/>
        </w:numPr>
        <w:spacing w:after="100" w:line="276"/>
      </w:pPr>
      <w:r>
        <w:rPr>
          <w:rFonts w:ascii="Arial" w:cs="Arial" w:eastAsia="Arial" w:hAnsi="Arial"/>
          <w:color w:val="404040"/>
          <w:sz w:val="22"/>
          <w:szCs w:val="22"/>
        </w:rPr>
        <w:t xml:space="preserve">Competitive landscape summary</w:t>
      </w:r>
    </w:p>
    <w:p>
      <w:pPr>
        <w:pStyle w:val="ListParagraph"/>
        <w:numPr>
          <w:ilvl w:val="0"/>
          <w:numId w:val="2"/>
        </w:numPr>
        <w:spacing w:after="100" w:line="276"/>
      </w:pPr>
      <w:r>
        <w:rPr>
          <w:rFonts w:ascii="Arial" w:cs="Arial" w:eastAsia="Arial" w:hAnsi="Arial"/>
          <w:color w:val="404040"/>
          <w:sz w:val="22"/>
          <w:szCs w:val="22"/>
        </w:rPr>
        <w:t xml:space="preserve">Commercial feasibility one-pager with go/no-go recommendation</w:t>
      </w:r>
    </w:p>
    <w:p>
      <w:r>
        <w:br w:type="page"/>
      </w:r>
    </w:p>
    <w:p>
      <w:pPr>
        <w:pStyle w:val="Heading1"/>
      </w:pPr>
      <w:r>
        <w:t xml:space="preserve">3. Code Architecture &amp; Organization</w:t>
      </w:r>
    </w:p>
    <w:p>
      <w:pPr>
        <w:spacing w:after="160" w:before="0" w:line="276"/>
      </w:pPr>
      <w:r>
        <w:rPr>
          <w:rFonts w:ascii="Arial" w:cs="Arial" w:eastAsia="Arial" w:hAnsi="Arial"/>
          <w:color w:val="404040"/>
          <w:sz w:val="22"/>
          <w:szCs w:val="22"/>
        </w:rPr>
        <w:t xml:space="preserve">All code will be organized as a Python package with the following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1"/>
              <w:bottom w:val="single" w:color="2E75B6" w:sz="1"/>
              <w:right w:val="single" w:color="2E75B6" w:sz="1"/>
            </w:tcBorders>
            <w:shd w:fill="F2F2F2" w:val="clear"/>
            <w:tcMar>
              <w:top w:type="dxa" w:w="120"/>
              <w:left w:type="dxa" w:w="200"/>
              <w:bottom w:type="dxa" w:w="120"/>
              <w:right w:type="dxa" w:w="200"/>
            </w:tcMar>
          </w:tcPr>
          <w:p>
            <w:pPr>
              <w:spacing w:after="80" w:line="240"/>
            </w:pPr>
            <w:r>
              <w:rPr>
                <w:rFonts w:ascii="Arial" w:cs="Arial" w:eastAsia="Arial" w:hAnsi="Arial"/>
                <w:b/>
                <w:bCs/>
                <w:color w:val="1F4E79"/>
                <w:sz w:val="22"/>
                <w:szCs w:val="22"/>
              </w:rPr>
              <w:t xml:space="preserve">PACKAGE STRUCTURE: codon_topo/</w:t>
            </w:r>
          </w:p>
          <w:p>
            <w:pPr>
              <w:spacing w:after="0" w:line="260"/>
            </w:pPr>
            <w:r>
              <w:rPr>
                <w:rFonts w:ascii="Arial" w:cs="Arial" w:eastAsia="Arial" w:hAnsi="Arial"/>
                <w:color w:val="404040"/>
                <w:sz w:val="20"/>
                <w:szCs w:val="20"/>
              </w:rPr>
              <w:t xml:space="preserve">codon_topo/
  core/
    encoding.py        — Base→bit mappings, codon→vector conversion, all 24 encodings
    genetic_codes.py   — All NCBI translation tables as dictionaries
    filtration.py      — Projection tower, fibre computation, filtration checks
    homology.py        — Connected components, persistent homology (Betti numbers)
    embedding.py       — Holomorphic embedding φ: GF(2)⁶ → ℂ³
    fano.py            — Fano-line computation, XOR triples
  analysis/
    null_models.py     — Random assignment, block shuffle, encoding permutation
    reassignment_db.py — Reassignment database construction and querying
    cosmic_query.py    — COSMIC/cBioPortal API integration
    synbio_meta.py     — Synthetic biology literature meta-analysis
  visualization/
    hypercube.py       — 6D→2D/3D projections with amino acid coloring
    barcodes.py        — Persistent homology barcode plots
    embedding_viz.py   — ℂ³ scatter plots with degeneracy coloring
    reassignment_flow.py — Hamming-path flow diagrams
  reports/
    templates/         — Report generation templates
    figures/           — Generated figures (not committed)
  tests/
    test_core.py       — Unit tests for all core computations
    test_null.py       — Null model validation tests
    test_regression.py — Regression tests against known results</w:t>
            </w:r>
          </w:p>
        </w:tc>
      </w:tr>
    </w:tbl>
    <w:p>
      <w:pPr>
        <w:spacing w:after="100"/>
      </w:pPr>
    </w:p>
    <w:p>
      <w:pPr>
        <w:pStyle w:val="Heading2"/>
      </w:pPr>
      <w:r>
        <w:t xml:space="preserve">3.1 Existing Code to Bundle</w:t>
      </w:r>
    </w:p>
    <w:p>
      <w:pPr>
        <w:spacing w:after="160" w:before="0" w:line="276"/>
      </w:pPr>
      <w:r>
        <w:rPr>
          <w:rFonts w:ascii="Arial" w:cs="Arial" w:eastAsia="Arial" w:hAnsi="Arial"/>
          <w:color w:val="404040"/>
          <w:sz w:val="22"/>
          <w:szCs w:val="22"/>
        </w:rPr>
        <w:t xml:space="preserve">The following scripts from our preliminary analysis should be refactored into the package: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800"/>
        <w:gridCol w:w="4360"/>
      </w:tblGrid>
      <w:tr>
        <w:trPr>
          <w:tblHeader/>
        </w:trPr>
        <w:tc>
          <w:tcPr>
            <w:tcW w:type="dxa" w:w="2200"/>
            <w:tcBorders>
              <w:top w:val="single" w:color="BFBFBF" w:sz="1"/>
              <w:left w:val="single" w:color="BFBFBF" w:sz="1"/>
              <w:bottom w:val="single" w:color="BFBFBF" w:sz="1"/>
              <w:right w:val="single" w:color="BFBFBF" w:sz="1"/>
            </w:tcBorders>
            <w:shd w:fill="1B2A4A" w:val="clear"/>
            <w:tcMar>
              <w:top w:type="dxa" w:w="80"/>
              <w:left w:type="dxa" w:w="120"/>
              <w:bottom w:type="dxa" w:w="80"/>
              <w:right w:type="dxa" w:w="120"/>
            </w:tcMar>
            <w:vAlign w:val="center"/>
          </w:tcPr>
          <w:p>
            <w:pPr>
              <w:spacing w:after="0" w:line="240"/>
            </w:pPr>
            <w:r>
              <w:rPr>
                <w:rFonts w:ascii="Arial" w:cs="Arial" w:eastAsia="Arial" w:hAnsi="Arial"/>
                <w:b/>
                <w:bCs/>
                <w:color w:val="FFFFFF"/>
                <w:sz w:val="20"/>
                <w:szCs w:val="20"/>
              </w:rPr>
              <w:t xml:space="preserve">Current Script</w:t>
            </w:r>
          </w:p>
        </w:tc>
        <w:tc>
          <w:tcPr>
            <w:tcW w:type="dxa" w:w="2800"/>
            <w:tcBorders>
              <w:top w:val="single" w:color="BFBFBF" w:sz="1"/>
              <w:left w:val="single" w:color="BFBFBF" w:sz="1"/>
              <w:bottom w:val="single" w:color="BFBFBF" w:sz="1"/>
              <w:right w:val="single" w:color="BFBFBF" w:sz="1"/>
            </w:tcBorders>
            <w:shd w:fill="1B2A4A" w:val="clear"/>
            <w:tcMar>
              <w:top w:type="dxa" w:w="80"/>
              <w:left w:type="dxa" w:w="120"/>
              <w:bottom w:type="dxa" w:w="80"/>
              <w:right w:type="dxa" w:w="120"/>
            </w:tcMar>
            <w:vAlign w:val="center"/>
          </w:tcPr>
          <w:p>
            <w:pPr>
              <w:spacing w:after="0" w:line="240"/>
            </w:pPr>
            <w:r>
              <w:rPr>
                <w:rFonts w:ascii="Arial" w:cs="Arial" w:eastAsia="Arial" w:hAnsi="Arial"/>
                <w:b/>
                <w:bCs/>
                <w:color w:val="FFFFFF"/>
                <w:sz w:val="20"/>
                <w:szCs w:val="20"/>
              </w:rPr>
              <w:t xml:space="preserve">Target Module</w:t>
            </w:r>
          </w:p>
        </w:tc>
        <w:tc>
          <w:tcPr>
            <w:tcW w:type="dxa" w:w="4360"/>
            <w:tcBorders>
              <w:top w:val="single" w:color="BFBFBF" w:sz="1"/>
              <w:left w:val="single" w:color="BFBFBF" w:sz="1"/>
              <w:bottom w:val="single" w:color="BFBFBF" w:sz="1"/>
              <w:right w:val="single" w:color="BFBFBF" w:sz="1"/>
            </w:tcBorders>
            <w:shd w:fill="1B2A4A" w:val="clear"/>
            <w:tcMar>
              <w:top w:type="dxa" w:w="80"/>
              <w:left w:type="dxa" w:w="120"/>
              <w:bottom w:type="dxa" w:w="80"/>
              <w:right w:type="dxa" w:w="120"/>
            </w:tcMar>
            <w:vAlign w:val="center"/>
          </w:tcPr>
          <w:p>
            <w:pPr>
              <w:spacing w:after="0" w:line="240"/>
            </w:pPr>
            <w:r>
              <w:rPr>
                <w:rFonts w:ascii="Arial" w:cs="Arial" w:eastAsia="Arial" w:hAnsi="Arial"/>
                <w:b/>
                <w:bCs/>
                <w:color w:val="FFFFFF"/>
                <w:sz w:val="20"/>
                <w:szCs w:val="20"/>
              </w:rPr>
              <w:t xml:space="preserve">Refactoring Notes</w:t>
            </w:r>
          </w:p>
        </w:tc>
      </w:tr>
      <w:tr>
        <w:trPr>
          <w:tblHeader w:val="false"/>
        </w:trPr>
        <w:tc>
          <w:tcPr>
            <w:tcW w:type="dxa" w:w="22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spacing w:after="0" w:line="240"/>
            </w:pPr>
            <w:r>
              <w:rPr>
                <w:rFonts w:ascii="Arial" w:cs="Arial" w:eastAsia="Arial" w:hAnsi="Arial"/>
                <w:color w:val="404040"/>
                <w:sz w:val="20"/>
                <w:szCs w:val="20"/>
              </w:rPr>
              <w:t xml:space="preserve">verify_filtration.py</w:t>
            </w:r>
          </w:p>
        </w:tc>
        <w:tc>
          <w:tcPr>
            <w:tcW w:type="dxa" w:w="28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spacing w:after="0" w:line="240"/>
            </w:pPr>
            <w:r>
              <w:rPr>
                <w:rFonts w:ascii="Arial" w:cs="Arial" w:eastAsia="Arial" w:hAnsi="Arial"/>
                <w:color w:val="404040"/>
                <w:sz w:val="20"/>
                <w:szCs w:val="20"/>
              </w:rPr>
              <w:t xml:space="preserve">core/filtration.py + core/homology.py</w:t>
            </w:r>
          </w:p>
        </w:tc>
        <w:tc>
          <w:tcPr>
            <w:tcW w:type="dxa" w:w="436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spacing w:after="0" w:line="240"/>
            </w:pPr>
            <w:r>
              <w:rPr>
                <w:rFonts w:ascii="Arial" w:cs="Arial" w:eastAsia="Arial" w:hAnsi="Arial"/>
                <w:color w:val="404040"/>
                <w:sz w:val="20"/>
                <w:szCs w:val="20"/>
              </w:rPr>
              <w:t xml:space="preserve">Split into reusable functions; add type hints; parameterize encoding</w:t>
            </w:r>
          </w:p>
        </w:tc>
      </w:tr>
      <w:tr>
        <w:trPr>
          <w:tblHeader w:val="false"/>
        </w:trPr>
        <w:tc>
          <w:tcPr>
            <w:tcW w:type="dxa" w:w="22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spacing w:after="0" w:line="240"/>
            </w:pPr>
            <w:r>
              <w:rPr>
                <w:rFonts w:ascii="Arial" w:cs="Arial" w:eastAsia="Arial" w:hAnsi="Arial"/>
                <w:color w:val="404040"/>
                <w:sz w:val="20"/>
                <w:szCs w:val="20"/>
              </w:rPr>
              <w:t xml:space="preserve">verify_embedding.py</w:t>
            </w:r>
          </w:p>
        </w:tc>
        <w:tc>
          <w:tcPr>
            <w:tcW w:type="dxa" w:w="28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spacing w:after="0" w:line="240"/>
            </w:pPr>
            <w:r>
              <w:rPr>
                <w:rFonts w:ascii="Arial" w:cs="Arial" w:eastAsia="Arial" w:hAnsi="Arial"/>
                <w:color w:val="404040"/>
                <w:sz w:val="20"/>
                <w:szCs w:val="20"/>
              </w:rPr>
              <w:t xml:space="preserve">core/embedding.py</w:t>
            </w:r>
          </w:p>
        </w:tc>
        <w:tc>
          <w:tcPr>
            <w:tcW w:type="dxa" w:w="436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spacing w:after="0" w:line="240"/>
            </w:pPr>
            <w:r>
              <w:rPr>
                <w:rFonts w:ascii="Arial" w:cs="Arial" w:eastAsia="Arial" w:hAnsi="Arial"/>
                <w:color w:val="404040"/>
                <w:sz w:val="20"/>
                <w:szCs w:val="20"/>
              </w:rPr>
              <w:t xml:space="preserve">Generalize to arbitrary base→complex mappings</w:t>
            </w:r>
          </w:p>
        </w:tc>
      </w:tr>
      <w:tr>
        <w:trPr>
          <w:tblHeader w:val="false"/>
        </w:trPr>
        <w:tc>
          <w:tcPr>
            <w:tcW w:type="dxa" w:w="22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spacing w:after="0" w:line="240"/>
            </w:pPr>
            <w:r>
              <w:rPr>
                <w:rFonts w:ascii="Arial" w:cs="Arial" w:eastAsia="Arial" w:hAnsi="Arial"/>
                <w:color w:val="404040"/>
                <w:sz w:val="20"/>
                <w:szCs w:val="20"/>
              </w:rPr>
              <w:t xml:space="preserve">verify_kras.py</w:t>
            </w:r>
          </w:p>
        </w:tc>
        <w:tc>
          <w:tcPr>
            <w:tcW w:type="dxa" w:w="28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spacing w:after="0" w:line="240"/>
            </w:pPr>
            <w:r>
              <w:rPr>
                <w:rFonts w:ascii="Arial" w:cs="Arial" w:eastAsia="Arial" w:hAnsi="Arial"/>
                <w:color w:val="404040"/>
                <w:sz w:val="20"/>
                <w:szCs w:val="20"/>
              </w:rPr>
              <w:t xml:space="preserve">core/fano.py + analysis/cosmic_query.py</w:t>
            </w:r>
          </w:p>
        </w:tc>
        <w:tc>
          <w:tcPr>
            <w:tcW w:type="dxa" w:w="436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spacing w:after="0" w:line="240"/>
            </w:pPr>
            <w:r>
              <w:rPr>
                <w:rFonts w:ascii="Arial" w:cs="Arial" w:eastAsia="Arial" w:hAnsi="Arial"/>
                <w:color w:val="404040"/>
                <w:sz w:val="20"/>
                <w:szCs w:val="20"/>
              </w:rPr>
              <w:t xml:space="preserve">Separate Fano computation from biological interpretation</w:t>
            </w:r>
          </w:p>
        </w:tc>
      </w:tr>
      <w:tr>
        <w:trPr>
          <w:tblHeader w:val="false"/>
        </w:trPr>
        <w:tc>
          <w:tcPr>
            <w:tcW w:type="dxa" w:w="22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spacing w:after="0" w:line="240"/>
            </w:pPr>
            <w:r>
              <w:rPr>
                <w:rFonts w:ascii="Arial" w:cs="Arial" w:eastAsia="Arial" w:hAnsi="Arial"/>
                <w:color w:val="404040"/>
                <w:sz w:val="20"/>
                <w:szCs w:val="20"/>
              </w:rPr>
              <w:t xml:space="preserve">verify_mitochondrial.py</w:t>
            </w:r>
          </w:p>
        </w:tc>
        <w:tc>
          <w:tcPr>
            <w:tcW w:type="dxa" w:w="28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spacing w:after="0" w:line="240"/>
            </w:pPr>
            <w:r>
              <w:rPr>
                <w:rFonts w:ascii="Arial" w:cs="Arial" w:eastAsia="Arial" w:hAnsi="Arial"/>
                <w:color w:val="404040"/>
                <w:sz w:val="20"/>
                <w:szCs w:val="20"/>
              </w:rPr>
              <w:t xml:space="preserve">core/genetic_codes.py + analysis pipeline</w:t>
            </w:r>
          </w:p>
        </w:tc>
        <w:tc>
          <w:tcPr>
            <w:tcW w:type="dxa" w:w="436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spacing w:after="0" w:line="240"/>
            </w:pPr>
            <w:r>
              <w:rPr>
                <w:rFonts w:ascii="Arial" w:cs="Arial" w:eastAsia="Arial" w:hAnsi="Arial"/>
                <w:color w:val="404040"/>
                <w:sz w:val="20"/>
                <w:szCs w:val="20"/>
              </w:rPr>
              <w:t xml:space="preserve">Extract code definitions; generalize analysis function</w:t>
            </w:r>
          </w:p>
        </w:tc>
      </w:tr>
      <w:tr>
        <w:trPr>
          <w:tblHeader w:val="false"/>
        </w:trPr>
        <w:tc>
          <w:tcPr>
            <w:tcW w:type="dxa" w:w="22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spacing w:after="0" w:line="240"/>
            </w:pPr>
            <w:r>
              <w:rPr>
                <w:rFonts w:ascii="Arial" w:cs="Arial" w:eastAsia="Arial" w:hAnsi="Arial"/>
                <w:color w:val="404040"/>
                <w:sz w:val="20"/>
                <w:szCs w:val="20"/>
              </w:rPr>
              <w:t xml:space="preserve">all_codes.py</w:t>
            </w:r>
          </w:p>
        </w:tc>
        <w:tc>
          <w:tcPr>
            <w:tcW w:type="dxa" w:w="28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spacing w:after="0" w:line="240"/>
            </w:pPr>
            <w:r>
              <w:rPr>
                <w:rFonts w:ascii="Arial" w:cs="Arial" w:eastAsia="Arial" w:hAnsi="Arial"/>
                <w:color w:val="404040"/>
                <w:sz w:val="20"/>
                <w:szCs w:val="20"/>
              </w:rPr>
              <w:t xml:space="preserve">Integration test + analysis/reassignment_db.py</w:t>
            </w:r>
          </w:p>
        </w:tc>
        <w:tc>
          <w:tcPr>
            <w:tcW w:type="dxa" w:w="436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spacing w:after="0" w:line="240"/>
            </w:pPr>
            <w:r>
              <w:rPr>
                <w:rFonts w:ascii="Arial" w:cs="Arial" w:eastAsia="Arial" w:hAnsi="Arial"/>
                <w:color w:val="404040"/>
                <w:sz w:val="20"/>
                <w:szCs w:val="20"/>
              </w:rPr>
              <w:t xml:space="preserve">Refactor into systematic pipeline with structured output</w:t>
            </w:r>
          </w:p>
        </w:tc>
      </w:tr>
    </w:tbl>
    <w:p>
      <w:pPr>
        <w:pStyle w:val="Heading2"/>
      </w:pPr>
      <w:r>
        <w:t xml:space="preserve">3.2 Technology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800"/>
        <w:gridCol w:w="4360"/>
      </w:tblGrid>
      <w:tr>
        <w:trPr>
          <w:tblHeader/>
        </w:trPr>
        <w:tc>
          <w:tcPr>
            <w:tcW w:type="dxa" w:w="2200"/>
            <w:tcBorders>
              <w:top w:val="single" w:color="BFBFBF" w:sz="1"/>
              <w:left w:val="single" w:color="BFBFBF" w:sz="1"/>
              <w:bottom w:val="single" w:color="BFBFBF" w:sz="1"/>
              <w:right w:val="single" w:color="BFBFBF" w:sz="1"/>
            </w:tcBorders>
            <w:shd w:fill="1B2A4A" w:val="clear"/>
            <w:tcMar>
              <w:top w:type="dxa" w:w="80"/>
              <w:left w:type="dxa" w:w="120"/>
              <w:bottom w:type="dxa" w:w="80"/>
              <w:right w:type="dxa" w:w="120"/>
            </w:tcMar>
            <w:vAlign w:val="center"/>
          </w:tcPr>
          <w:p>
            <w:pPr>
              <w:spacing w:after="0" w:line="240"/>
            </w:pPr>
            <w:r>
              <w:rPr>
                <w:rFonts w:ascii="Arial" w:cs="Arial" w:eastAsia="Arial" w:hAnsi="Arial"/>
                <w:b/>
                <w:bCs/>
                <w:color w:val="FFFFFF"/>
                <w:sz w:val="20"/>
                <w:szCs w:val="20"/>
              </w:rPr>
              <w:t xml:space="preserve">Component</w:t>
            </w:r>
          </w:p>
        </w:tc>
        <w:tc>
          <w:tcPr>
            <w:tcW w:type="dxa" w:w="2800"/>
            <w:tcBorders>
              <w:top w:val="single" w:color="BFBFBF" w:sz="1"/>
              <w:left w:val="single" w:color="BFBFBF" w:sz="1"/>
              <w:bottom w:val="single" w:color="BFBFBF" w:sz="1"/>
              <w:right w:val="single" w:color="BFBFBF" w:sz="1"/>
            </w:tcBorders>
            <w:shd w:fill="1B2A4A" w:val="clear"/>
            <w:tcMar>
              <w:top w:type="dxa" w:w="80"/>
              <w:left w:type="dxa" w:w="120"/>
              <w:bottom w:type="dxa" w:w="80"/>
              <w:right w:type="dxa" w:w="120"/>
            </w:tcMar>
            <w:vAlign w:val="center"/>
          </w:tcPr>
          <w:p>
            <w:pPr>
              <w:spacing w:after="0" w:line="240"/>
            </w:pPr>
            <w:r>
              <w:rPr>
                <w:rFonts w:ascii="Arial" w:cs="Arial" w:eastAsia="Arial" w:hAnsi="Arial"/>
                <w:b/>
                <w:bCs/>
                <w:color w:val="FFFFFF"/>
                <w:sz w:val="20"/>
                <w:szCs w:val="20"/>
              </w:rPr>
              <w:t xml:space="preserve">Technology</w:t>
            </w:r>
          </w:p>
        </w:tc>
        <w:tc>
          <w:tcPr>
            <w:tcW w:type="dxa" w:w="4360"/>
            <w:tcBorders>
              <w:top w:val="single" w:color="BFBFBF" w:sz="1"/>
              <w:left w:val="single" w:color="BFBFBF" w:sz="1"/>
              <w:bottom w:val="single" w:color="BFBFBF" w:sz="1"/>
              <w:right w:val="single" w:color="BFBFBF" w:sz="1"/>
            </w:tcBorders>
            <w:shd w:fill="1B2A4A" w:val="clear"/>
            <w:tcMar>
              <w:top w:type="dxa" w:w="80"/>
              <w:left w:type="dxa" w:w="120"/>
              <w:bottom w:type="dxa" w:w="80"/>
              <w:right w:type="dxa" w:w="120"/>
            </w:tcMar>
            <w:vAlign w:val="center"/>
          </w:tcPr>
          <w:p>
            <w:pPr>
              <w:spacing w:after="0" w:line="240"/>
            </w:pPr>
            <w:r>
              <w:rPr>
                <w:rFonts w:ascii="Arial" w:cs="Arial" w:eastAsia="Arial" w:hAnsi="Arial"/>
                <w:b/>
                <w:bCs/>
                <w:color w:val="FFFFFF"/>
                <w:sz w:val="20"/>
                <w:szCs w:val="20"/>
              </w:rPr>
              <w:t xml:space="preserve">Rationale</w:t>
            </w:r>
          </w:p>
        </w:tc>
      </w:tr>
      <w:tr>
        <w:trPr>
          <w:tblHeader w:val="false"/>
        </w:trPr>
        <w:tc>
          <w:tcPr>
            <w:tcW w:type="dxa" w:w="22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spacing w:after="0" w:line="240"/>
            </w:pPr>
            <w:r>
              <w:rPr>
                <w:rFonts w:ascii="Arial" w:cs="Arial" w:eastAsia="Arial" w:hAnsi="Arial"/>
                <w:color w:val="404040"/>
                <w:sz w:val="20"/>
                <w:szCs w:val="20"/>
              </w:rPr>
              <w:t xml:space="preserve">Core computation</w:t>
            </w:r>
          </w:p>
        </w:tc>
        <w:tc>
          <w:tcPr>
            <w:tcW w:type="dxa" w:w="28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spacing w:after="0" w:line="240"/>
            </w:pPr>
            <w:r>
              <w:rPr>
                <w:rFonts w:ascii="Arial" w:cs="Arial" w:eastAsia="Arial" w:hAnsi="Arial"/>
                <w:color w:val="404040"/>
                <w:sz w:val="20"/>
                <w:szCs w:val="20"/>
              </w:rPr>
              <w:t xml:space="preserve">Python 3.11+, NumPy, SciPy</w:t>
            </w:r>
          </w:p>
        </w:tc>
        <w:tc>
          <w:tcPr>
            <w:tcW w:type="dxa" w:w="436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spacing w:after="0" w:line="240"/>
            </w:pPr>
            <w:r>
              <w:rPr>
                <w:rFonts w:ascii="Arial" w:cs="Arial" w:eastAsia="Arial" w:hAnsi="Arial"/>
                <w:color w:val="404040"/>
                <w:sz w:val="20"/>
                <w:szCs w:val="20"/>
              </w:rPr>
              <w:t xml:space="preserve">Standard scientific computing stack</w:t>
            </w:r>
          </w:p>
        </w:tc>
      </w:tr>
      <w:tr>
        <w:trPr>
          <w:tblHeader w:val="false"/>
        </w:trPr>
        <w:tc>
          <w:tcPr>
            <w:tcW w:type="dxa" w:w="22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spacing w:after="0" w:line="240"/>
            </w:pPr>
            <w:r>
              <w:rPr>
                <w:rFonts w:ascii="Arial" w:cs="Arial" w:eastAsia="Arial" w:hAnsi="Arial"/>
                <w:color w:val="404040"/>
                <w:sz w:val="20"/>
                <w:szCs w:val="20"/>
              </w:rPr>
              <w:t xml:space="preserve">Persistent homology</w:t>
            </w:r>
          </w:p>
        </w:tc>
        <w:tc>
          <w:tcPr>
            <w:tcW w:type="dxa" w:w="28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spacing w:after="0" w:line="240"/>
            </w:pPr>
            <w:r>
              <w:rPr>
                <w:rFonts w:ascii="Arial" w:cs="Arial" w:eastAsia="Arial" w:hAnsi="Arial"/>
                <w:color w:val="404040"/>
                <w:sz w:val="20"/>
                <w:szCs w:val="20"/>
              </w:rPr>
              <w:t xml:space="preserve">GUDHI or Ripser.py</w:t>
            </w:r>
          </w:p>
        </w:tc>
        <w:tc>
          <w:tcPr>
            <w:tcW w:type="dxa" w:w="436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spacing w:after="0" w:line="240"/>
            </w:pPr>
            <w:r>
              <w:rPr>
                <w:rFonts w:ascii="Arial" w:cs="Arial" w:eastAsia="Arial" w:hAnsi="Arial"/>
                <w:color w:val="404040"/>
                <w:sz w:val="20"/>
                <w:szCs w:val="20"/>
              </w:rPr>
              <w:t xml:space="preserve">Production TDA libraries; our hand-rolled version is for verification only</w:t>
            </w:r>
          </w:p>
        </w:tc>
      </w:tr>
      <w:tr>
        <w:trPr>
          <w:tblHeader w:val="false"/>
        </w:trPr>
        <w:tc>
          <w:tcPr>
            <w:tcW w:type="dxa" w:w="22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spacing w:after="0" w:line="240"/>
            </w:pPr>
            <w:r>
              <w:rPr>
                <w:rFonts w:ascii="Arial" w:cs="Arial" w:eastAsia="Arial" w:hAnsi="Arial"/>
                <w:color w:val="404040"/>
                <w:sz w:val="20"/>
                <w:szCs w:val="20"/>
              </w:rPr>
              <w:t xml:space="preserve">Visualization</w:t>
            </w:r>
          </w:p>
        </w:tc>
        <w:tc>
          <w:tcPr>
            <w:tcW w:type="dxa" w:w="28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spacing w:after="0" w:line="240"/>
            </w:pPr>
            <w:r>
              <w:rPr>
                <w:rFonts w:ascii="Arial" w:cs="Arial" w:eastAsia="Arial" w:hAnsi="Arial"/>
                <w:color w:val="404040"/>
                <w:sz w:val="20"/>
                <w:szCs w:val="20"/>
              </w:rPr>
              <w:t xml:space="preserve">Matplotlib (publication), Plotly (interactive)</w:t>
            </w:r>
          </w:p>
        </w:tc>
        <w:tc>
          <w:tcPr>
            <w:tcW w:type="dxa" w:w="436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spacing w:after="0" w:line="240"/>
            </w:pPr>
            <w:r>
              <w:rPr>
                <w:rFonts w:ascii="Arial" w:cs="Arial" w:eastAsia="Arial" w:hAnsi="Arial"/>
                <w:color w:val="404040"/>
                <w:sz w:val="20"/>
                <w:szCs w:val="20"/>
              </w:rPr>
              <w:t xml:space="preserve">Dual output: static for papers, interactive for exploration</w:t>
            </w:r>
          </w:p>
        </w:tc>
      </w:tr>
      <w:tr>
        <w:trPr>
          <w:tblHeader w:val="false"/>
        </w:trPr>
        <w:tc>
          <w:tcPr>
            <w:tcW w:type="dxa" w:w="22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spacing w:after="0" w:line="240"/>
            </w:pPr>
            <w:r>
              <w:rPr>
                <w:rFonts w:ascii="Arial" w:cs="Arial" w:eastAsia="Arial" w:hAnsi="Arial"/>
                <w:color w:val="404040"/>
                <w:sz w:val="20"/>
                <w:szCs w:val="20"/>
              </w:rPr>
              <w:t xml:space="preserve">Database queries</w:t>
            </w:r>
          </w:p>
        </w:tc>
        <w:tc>
          <w:tcPr>
            <w:tcW w:type="dxa" w:w="28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spacing w:after="0" w:line="240"/>
            </w:pPr>
            <w:r>
              <w:rPr>
                <w:rFonts w:ascii="Arial" w:cs="Arial" w:eastAsia="Arial" w:hAnsi="Arial"/>
                <w:color w:val="404040"/>
                <w:sz w:val="20"/>
                <w:szCs w:val="20"/>
              </w:rPr>
              <w:t xml:space="preserve">requests + pandas</w:t>
            </w:r>
          </w:p>
        </w:tc>
        <w:tc>
          <w:tcPr>
            <w:tcW w:type="dxa" w:w="436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spacing w:after="0" w:line="240"/>
            </w:pPr>
            <w:r>
              <w:rPr>
                <w:rFonts w:ascii="Arial" w:cs="Arial" w:eastAsia="Arial" w:hAnsi="Arial"/>
                <w:color w:val="404040"/>
                <w:sz w:val="20"/>
                <w:szCs w:val="20"/>
              </w:rPr>
              <w:t xml:space="preserve">COSMIC REST API, cBioPortal API</w:t>
            </w:r>
          </w:p>
        </w:tc>
      </w:tr>
      <w:tr>
        <w:trPr>
          <w:tblHeader w:val="false"/>
        </w:trPr>
        <w:tc>
          <w:tcPr>
            <w:tcW w:type="dxa" w:w="22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spacing w:after="0" w:line="240"/>
            </w:pPr>
            <w:r>
              <w:rPr>
                <w:rFonts w:ascii="Arial" w:cs="Arial" w:eastAsia="Arial" w:hAnsi="Arial"/>
                <w:color w:val="404040"/>
                <w:sz w:val="20"/>
                <w:szCs w:val="20"/>
              </w:rPr>
              <w:t xml:space="preserve">Statistical testing</w:t>
            </w:r>
          </w:p>
        </w:tc>
        <w:tc>
          <w:tcPr>
            <w:tcW w:type="dxa" w:w="28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spacing w:after="0" w:line="240"/>
            </w:pPr>
            <w:r>
              <w:rPr>
                <w:rFonts w:ascii="Arial" w:cs="Arial" w:eastAsia="Arial" w:hAnsi="Arial"/>
                <w:color w:val="404040"/>
                <w:sz w:val="20"/>
                <w:szCs w:val="20"/>
              </w:rPr>
              <w:t xml:space="preserve">SciPy.stats, statsmodels</w:t>
            </w:r>
          </w:p>
        </w:tc>
        <w:tc>
          <w:tcPr>
            <w:tcW w:type="dxa" w:w="436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spacing w:after="0" w:line="240"/>
            </w:pPr>
            <w:r>
              <w:rPr>
                <w:rFonts w:ascii="Arial" w:cs="Arial" w:eastAsia="Arial" w:hAnsi="Arial"/>
                <w:color w:val="404040"/>
                <w:sz w:val="20"/>
                <w:szCs w:val="20"/>
              </w:rPr>
              <w:t xml:space="preserve">Permutation tests, bootstrap CIs, multiple testing correction</w:t>
            </w:r>
          </w:p>
        </w:tc>
      </w:tr>
      <w:tr>
        <w:trPr>
          <w:tblHeader w:val="false"/>
        </w:trPr>
        <w:tc>
          <w:tcPr>
            <w:tcW w:type="dxa" w:w="22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spacing w:after="0" w:line="240"/>
            </w:pPr>
            <w:r>
              <w:rPr>
                <w:rFonts w:ascii="Arial" w:cs="Arial" w:eastAsia="Arial" w:hAnsi="Arial"/>
                <w:color w:val="404040"/>
                <w:sz w:val="20"/>
                <w:szCs w:val="20"/>
              </w:rPr>
              <w:t xml:space="preserve">Documentation</w:t>
            </w:r>
          </w:p>
        </w:tc>
        <w:tc>
          <w:tcPr>
            <w:tcW w:type="dxa" w:w="28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spacing w:after="0" w:line="240"/>
            </w:pPr>
            <w:r>
              <w:rPr>
                <w:rFonts w:ascii="Arial" w:cs="Arial" w:eastAsia="Arial" w:hAnsi="Arial"/>
                <w:color w:val="404040"/>
                <w:sz w:val="20"/>
                <w:szCs w:val="20"/>
              </w:rPr>
              <w:t xml:space="preserve">Sphinx + NumPy-style docstrings</w:t>
            </w:r>
          </w:p>
        </w:tc>
        <w:tc>
          <w:tcPr>
            <w:tcW w:type="dxa" w:w="436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spacing w:after="0" w:line="240"/>
            </w:pPr>
            <w:r>
              <w:rPr>
                <w:rFonts w:ascii="Arial" w:cs="Arial" w:eastAsia="Arial" w:hAnsi="Arial"/>
                <w:color w:val="404040"/>
                <w:sz w:val="20"/>
                <w:szCs w:val="20"/>
              </w:rPr>
              <w:t xml:space="preserve">Standard Python documentation</w:t>
            </w:r>
          </w:p>
        </w:tc>
      </w:tr>
      <w:tr>
        <w:trPr>
          <w:tblHeader w:val="false"/>
        </w:trPr>
        <w:tc>
          <w:tcPr>
            <w:tcW w:type="dxa" w:w="22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spacing w:after="0" w:line="240"/>
            </w:pPr>
            <w:r>
              <w:rPr>
                <w:rFonts w:ascii="Arial" w:cs="Arial" w:eastAsia="Arial" w:hAnsi="Arial"/>
                <w:color w:val="404040"/>
                <w:sz w:val="20"/>
                <w:szCs w:val="20"/>
              </w:rPr>
              <w:t xml:space="preserve">Testing</w:t>
            </w:r>
          </w:p>
        </w:tc>
        <w:tc>
          <w:tcPr>
            <w:tcW w:type="dxa" w:w="28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spacing w:after="0" w:line="240"/>
            </w:pPr>
            <w:r>
              <w:rPr>
                <w:rFonts w:ascii="Arial" w:cs="Arial" w:eastAsia="Arial" w:hAnsi="Arial"/>
                <w:color w:val="404040"/>
                <w:sz w:val="20"/>
                <w:szCs w:val="20"/>
              </w:rPr>
              <w:t xml:space="preserve">pytest + hypothesis</w:t>
            </w:r>
          </w:p>
        </w:tc>
        <w:tc>
          <w:tcPr>
            <w:tcW w:type="dxa" w:w="436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spacing w:after="0" w:line="240"/>
            </w:pPr>
            <w:r>
              <w:rPr>
                <w:rFonts w:ascii="Arial" w:cs="Arial" w:eastAsia="Arial" w:hAnsi="Arial"/>
                <w:color w:val="404040"/>
                <w:sz w:val="20"/>
                <w:szCs w:val="20"/>
              </w:rPr>
              <w:t xml:space="preserve">Property-based testing for mathematical invariants</w:t>
            </w:r>
          </w:p>
        </w:tc>
      </w:tr>
    </w:tbl>
    <w:p>
      <w:r>
        <w:br w:type="page"/>
      </w:r>
    </w:p>
    <w:p>
      <w:pPr>
        <w:pStyle w:val="Heading1"/>
      </w:pPr>
      <w:r>
        <w:t xml:space="preserve">4. Visualization Specifications</w:t>
      </w:r>
    </w:p>
    <w:p>
      <w:pPr>
        <w:spacing w:after="160" w:before="0" w:line="276"/>
      </w:pPr>
      <w:r>
        <w:rPr>
          <w:rFonts w:ascii="Arial" w:cs="Arial" w:eastAsia="Arial" w:hAnsi="Arial"/>
          <w:color w:val="404040"/>
          <w:sz w:val="22"/>
          <w:szCs w:val="22"/>
        </w:rPr>
        <w:t xml:space="preserve">Each workstream produces specific visualizations. All figures must be publication-quality (300 DPI, vector where possible, colorblind-friendly palette, consistent labeling).</w:t>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3960"/>
        <w:gridCol w:w="800"/>
      </w:tblGrid>
      <w:tr>
        <w:trPr>
          <w:tblHeader/>
        </w:trPr>
        <w:tc>
          <w:tcPr>
            <w:tcW w:type="dxa" w:w="1800"/>
            <w:tcBorders>
              <w:top w:val="single" w:color="BFBFBF" w:sz="1"/>
              <w:left w:val="single" w:color="BFBFBF" w:sz="1"/>
              <w:bottom w:val="single" w:color="BFBFBF" w:sz="1"/>
              <w:right w:val="single" w:color="BFBFBF" w:sz="1"/>
            </w:tcBorders>
            <w:shd w:fill="1B2A4A" w:val="clear"/>
            <w:tcMar>
              <w:top w:type="dxa" w:w="80"/>
              <w:left w:type="dxa" w:w="120"/>
              <w:bottom w:type="dxa" w:w="80"/>
              <w:right w:type="dxa" w:w="120"/>
            </w:tcMar>
            <w:vAlign w:val="center"/>
          </w:tcPr>
          <w:p>
            <w:pPr>
              <w:spacing w:after="0" w:line="240"/>
            </w:pPr>
            <w:r>
              <w:rPr>
                <w:rFonts w:ascii="Arial" w:cs="Arial" w:eastAsia="Arial" w:hAnsi="Arial"/>
                <w:b/>
                <w:bCs/>
                <w:color w:val="FFFFFF"/>
                <w:sz w:val="20"/>
                <w:szCs w:val="20"/>
              </w:rPr>
              <w:t xml:space="preserve">Figure</w:t>
            </w:r>
          </w:p>
        </w:tc>
        <w:tc>
          <w:tcPr>
            <w:tcW w:type="dxa" w:w="1800"/>
            <w:tcBorders>
              <w:top w:val="single" w:color="BFBFBF" w:sz="1"/>
              <w:left w:val="single" w:color="BFBFBF" w:sz="1"/>
              <w:bottom w:val="single" w:color="BFBFBF" w:sz="1"/>
              <w:right w:val="single" w:color="BFBFBF" w:sz="1"/>
            </w:tcBorders>
            <w:shd w:fill="1B2A4A" w:val="clear"/>
            <w:tcMar>
              <w:top w:type="dxa" w:w="80"/>
              <w:left w:type="dxa" w:w="120"/>
              <w:bottom w:type="dxa" w:w="80"/>
              <w:right w:type="dxa" w:w="120"/>
            </w:tcMar>
            <w:vAlign w:val="center"/>
          </w:tcPr>
          <w:p>
            <w:pPr>
              <w:spacing w:after="0" w:line="240"/>
            </w:pPr>
            <w:r>
              <w:rPr>
                <w:rFonts w:ascii="Arial" w:cs="Arial" w:eastAsia="Arial" w:hAnsi="Arial"/>
                <w:b/>
                <w:bCs/>
                <w:color w:val="FFFFFF"/>
                <w:sz w:val="20"/>
                <w:szCs w:val="20"/>
              </w:rPr>
              <w:t xml:space="preserve">Type</w:t>
            </w:r>
          </w:p>
        </w:tc>
        <w:tc>
          <w:tcPr>
            <w:tcW w:type="dxa" w:w="3960"/>
            <w:tcBorders>
              <w:top w:val="single" w:color="BFBFBF" w:sz="1"/>
              <w:left w:val="single" w:color="BFBFBF" w:sz="1"/>
              <w:bottom w:val="single" w:color="BFBFBF" w:sz="1"/>
              <w:right w:val="single" w:color="BFBFBF" w:sz="1"/>
            </w:tcBorders>
            <w:shd w:fill="1B2A4A" w:val="clear"/>
            <w:tcMar>
              <w:top w:type="dxa" w:w="80"/>
              <w:left w:type="dxa" w:w="120"/>
              <w:bottom w:type="dxa" w:w="80"/>
              <w:right w:type="dxa" w:w="120"/>
            </w:tcMar>
            <w:vAlign w:val="center"/>
          </w:tcPr>
          <w:p>
            <w:pPr>
              <w:spacing w:after="0" w:line="240"/>
            </w:pPr>
            <w:r>
              <w:rPr>
                <w:rFonts w:ascii="Arial" w:cs="Arial" w:eastAsia="Arial" w:hAnsi="Arial"/>
                <w:b/>
                <w:bCs/>
                <w:color w:val="FFFFFF"/>
                <w:sz w:val="20"/>
                <w:szCs w:val="20"/>
              </w:rPr>
              <w:t xml:space="preserve">Description</w:t>
            </w:r>
          </w:p>
        </w:tc>
        <w:tc>
          <w:tcPr>
            <w:tcW w:type="dxa" w:w="800"/>
            <w:tcBorders>
              <w:top w:val="single" w:color="BFBFBF" w:sz="1"/>
              <w:left w:val="single" w:color="BFBFBF" w:sz="1"/>
              <w:bottom w:val="single" w:color="BFBFBF" w:sz="1"/>
              <w:right w:val="single" w:color="BFBFBF" w:sz="1"/>
            </w:tcBorders>
            <w:shd w:fill="1B2A4A" w:val="clear"/>
            <w:tcMar>
              <w:top w:type="dxa" w:w="80"/>
              <w:left w:type="dxa" w:w="120"/>
              <w:bottom w:type="dxa" w:w="80"/>
              <w:right w:type="dxa" w:w="120"/>
            </w:tcMar>
            <w:vAlign w:val="center"/>
          </w:tcPr>
          <w:p>
            <w:pPr>
              <w:spacing w:after="0" w:line="240"/>
            </w:pPr>
            <w:r>
              <w:rPr>
                <w:rFonts w:ascii="Arial" w:cs="Arial" w:eastAsia="Arial" w:hAnsi="Arial"/>
                <w:b/>
                <w:bCs/>
                <w:color w:val="FFFFFF"/>
                <w:sz w:val="20"/>
                <w:szCs w:val="20"/>
              </w:rPr>
              <w:t xml:space="preserve">WS</w:t>
            </w:r>
          </w:p>
        </w:tc>
      </w:tr>
      <w:tr>
        <w:trPr>
          <w:tblHeader w:val="false"/>
        </w:trPr>
        <w:tc>
          <w:tcPr>
            <w:tcW w:type="dxa" w:w="18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spacing w:after="0" w:line="240"/>
            </w:pPr>
            <w:r>
              <w:rPr>
                <w:rFonts w:ascii="Arial" w:cs="Arial" w:eastAsia="Arial" w:hAnsi="Arial"/>
                <w:color w:val="404040"/>
                <w:sz w:val="20"/>
                <w:szCs w:val="20"/>
              </w:rPr>
              <w:t xml:space="preserve">Hypercube projection</w:t>
            </w:r>
          </w:p>
        </w:tc>
        <w:tc>
          <w:tcPr>
            <w:tcW w:type="dxa" w:w="18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spacing w:after="0" w:line="240"/>
            </w:pPr>
            <w:r>
              <w:rPr>
                <w:rFonts w:ascii="Arial" w:cs="Arial" w:eastAsia="Arial" w:hAnsi="Arial"/>
                <w:color w:val="404040"/>
                <w:sz w:val="20"/>
                <w:szCs w:val="20"/>
              </w:rPr>
              <w:t xml:space="preserve">2D/3D scatter</w:t>
            </w:r>
          </w:p>
        </w:tc>
        <w:tc>
          <w:tcPr>
            <w:tcW w:type="dxa" w:w="396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spacing w:after="0" w:line="240"/>
            </w:pPr>
            <w:r>
              <w:rPr>
                <w:rFonts w:ascii="Arial" w:cs="Arial" w:eastAsia="Arial" w:hAnsi="Arial"/>
                <w:color w:val="404040"/>
                <w:sz w:val="20"/>
                <w:szCs w:val="20"/>
              </w:rPr>
              <w:t xml:space="preserve">All 64 codons projected from GF(2)⁶ to 2D/3D via PCA or t-SNE, colored by amino acid. Highlight disconnected blocks.</w:t>
            </w:r>
          </w:p>
        </w:tc>
        <w:tc>
          <w:tcPr>
            <w:tcW w:type="dxa" w:w="8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spacing w:after="0" w:line="240"/>
            </w:pPr>
            <w:r>
              <w:rPr>
                <w:rFonts w:ascii="Arial" w:cs="Arial" w:eastAsia="Arial" w:hAnsi="Arial"/>
                <w:color w:val="404040"/>
                <w:sz w:val="20"/>
                <w:szCs w:val="20"/>
              </w:rPr>
              <w:t xml:space="preserve">WS1</w:t>
            </w:r>
          </w:p>
        </w:tc>
      </w:tr>
      <w:tr>
        <w:trPr>
          <w:tblHeader w:val="false"/>
        </w:trPr>
        <w:tc>
          <w:tcPr>
            <w:tcW w:type="dxa" w:w="18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spacing w:after="0" w:line="240"/>
            </w:pPr>
            <w:r>
              <w:rPr>
                <w:rFonts w:ascii="Arial" w:cs="Arial" w:eastAsia="Arial" w:hAnsi="Arial"/>
                <w:color w:val="404040"/>
                <w:sz w:val="20"/>
                <w:szCs w:val="20"/>
              </w:rPr>
              <w:t xml:space="preserve">Persistent homology barcodes</w:t>
            </w:r>
          </w:p>
        </w:tc>
        <w:tc>
          <w:tcPr>
            <w:tcW w:type="dxa" w:w="18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spacing w:after="0" w:line="240"/>
            </w:pPr>
            <w:r>
              <w:rPr>
                <w:rFonts w:ascii="Arial" w:cs="Arial" w:eastAsia="Arial" w:hAnsi="Arial"/>
                <w:color w:val="404040"/>
                <w:sz w:val="20"/>
                <w:szCs w:val="20"/>
              </w:rPr>
              <w:t xml:space="preserve">Barcode diagram</w:t>
            </w:r>
          </w:p>
        </w:tc>
        <w:tc>
          <w:tcPr>
            <w:tcW w:type="dxa" w:w="396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spacing w:after="0" w:line="240"/>
            </w:pPr>
            <w:r>
              <w:rPr>
                <w:rFonts w:ascii="Arial" w:cs="Arial" w:eastAsia="Arial" w:hAnsi="Arial"/>
                <w:color w:val="404040"/>
                <w:sz w:val="20"/>
                <w:szCs w:val="20"/>
              </w:rPr>
              <w:t xml:space="preserve">For each amino acid, show birth/death of connected components as ε increases. Serine’s long bar at ε=4 should be visually prominent.</w:t>
            </w:r>
          </w:p>
        </w:tc>
        <w:tc>
          <w:tcPr>
            <w:tcW w:type="dxa" w:w="8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spacing w:after="0" w:line="240"/>
            </w:pPr>
            <w:r>
              <w:rPr>
                <w:rFonts w:ascii="Arial" w:cs="Arial" w:eastAsia="Arial" w:hAnsi="Arial"/>
                <w:color w:val="404040"/>
                <w:sz w:val="20"/>
                <w:szCs w:val="20"/>
              </w:rPr>
              <w:t xml:space="preserve">WS1</w:t>
            </w:r>
          </w:p>
        </w:tc>
      </w:tr>
      <w:tr>
        <w:trPr>
          <w:tblHeader w:val="false"/>
        </w:trPr>
        <w:tc>
          <w:tcPr>
            <w:tcW w:type="dxa" w:w="18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spacing w:after="0" w:line="240"/>
            </w:pPr>
            <w:r>
              <w:rPr>
                <w:rFonts w:ascii="Arial" w:cs="Arial" w:eastAsia="Arial" w:hAnsi="Arial"/>
                <w:color w:val="404040"/>
                <w:sz w:val="20"/>
                <w:szCs w:val="20"/>
              </w:rPr>
              <w:t xml:space="preserve">Filtration heatmap</w:t>
            </w:r>
          </w:p>
        </w:tc>
        <w:tc>
          <w:tcPr>
            <w:tcW w:type="dxa" w:w="18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spacing w:after="0" w:line="240"/>
            </w:pPr>
            <w:r>
              <w:rPr>
                <w:rFonts w:ascii="Arial" w:cs="Arial" w:eastAsia="Arial" w:hAnsi="Arial"/>
                <w:color w:val="404040"/>
                <w:sz w:val="20"/>
                <w:szCs w:val="20"/>
              </w:rPr>
              <w:t xml:space="preserve">Heatmap (23 codes × 20 AA)</w:t>
            </w:r>
          </w:p>
        </w:tc>
        <w:tc>
          <w:tcPr>
            <w:tcW w:type="dxa" w:w="396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spacing w:after="0" w:line="240"/>
            </w:pPr>
            <w:r>
              <w:rPr>
                <w:rFonts w:ascii="Arial" w:cs="Arial" w:eastAsia="Arial" w:hAnsi="Arial"/>
                <w:color w:val="404040"/>
                <w:sz w:val="20"/>
                <w:szCs w:val="20"/>
              </w:rPr>
              <w:t xml:space="preserve">Color cells by ε_reconnect. White = connected. Gradient blue→red for increasing ε. Serine column should be uniformly red.</w:t>
            </w:r>
          </w:p>
        </w:tc>
        <w:tc>
          <w:tcPr>
            <w:tcW w:type="dxa" w:w="8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spacing w:after="0" w:line="240"/>
            </w:pPr>
            <w:r>
              <w:rPr>
                <w:rFonts w:ascii="Arial" w:cs="Arial" w:eastAsia="Arial" w:hAnsi="Arial"/>
                <w:color w:val="404040"/>
                <w:sz w:val="20"/>
                <w:szCs w:val="20"/>
              </w:rPr>
              <w:t xml:space="preserve">WS1</w:t>
            </w:r>
          </w:p>
        </w:tc>
      </w:tr>
      <w:tr>
        <w:trPr>
          <w:tblHeader w:val="false"/>
        </w:trPr>
        <w:tc>
          <w:tcPr>
            <w:tcW w:type="dxa" w:w="18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spacing w:after="0" w:line="240"/>
            </w:pPr>
            <w:r>
              <w:rPr>
                <w:rFonts w:ascii="Arial" w:cs="Arial" w:eastAsia="Arial" w:hAnsi="Arial"/>
                <w:color w:val="404040"/>
                <w:sz w:val="20"/>
                <w:szCs w:val="20"/>
              </w:rPr>
              <w:t xml:space="preserve">Null model distributions</w:t>
            </w:r>
          </w:p>
        </w:tc>
        <w:tc>
          <w:tcPr>
            <w:tcW w:type="dxa" w:w="18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spacing w:after="0" w:line="240"/>
            </w:pPr>
            <w:r>
              <w:rPr>
                <w:rFonts w:ascii="Arial" w:cs="Arial" w:eastAsia="Arial" w:hAnsi="Arial"/>
                <w:color w:val="404040"/>
                <w:sz w:val="20"/>
                <w:szCs w:val="20"/>
              </w:rPr>
              <w:t xml:space="preserve">Histogram + observed marker</w:t>
            </w:r>
          </w:p>
        </w:tc>
        <w:tc>
          <w:tcPr>
            <w:tcW w:type="dxa" w:w="396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spacing w:after="0" w:line="240"/>
            </w:pPr>
            <w:r>
              <w:rPr>
                <w:rFonts w:ascii="Arial" w:cs="Arial" w:eastAsia="Arial" w:hAnsi="Arial"/>
                <w:color w:val="404040"/>
                <w:sz w:val="20"/>
                <w:szCs w:val="20"/>
              </w:rPr>
              <w:t xml:space="preserve">Distribution of filtration scores under each null model, with observed value marked. P-value annotation.</w:t>
            </w:r>
          </w:p>
        </w:tc>
        <w:tc>
          <w:tcPr>
            <w:tcW w:type="dxa" w:w="8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spacing w:after="0" w:line="240"/>
            </w:pPr>
            <w:r>
              <w:rPr>
                <w:rFonts w:ascii="Arial" w:cs="Arial" w:eastAsia="Arial" w:hAnsi="Arial"/>
                <w:color w:val="404040"/>
                <w:sz w:val="20"/>
                <w:szCs w:val="20"/>
              </w:rPr>
              <w:t xml:space="preserve">WS1</w:t>
            </w:r>
          </w:p>
        </w:tc>
      </w:tr>
      <w:tr>
        <w:trPr>
          <w:tblHeader w:val="false"/>
        </w:trPr>
        <w:tc>
          <w:tcPr>
            <w:tcW w:type="dxa" w:w="18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spacing w:after="0" w:line="240"/>
            </w:pPr>
            <w:r>
              <w:rPr>
                <w:rFonts w:ascii="Arial" w:cs="Arial" w:eastAsia="Arial" w:hAnsi="Arial"/>
                <w:color w:val="404040"/>
                <w:sz w:val="20"/>
                <w:szCs w:val="20"/>
              </w:rPr>
              <w:t xml:space="preserve">Reassignment flow diagram</w:t>
            </w:r>
          </w:p>
        </w:tc>
        <w:tc>
          <w:tcPr>
            <w:tcW w:type="dxa" w:w="18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spacing w:after="0" w:line="240"/>
            </w:pPr>
            <w:r>
              <w:rPr>
                <w:rFonts w:ascii="Arial" w:cs="Arial" w:eastAsia="Arial" w:hAnsi="Arial"/>
                <w:color w:val="404040"/>
                <w:sz w:val="20"/>
                <w:szCs w:val="20"/>
              </w:rPr>
              <w:t xml:space="preserve">Directed graph on hypercube</w:t>
            </w:r>
          </w:p>
        </w:tc>
        <w:tc>
          <w:tcPr>
            <w:tcW w:type="dxa" w:w="396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spacing w:after="0" w:line="240"/>
            </w:pPr>
            <w:r>
              <w:rPr>
                <w:rFonts w:ascii="Arial" w:cs="Arial" w:eastAsia="Arial" w:hAnsi="Arial"/>
                <w:color w:val="404040"/>
                <w:sz w:val="20"/>
                <w:szCs w:val="20"/>
              </w:rPr>
              <w:t xml:space="preserve">Arrows showing known reassignments overlaid on hypercube projection. Edge color = Hamming distance.</w:t>
            </w:r>
          </w:p>
        </w:tc>
        <w:tc>
          <w:tcPr>
            <w:tcW w:type="dxa" w:w="8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spacing w:after="0" w:line="240"/>
            </w:pPr>
            <w:r>
              <w:rPr>
                <w:rFonts w:ascii="Arial" w:cs="Arial" w:eastAsia="Arial" w:hAnsi="Arial"/>
                <w:color w:val="404040"/>
                <w:sz w:val="20"/>
                <w:szCs w:val="20"/>
              </w:rPr>
              <w:t xml:space="preserve">WS2</w:t>
            </w:r>
          </w:p>
        </w:tc>
      </w:tr>
      <w:tr>
        <w:trPr>
          <w:tblHeader w:val="false"/>
        </w:trPr>
        <w:tc>
          <w:tcPr>
            <w:tcW w:type="dxa" w:w="18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spacing w:after="0" w:line="240"/>
            </w:pPr>
            <w:r>
              <w:rPr>
                <w:rFonts w:ascii="Arial" w:cs="Arial" w:eastAsia="Arial" w:hAnsi="Arial"/>
                <w:b w:val="false"/>
                <w:bCs w:val="false"/>
                <w:color w:val="404040"/>
                <w:sz w:val="20"/>
                <w:szCs w:val="20"/>
              </w:rPr>
              <w:t xml:space="preserve">ℂ³ embedding</w:t>
            </w:r>
          </w:p>
        </w:tc>
        <w:tc>
          <w:tcPr>
            <w:tcW w:type="dxa" w:w="18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spacing w:after="0" w:line="240"/>
            </w:pPr>
            <w:r>
              <w:rPr>
                <w:rFonts w:ascii="Arial" w:cs="Arial" w:eastAsia="Arial" w:hAnsi="Arial"/>
                <w:color w:val="404040"/>
                <w:sz w:val="20"/>
                <w:szCs w:val="20"/>
              </w:rPr>
              <w:t xml:space="preserve">3D scatter (interactive)</w:t>
            </w:r>
          </w:p>
        </w:tc>
        <w:tc>
          <w:tcPr>
            <w:tcW w:type="dxa" w:w="396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spacing w:after="0" w:line="240"/>
            </w:pPr>
            <w:r>
              <w:rPr>
                <w:rFonts w:ascii="Arial" w:cs="Arial" w:eastAsia="Arial" w:hAnsi="Arial"/>
                <w:color w:val="404040"/>
                <w:sz w:val="20"/>
                <w:szCs w:val="20"/>
              </w:rPr>
              <w:t xml:space="preserve">Codons in complex 3-space, colored by amino acid. Serine blocks highlighted. Rotatable.</w:t>
            </w:r>
          </w:p>
        </w:tc>
        <w:tc>
          <w:tcPr>
            <w:tcW w:type="dxa" w:w="8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spacing w:after="0" w:line="240"/>
            </w:pPr>
            <w:r>
              <w:rPr>
                <w:rFonts w:ascii="Arial" w:cs="Arial" w:eastAsia="Arial" w:hAnsi="Arial"/>
                <w:color w:val="404040"/>
                <w:sz w:val="20"/>
                <w:szCs w:val="20"/>
              </w:rPr>
              <w:t xml:space="preserve">WS1</w:t>
            </w:r>
          </w:p>
        </w:tc>
      </w:tr>
      <w:tr>
        <w:trPr>
          <w:tblHeader w:val="false"/>
        </w:trPr>
        <w:tc>
          <w:tcPr>
            <w:tcW w:type="dxa" w:w="18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spacing w:after="0" w:line="240"/>
            </w:pPr>
            <w:r>
              <w:rPr>
                <w:rFonts w:ascii="Arial" w:cs="Arial" w:eastAsia="Arial" w:hAnsi="Arial"/>
                <w:color w:val="404040"/>
                <w:sz w:val="20"/>
                <w:szCs w:val="20"/>
              </w:rPr>
              <w:t xml:space="preserve">KRAS Fano network</w:t>
            </w:r>
          </w:p>
        </w:tc>
        <w:tc>
          <w:tcPr>
            <w:tcW w:type="dxa" w:w="18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spacing w:after="0" w:line="240"/>
            </w:pPr>
            <w:r>
              <w:rPr>
                <w:rFonts w:ascii="Arial" w:cs="Arial" w:eastAsia="Arial" w:hAnsi="Arial"/>
                <w:color w:val="404040"/>
                <w:sz w:val="20"/>
                <w:szCs w:val="20"/>
              </w:rPr>
              <w:t xml:space="preserve">Network diagram</w:t>
            </w:r>
          </w:p>
        </w:tc>
        <w:tc>
          <w:tcPr>
            <w:tcW w:type="dxa" w:w="396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spacing w:after="0" w:line="240"/>
            </w:pPr>
            <w:r>
              <w:rPr>
                <w:rFonts w:ascii="Arial" w:cs="Arial" w:eastAsia="Arial" w:hAnsi="Arial"/>
                <w:color w:val="404040"/>
                <w:sz w:val="20"/>
                <w:szCs w:val="20"/>
              </w:rPr>
              <w:t xml:space="preserve">All single-bit mutations from key driver codons with Fano-line partners annotated.</w:t>
            </w:r>
          </w:p>
        </w:tc>
        <w:tc>
          <w:tcPr>
            <w:tcW w:type="dxa" w:w="8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spacing w:after="0" w:line="240"/>
            </w:pPr>
            <w:r>
              <w:rPr>
                <w:rFonts w:ascii="Arial" w:cs="Arial" w:eastAsia="Arial" w:hAnsi="Arial"/>
                <w:color w:val="404040"/>
                <w:sz w:val="20"/>
                <w:szCs w:val="20"/>
              </w:rPr>
              <w:t xml:space="preserve">WS4</w:t>
            </w:r>
          </w:p>
        </w:tc>
      </w:tr>
      <w:tr>
        <w:trPr>
          <w:tblHeader w:val="false"/>
        </w:trPr>
        <w:tc>
          <w:tcPr>
            <w:tcW w:type="dxa" w:w="18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spacing w:after="0" w:line="240"/>
            </w:pPr>
            <w:r>
              <w:rPr>
                <w:rFonts w:ascii="Arial" w:cs="Arial" w:eastAsia="Arial" w:hAnsi="Arial"/>
                <w:color w:val="404040"/>
                <w:sz w:val="20"/>
                <w:szCs w:val="20"/>
              </w:rPr>
              <w:t xml:space="preserve">Co-occurrence matrix</w:t>
            </w:r>
          </w:p>
        </w:tc>
        <w:tc>
          <w:tcPr>
            <w:tcW w:type="dxa" w:w="18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spacing w:after="0" w:line="240"/>
            </w:pPr>
            <w:r>
              <w:rPr>
                <w:rFonts w:ascii="Arial" w:cs="Arial" w:eastAsia="Arial" w:hAnsi="Arial"/>
                <w:color w:val="404040"/>
                <w:sz w:val="20"/>
                <w:szCs w:val="20"/>
              </w:rPr>
              <w:t xml:space="preserve">Heatmap</w:t>
            </w:r>
          </w:p>
        </w:tc>
        <w:tc>
          <w:tcPr>
            <w:tcW w:type="dxa" w:w="396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spacing w:after="0" w:line="240"/>
            </w:pPr>
            <w:r>
              <w:rPr>
                <w:rFonts w:ascii="Arial" w:cs="Arial" w:eastAsia="Arial" w:hAnsi="Arial"/>
                <w:color w:val="404040"/>
                <w:sz w:val="20"/>
                <w:szCs w:val="20"/>
              </w:rPr>
              <w:t xml:space="preserve">Fano-line partner co-occurrence enrichment across COSMIC, with significance stars.</w:t>
            </w:r>
          </w:p>
        </w:tc>
        <w:tc>
          <w:tcPr>
            <w:tcW w:type="dxa" w:w="8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spacing w:after="0" w:line="240"/>
            </w:pPr>
            <w:r>
              <w:rPr>
                <w:rFonts w:ascii="Arial" w:cs="Arial" w:eastAsia="Arial" w:hAnsi="Arial"/>
                <w:color w:val="404040"/>
                <w:sz w:val="20"/>
                <w:szCs w:val="20"/>
              </w:rPr>
              <w:t xml:space="preserve">WS4</w:t>
            </w:r>
          </w:p>
        </w:tc>
      </w:tr>
      <w:tr>
        <w:trPr>
          <w:tblHeader w:val="false"/>
        </w:trPr>
        <w:tc>
          <w:tcPr>
            <w:tcW w:type="dxa" w:w="18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spacing w:after="0" w:line="240"/>
            </w:pPr>
            <w:r>
              <w:rPr>
                <w:rFonts w:ascii="Arial" w:cs="Arial" w:eastAsia="Arial" w:hAnsi="Arial"/>
                <w:color w:val="404040"/>
                <w:sz w:val="20"/>
                <w:szCs w:val="20"/>
              </w:rPr>
              <w:t xml:space="preserve">Stability vs. geometry</w:t>
            </w:r>
          </w:p>
        </w:tc>
        <w:tc>
          <w:tcPr>
            <w:tcW w:type="dxa" w:w="18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spacing w:after="0" w:line="240"/>
            </w:pPr>
            <w:r>
              <w:rPr>
                <w:rFonts w:ascii="Arial" w:cs="Arial" w:eastAsia="Arial" w:hAnsi="Arial"/>
                <w:color w:val="404040"/>
                <w:sz w:val="20"/>
                <w:szCs w:val="20"/>
              </w:rPr>
              <w:t xml:space="preserve">Scatter + regression</w:t>
            </w:r>
          </w:p>
        </w:tc>
        <w:tc>
          <w:tcPr>
            <w:tcW w:type="dxa" w:w="396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spacing w:after="0" w:line="240"/>
            </w:pPr>
            <w:r>
              <w:rPr>
                <w:rFonts w:ascii="Arial" w:cs="Arial" w:eastAsia="Arial" w:hAnsi="Arial"/>
                <w:color w:val="404040"/>
                <w:sz w:val="20"/>
                <w:szCs w:val="20"/>
              </w:rPr>
              <w:t xml:space="preserve">Published reassignment stability vs. geometric compatibility score.</w:t>
            </w:r>
          </w:p>
        </w:tc>
        <w:tc>
          <w:tcPr>
            <w:tcW w:type="dxa" w:w="8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spacing w:after="0" w:line="240"/>
            </w:pPr>
            <w:r>
              <w:rPr>
                <w:rFonts w:ascii="Arial" w:cs="Arial" w:eastAsia="Arial" w:hAnsi="Arial"/>
                <w:color w:val="404040"/>
                <w:sz w:val="20"/>
                <w:szCs w:val="20"/>
              </w:rPr>
              <w:t xml:space="preserve">WS6</w:t>
            </w:r>
          </w:p>
        </w:tc>
      </w:tr>
      <w:tr>
        <w:trPr>
          <w:tblHeader w:val="false"/>
        </w:trPr>
        <w:tc>
          <w:tcPr>
            <w:tcW w:type="dxa" w:w="18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spacing w:after="0" w:line="240"/>
            </w:pPr>
            <w:r>
              <w:rPr>
                <w:rFonts w:ascii="Arial" w:cs="Arial" w:eastAsia="Arial" w:hAnsi="Arial"/>
                <w:b w:val="false"/>
                <w:bCs w:val="false"/>
                <w:color w:val="404040"/>
                <w:sz w:val="20"/>
                <w:szCs w:val="20"/>
              </w:rPr>
              <w:t xml:space="preserve">Evolutionary depth calibration</w:t>
            </w:r>
          </w:p>
        </w:tc>
        <w:tc>
          <w:tcPr>
            <w:tcW w:type="dxa" w:w="18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spacing w:after="0" w:line="240"/>
            </w:pPr>
            <w:r>
              <w:rPr>
                <w:rFonts w:ascii="Arial" w:cs="Arial" w:eastAsia="Arial" w:hAnsi="Arial"/>
                <w:color w:val="404040"/>
                <w:sz w:val="20"/>
                <w:szCs w:val="20"/>
              </w:rPr>
              <w:t xml:space="preserve">Scatter + error bars</w:t>
            </w:r>
          </w:p>
        </w:tc>
        <w:tc>
          <w:tcPr>
            <w:tcW w:type="dxa" w:w="396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spacing w:after="0" w:line="240"/>
            </w:pPr>
            <w:r>
              <w:rPr>
                <w:rFonts w:ascii="Arial" w:cs="Arial" w:eastAsia="Arial" w:hAnsi="Arial"/>
                <w:color w:val="404040"/>
                <w:sz w:val="20"/>
                <w:szCs w:val="20"/>
              </w:rPr>
              <w:t xml:space="preserve">ε_reconnect vs. estimated evolutionary age (Mya), with confidence intervals.</w:t>
            </w:r>
          </w:p>
        </w:tc>
        <w:tc>
          <w:tcPr>
            <w:tcW w:type="dxa" w:w="8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spacing w:after="0" w:line="240"/>
            </w:pPr>
            <w:r>
              <w:rPr>
                <w:rFonts w:ascii="Arial" w:cs="Arial" w:eastAsia="Arial" w:hAnsi="Arial"/>
                <w:color w:val="404040"/>
                <w:sz w:val="20"/>
                <w:szCs w:val="20"/>
              </w:rPr>
              <w:t xml:space="preserve">WS3</w:t>
            </w:r>
          </w:p>
        </w:tc>
      </w:tr>
    </w:tbl>
    <w:p>
      <w:r>
        <w:br w:type="page"/>
      </w:r>
    </w:p>
    <w:p>
      <w:pPr>
        <w:pStyle w:val="Heading1"/>
      </w:pPr>
      <w:r>
        <w:t xml:space="preserve">5. Timeline and Dependencies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2600"/>
        <w:gridCol w:w="1200"/>
        <w:gridCol w:w="2060"/>
        <w:gridCol w:w="2400"/>
      </w:tblGrid>
      <w:tr>
        <w:trPr>
          <w:tblHeader/>
        </w:trPr>
        <w:tc>
          <w:tcPr>
            <w:tcW w:type="dxa" w:w="1100"/>
            <w:tcBorders>
              <w:top w:val="single" w:color="BFBFBF" w:sz="1"/>
              <w:left w:val="single" w:color="BFBFBF" w:sz="1"/>
              <w:bottom w:val="single" w:color="BFBFBF" w:sz="1"/>
              <w:right w:val="single" w:color="BFBFBF" w:sz="1"/>
            </w:tcBorders>
            <w:shd w:fill="1B2A4A" w:val="clear"/>
            <w:tcMar>
              <w:top w:type="dxa" w:w="80"/>
              <w:left w:type="dxa" w:w="120"/>
              <w:bottom w:type="dxa" w:w="80"/>
              <w:right w:type="dxa" w:w="120"/>
            </w:tcMar>
            <w:vAlign w:val="center"/>
          </w:tcPr>
          <w:p>
            <w:pPr>
              <w:spacing w:after="0" w:line="240"/>
            </w:pPr>
            <w:r>
              <w:rPr>
                <w:rFonts w:ascii="Arial" w:cs="Arial" w:eastAsia="Arial" w:hAnsi="Arial"/>
                <w:b/>
                <w:bCs/>
                <w:color w:val="FFFFFF"/>
                <w:sz w:val="20"/>
                <w:szCs w:val="20"/>
              </w:rPr>
              <w:t xml:space="preserve">Phase</w:t>
            </w:r>
          </w:p>
        </w:tc>
        <w:tc>
          <w:tcPr>
            <w:tcW w:type="dxa" w:w="2600"/>
            <w:tcBorders>
              <w:top w:val="single" w:color="BFBFBF" w:sz="1"/>
              <w:left w:val="single" w:color="BFBFBF" w:sz="1"/>
              <w:bottom w:val="single" w:color="BFBFBF" w:sz="1"/>
              <w:right w:val="single" w:color="BFBFBF" w:sz="1"/>
            </w:tcBorders>
            <w:shd w:fill="1B2A4A" w:val="clear"/>
            <w:tcMar>
              <w:top w:type="dxa" w:w="80"/>
              <w:left w:type="dxa" w:w="120"/>
              <w:bottom w:type="dxa" w:w="80"/>
              <w:right w:type="dxa" w:w="120"/>
            </w:tcMar>
            <w:vAlign w:val="center"/>
          </w:tcPr>
          <w:p>
            <w:pPr>
              <w:spacing w:after="0" w:line="240"/>
            </w:pPr>
            <w:r>
              <w:rPr>
                <w:rFonts w:ascii="Arial" w:cs="Arial" w:eastAsia="Arial" w:hAnsi="Arial"/>
                <w:b/>
                <w:bCs/>
                <w:color w:val="FFFFFF"/>
                <w:sz w:val="20"/>
                <w:szCs w:val="20"/>
              </w:rPr>
              <w:t xml:space="preserve">Workstream</w:t>
            </w:r>
          </w:p>
        </w:tc>
        <w:tc>
          <w:tcPr>
            <w:tcW w:type="dxa" w:w="1200"/>
            <w:tcBorders>
              <w:top w:val="single" w:color="BFBFBF" w:sz="1"/>
              <w:left w:val="single" w:color="BFBFBF" w:sz="1"/>
              <w:bottom w:val="single" w:color="BFBFBF" w:sz="1"/>
              <w:right w:val="single" w:color="BFBFBF" w:sz="1"/>
            </w:tcBorders>
            <w:shd w:fill="1B2A4A" w:val="clear"/>
            <w:tcMar>
              <w:top w:type="dxa" w:w="80"/>
              <w:left w:type="dxa" w:w="120"/>
              <w:bottom w:type="dxa" w:w="80"/>
              <w:right w:type="dxa" w:w="120"/>
            </w:tcMar>
            <w:vAlign w:val="center"/>
          </w:tcPr>
          <w:p>
            <w:pPr>
              <w:spacing w:after="0" w:line="240"/>
            </w:pPr>
            <w:r>
              <w:rPr>
                <w:rFonts w:ascii="Arial" w:cs="Arial" w:eastAsia="Arial" w:hAnsi="Arial"/>
                <w:b/>
                <w:bCs/>
                <w:color w:val="FFFFFF"/>
                <w:sz w:val="20"/>
                <w:szCs w:val="20"/>
              </w:rPr>
              <w:t xml:space="preserve">Duration</w:t>
            </w:r>
          </w:p>
        </w:tc>
        <w:tc>
          <w:tcPr>
            <w:tcW w:type="dxa" w:w="2060"/>
            <w:tcBorders>
              <w:top w:val="single" w:color="BFBFBF" w:sz="1"/>
              <w:left w:val="single" w:color="BFBFBF" w:sz="1"/>
              <w:bottom w:val="single" w:color="BFBFBF" w:sz="1"/>
              <w:right w:val="single" w:color="BFBFBF" w:sz="1"/>
            </w:tcBorders>
            <w:shd w:fill="1B2A4A" w:val="clear"/>
            <w:tcMar>
              <w:top w:type="dxa" w:w="80"/>
              <w:left w:type="dxa" w:w="120"/>
              <w:bottom w:type="dxa" w:w="80"/>
              <w:right w:type="dxa" w:w="120"/>
            </w:tcMar>
            <w:vAlign w:val="center"/>
          </w:tcPr>
          <w:p>
            <w:pPr>
              <w:spacing w:after="0" w:line="240"/>
            </w:pPr>
            <w:r>
              <w:rPr>
                <w:rFonts w:ascii="Arial" w:cs="Arial" w:eastAsia="Arial" w:hAnsi="Arial"/>
                <w:b/>
                <w:bCs/>
                <w:color w:val="FFFFFF"/>
                <w:sz w:val="20"/>
                <w:szCs w:val="20"/>
              </w:rPr>
              <w:t xml:space="preserve">Dependencies</w:t>
            </w:r>
          </w:p>
        </w:tc>
        <w:tc>
          <w:tcPr>
            <w:tcW w:type="dxa" w:w="2400"/>
            <w:tcBorders>
              <w:top w:val="single" w:color="BFBFBF" w:sz="1"/>
              <w:left w:val="single" w:color="BFBFBF" w:sz="1"/>
              <w:bottom w:val="single" w:color="BFBFBF" w:sz="1"/>
              <w:right w:val="single" w:color="BFBFBF" w:sz="1"/>
            </w:tcBorders>
            <w:shd w:fill="1B2A4A" w:val="clear"/>
            <w:tcMar>
              <w:top w:type="dxa" w:w="80"/>
              <w:left w:type="dxa" w:w="120"/>
              <w:bottom w:type="dxa" w:w="80"/>
              <w:right w:type="dxa" w:w="120"/>
            </w:tcMar>
            <w:vAlign w:val="center"/>
          </w:tcPr>
          <w:p>
            <w:pPr>
              <w:spacing w:after="0" w:line="240"/>
            </w:pPr>
            <w:r>
              <w:rPr>
                <w:rFonts w:ascii="Arial" w:cs="Arial" w:eastAsia="Arial" w:hAnsi="Arial"/>
                <w:b/>
                <w:bCs/>
                <w:color w:val="FFFFFF"/>
                <w:sz w:val="20"/>
                <w:szCs w:val="20"/>
              </w:rPr>
              <w:t xml:space="preserve">Deliverable</w:t>
            </w:r>
          </w:p>
        </w:tc>
      </w:tr>
      <w:tr>
        <w:trPr>
          <w:tblHeader w:val="false"/>
        </w:trPr>
        <w:tc>
          <w:tcPr>
            <w:tcW w:type="dxa" w:w="1100"/>
            <w:tcBorders>
              <w:top w:val="single" w:color="BFBFBF" w:sz="1"/>
              <w:left w:val="single" w:color="BFBFBF" w:sz="1"/>
              <w:bottom w:val="single" w:color="BFBFBF" w:sz="1"/>
              <w:right w:val="single" w:color="BFBFBF" w:sz="1"/>
            </w:tcBorders>
            <w:shd w:fill="D6E4F0" w:val="clear"/>
            <w:tcMar>
              <w:top w:type="dxa" w:w="80"/>
              <w:left w:type="dxa" w:w="120"/>
              <w:bottom w:type="dxa" w:w="80"/>
              <w:right w:type="dxa" w:w="120"/>
            </w:tcMar>
            <w:vAlign w:val="center"/>
          </w:tcPr>
          <w:p>
            <w:pPr>
              <w:spacing w:after="0" w:line="240"/>
            </w:pPr>
            <w:r>
              <w:rPr>
                <w:rFonts w:ascii="Arial" w:cs="Arial" w:eastAsia="Arial" w:hAnsi="Arial"/>
                <w:b/>
                <w:bCs/>
                <w:color w:val="404040"/>
                <w:sz w:val="20"/>
                <w:szCs w:val="20"/>
              </w:rPr>
              <w:t xml:space="preserve">Phase 1</w:t>
            </w:r>
          </w:p>
        </w:tc>
        <w:tc>
          <w:tcPr>
            <w:tcW w:type="dxa" w:w="26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spacing w:after="0" w:line="240"/>
            </w:pPr>
            <w:r>
              <w:rPr>
                <w:rFonts w:ascii="Arial" w:cs="Arial" w:eastAsia="Arial" w:hAnsi="Arial"/>
                <w:color w:val="404040"/>
                <w:sz w:val="20"/>
                <w:szCs w:val="20"/>
              </w:rPr>
              <w:t xml:space="preserve">WS1: Core replication + null models</w:t>
            </w:r>
          </w:p>
        </w:tc>
        <w:tc>
          <w:tcPr>
            <w:tcW w:type="dxa" w:w="12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spacing w:after="0" w:line="240"/>
            </w:pPr>
            <w:r>
              <w:rPr>
                <w:rFonts w:ascii="Arial" w:cs="Arial" w:eastAsia="Arial" w:hAnsi="Arial"/>
                <w:color w:val="404040"/>
                <w:sz w:val="20"/>
                <w:szCs w:val="20"/>
              </w:rPr>
              <w:t xml:space="preserve">2–3 weeks</w:t>
            </w:r>
          </w:p>
        </w:tc>
        <w:tc>
          <w:tcPr>
            <w:tcW w:type="dxa" w:w="206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spacing w:after="0" w:line="240"/>
            </w:pPr>
            <w:r>
              <w:rPr>
                <w:rFonts w:ascii="Arial" w:cs="Arial" w:eastAsia="Arial" w:hAnsi="Arial"/>
                <w:color w:val="404040"/>
                <w:sz w:val="20"/>
                <w:szCs w:val="20"/>
              </w:rPr>
              <w:t xml:space="preserve">None</w:t>
            </w:r>
          </w:p>
        </w:tc>
        <w:tc>
          <w:tcPr>
            <w:tcW w:type="dxa" w:w="24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spacing w:after="0" w:line="240"/>
            </w:pPr>
            <w:r>
              <w:rPr>
                <w:rFonts w:ascii="Arial" w:cs="Arial" w:eastAsia="Arial" w:hAnsi="Arial"/>
                <w:color w:val="404040"/>
                <w:sz w:val="20"/>
                <w:szCs w:val="20"/>
              </w:rPr>
              <w:t xml:space="preserve">Validated package + null model results</w:t>
            </w:r>
          </w:p>
        </w:tc>
      </w:tr>
      <w:tr>
        <w:trPr>
          <w:tblHeader w:val="false"/>
        </w:trPr>
        <w:tc>
          <w:tcPr>
            <w:tcW w:type="dxa" w:w="1100"/>
            <w:tcBorders>
              <w:top w:val="single" w:color="BFBFBF" w:sz="1"/>
              <w:left w:val="single" w:color="BFBFBF" w:sz="1"/>
              <w:bottom w:val="single" w:color="BFBFBF" w:sz="1"/>
              <w:right w:val="single" w:color="BFBFBF" w:sz="1"/>
            </w:tcBorders>
            <w:shd w:fill="D6E4F0" w:val="clear"/>
            <w:tcMar>
              <w:top w:type="dxa" w:w="80"/>
              <w:left w:type="dxa" w:w="120"/>
              <w:bottom w:type="dxa" w:w="80"/>
              <w:right w:type="dxa" w:w="120"/>
            </w:tcMar>
            <w:vAlign w:val="center"/>
          </w:tcPr>
          <w:p>
            <w:pPr>
              <w:spacing w:after="0" w:line="240"/>
            </w:pPr>
            <w:r>
              <w:rPr>
                <w:rFonts w:ascii="Arial" w:cs="Arial" w:eastAsia="Arial" w:hAnsi="Arial"/>
                <w:b/>
                <w:bCs/>
                <w:color w:val="404040"/>
                <w:sz w:val="20"/>
                <w:szCs w:val="20"/>
              </w:rPr>
              <w:t xml:space="preserve">Phase 1</w:t>
            </w:r>
          </w:p>
        </w:tc>
        <w:tc>
          <w:tcPr>
            <w:tcW w:type="dxa" w:w="26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spacing w:after="0" w:line="240"/>
            </w:pPr>
            <w:r>
              <w:rPr>
                <w:rFonts w:ascii="Arial" w:cs="Arial" w:eastAsia="Arial" w:hAnsi="Arial"/>
                <w:color w:val="404040"/>
                <w:sz w:val="20"/>
                <w:szCs w:val="20"/>
              </w:rPr>
              <w:t xml:space="preserve">WS4: KRAS/COSMIC (fast-fail test)</w:t>
            </w:r>
          </w:p>
        </w:tc>
        <w:tc>
          <w:tcPr>
            <w:tcW w:type="dxa" w:w="12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spacing w:after="0" w:line="240"/>
            </w:pPr>
            <w:r>
              <w:rPr>
                <w:rFonts w:ascii="Arial" w:cs="Arial" w:eastAsia="Arial" w:hAnsi="Arial"/>
                <w:color w:val="404040"/>
                <w:sz w:val="20"/>
                <w:szCs w:val="20"/>
              </w:rPr>
              <w:t xml:space="preserve">1–2 weeks</w:t>
            </w:r>
          </w:p>
        </w:tc>
        <w:tc>
          <w:tcPr>
            <w:tcW w:type="dxa" w:w="206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spacing w:after="0" w:line="240"/>
            </w:pPr>
            <w:r>
              <w:rPr>
                <w:rFonts w:ascii="Arial" w:cs="Arial" w:eastAsia="Arial" w:hAnsi="Arial"/>
                <w:color w:val="404040"/>
                <w:sz w:val="20"/>
                <w:szCs w:val="20"/>
              </w:rPr>
              <w:t xml:space="preserve">WS1 (core package)</w:t>
            </w:r>
          </w:p>
        </w:tc>
        <w:tc>
          <w:tcPr>
            <w:tcW w:type="dxa" w:w="24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spacing w:after="0" w:line="240"/>
            </w:pPr>
            <w:r>
              <w:rPr>
                <w:rFonts w:ascii="Arial" w:cs="Arial" w:eastAsia="Arial" w:hAnsi="Arial"/>
                <w:color w:val="404040"/>
                <w:sz w:val="20"/>
                <w:szCs w:val="20"/>
              </w:rPr>
              <w:t xml:space="preserve">Go/no-go on clinical claims</w:t>
            </w:r>
          </w:p>
        </w:tc>
      </w:tr>
      <w:tr>
        <w:trPr>
          <w:tblHeader w:val="false"/>
        </w:trPr>
        <w:tc>
          <w:tcPr>
            <w:tcW w:type="dxa" w:w="1100"/>
            <w:tcBorders>
              <w:top w:val="single" w:color="BFBFBF" w:sz="1"/>
              <w:left w:val="single" w:color="BFBFBF" w:sz="1"/>
              <w:bottom w:val="single" w:color="BFBFBF" w:sz="1"/>
              <w:right w:val="single" w:color="BFBFBF" w:sz="1"/>
            </w:tcBorders>
            <w:shd w:fill="E2EFDA" w:val="clear"/>
            <w:tcMar>
              <w:top w:type="dxa" w:w="80"/>
              <w:left w:type="dxa" w:w="120"/>
              <w:bottom w:type="dxa" w:w="80"/>
              <w:right w:type="dxa" w:w="120"/>
            </w:tcMar>
            <w:vAlign w:val="center"/>
          </w:tcPr>
          <w:p>
            <w:pPr>
              <w:spacing w:after="0" w:line="240"/>
            </w:pPr>
            <w:r>
              <w:rPr>
                <w:rFonts w:ascii="Arial" w:cs="Arial" w:eastAsia="Arial" w:hAnsi="Arial"/>
                <w:b/>
                <w:bCs/>
                <w:color w:val="404040"/>
                <w:sz w:val="20"/>
                <w:szCs w:val="20"/>
              </w:rPr>
              <w:t xml:space="preserve">Phase 2</w:t>
            </w:r>
          </w:p>
        </w:tc>
        <w:tc>
          <w:tcPr>
            <w:tcW w:type="dxa" w:w="26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spacing w:after="0" w:line="240"/>
            </w:pPr>
            <w:r>
              <w:rPr>
                <w:rFonts w:ascii="Arial" w:cs="Arial" w:eastAsia="Arial" w:hAnsi="Arial"/>
                <w:color w:val="404040"/>
                <w:sz w:val="20"/>
                <w:szCs w:val="20"/>
              </w:rPr>
              <w:t xml:space="preserve">WS2: Reassignment directionality</w:t>
            </w:r>
          </w:p>
        </w:tc>
        <w:tc>
          <w:tcPr>
            <w:tcW w:type="dxa" w:w="12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spacing w:after="0" w:line="240"/>
            </w:pPr>
            <w:r>
              <w:rPr>
                <w:rFonts w:ascii="Arial" w:cs="Arial" w:eastAsia="Arial" w:hAnsi="Arial"/>
                <w:color w:val="404040"/>
                <w:sz w:val="20"/>
                <w:szCs w:val="20"/>
              </w:rPr>
              <w:t xml:space="preserve">2–3 weeks</w:t>
            </w:r>
          </w:p>
        </w:tc>
        <w:tc>
          <w:tcPr>
            <w:tcW w:type="dxa" w:w="206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spacing w:after="0" w:line="240"/>
            </w:pPr>
            <w:r>
              <w:rPr>
                <w:rFonts w:ascii="Arial" w:cs="Arial" w:eastAsia="Arial" w:hAnsi="Arial"/>
                <w:color w:val="404040"/>
                <w:sz w:val="20"/>
                <w:szCs w:val="20"/>
              </w:rPr>
              <w:t xml:space="preserve">WS1</w:t>
            </w:r>
          </w:p>
        </w:tc>
        <w:tc>
          <w:tcPr>
            <w:tcW w:type="dxa" w:w="24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spacing w:after="0" w:line="240"/>
            </w:pPr>
            <w:r>
              <w:rPr>
                <w:rFonts w:ascii="Arial" w:cs="Arial" w:eastAsia="Arial" w:hAnsi="Arial"/>
                <w:color w:val="404040"/>
                <w:sz w:val="20"/>
                <w:szCs w:val="20"/>
              </w:rPr>
              <w:t xml:space="preserve">Reassignment database + statistical tests</w:t>
            </w:r>
          </w:p>
        </w:tc>
      </w:tr>
      <w:tr>
        <w:trPr>
          <w:tblHeader w:val="false"/>
        </w:trPr>
        <w:tc>
          <w:tcPr>
            <w:tcW w:type="dxa" w:w="1100"/>
            <w:tcBorders>
              <w:top w:val="single" w:color="BFBFBF" w:sz="1"/>
              <w:left w:val="single" w:color="BFBFBF" w:sz="1"/>
              <w:bottom w:val="single" w:color="BFBFBF" w:sz="1"/>
              <w:right w:val="single" w:color="BFBFBF" w:sz="1"/>
            </w:tcBorders>
            <w:shd w:fill="E2EFDA" w:val="clear"/>
            <w:tcMar>
              <w:top w:type="dxa" w:w="80"/>
              <w:left w:type="dxa" w:w="120"/>
              <w:bottom w:type="dxa" w:w="80"/>
              <w:right w:type="dxa" w:w="120"/>
            </w:tcMar>
            <w:vAlign w:val="center"/>
          </w:tcPr>
          <w:p>
            <w:pPr>
              <w:spacing w:after="0" w:line="240"/>
            </w:pPr>
            <w:r>
              <w:rPr>
                <w:rFonts w:ascii="Arial" w:cs="Arial" w:eastAsia="Arial" w:hAnsi="Arial"/>
                <w:b/>
                <w:bCs/>
                <w:color w:val="404040"/>
                <w:sz w:val="20"/>
                <w:szCs w:val="20"/>
              </w:rPr>
              <w:t xml:space="preserve">Phase 2</w:t>
            </w:r>
          </w:p>
        </w:tc>
        <w:tc>
          <w:tcPr>
            <w:tcW w:type="dxa" w:w="26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spacing w:after="0" w:line="240"/>
            </w:pPr>
            <w:r>
              <w:rPr>
                <w:rFonts w:ascii="Arial" w:cs="Arial" w:eastAsia="Arial" w:hAnsi="Arial"/>
                <w:color w:val="404040"/>
                <w:sz w:val="20"/>
                <w:szCs w:val="20"/>
              </w:rPr>
              <w:t xml:space="preserve">WS3: Evolutionary depth</w:t>
            </w:r>
          </w:p>
        </w:tc>
        <w:tc>
          <w:tcPr>
            <w:tcW w:type="dxa" w:w="12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spacing w:after="0" w:line="240"/>
            </w:pPr>
            <w:r>
              <w:rPr>
                <w:rFonts w:ascii="Arial" w:cs="Arial" w:eastAsia="Arial" w:hAnsi="Arial"/>
                <w:color w:val="404040"/>
                <w:sz w:val="20"/>
                <w:szCs w:val="20"/>
              </w:rPr>
              <w:t xml:space="preserve">2–3 weeks</w:t>
            </w:r>
          </w:p>
        </w:tc>
        <w:tc>
          <w:tcPr>
            <w:tcW w:type="dxa" w:w="206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spacing w:after="0" w:line="240"/>
            </w:pPr>
            <w:r>
              <w:rPr>
                <w:rFonts w:ascii="Arial" w:cs="Arial" w:eastAsia="Arial" w:hAnsi="Arial"/>
                <w:color w:val="404040"/>
                <w:sz w:val="20"/>
                <w:szCs w:val="20"/>
              </w:rPr>
              <w:t xml:space="preserve">WS1, WS2</w:t>
            </w:r>
          </w:p>
        </w:tc>
        <w:tc>
          <w:tcPr>
            <w:tcW w:type="dxa" w:w="24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spacing w:after="0" w:line="240"/>
            </w:pPr>
            <w:r>
              <w:rPr>
                <w:rFonts w:ascii="Arial" w:cs="Arial" w:eastAsia="Arial" w:hAnsi="Arial"/>
                <w:color w:val="404040"/>
                <w:sz w:val="20"/>
                <w:szCs w:val="20"/>
              </w:rPr>
              <w:t xml:space="preserve">Calibration dataset + correlation analysis</w:t>
            </w:r>
          </w:p>
        </w:tc>
      </w:tr>
      <w:tr>
        <w:trPr>
          <w:tblHeader w:val="false"/>
        </w:trPr>
        <w:tc>
          <w:tcPr>
            <w:tcW w:type="dxa" w:w="1100"/>
            <w:tcBorders>
              <w:top w:val="single" w:color="BFBFBF" w:sz="1"/>
              <w:left w:val="single" w:color="BFBFBF" w:sz="1"/>
              <w:bottom w:val="single" w:color="BFBFBF" w:sz="1"/>
              <w:right w:val="single" w:color="BFBFBF" w:sz="1"/>
            </w:tcBorders>
            <w:shd w:fill="E8D5F5" w:val="clear"/>
            <w:tcMar>
              <w:top w:type="dxa" w:w="80"/>
              <w:left w:type="dxa" w:w="120"/>
              <w:bottom w:type="dxa" w:w="80"/>
              <w:right w:type="dxa" w:w="120"/>
            </w:tcMar>
            <w:vAlign w:val="center"/>
          </w:tcPr>
          <w:p>
            <w:pPr>
              <w:spacing w:after="0" w:line="240"/>
            </w:pPr>
            <w:r>
              <w:rPr>
                <w:rFonts w:ascii="Arial" w:cs="Arial" w:eastAsia="Arial" w:hAnsi="Arial"/>
                <w:b/>
                <w:bCs/>
                <w:color w:val="404040"/>
                <w:sz w:val="20"/>
                <w:szCs w:val="20"/>
              </w:rPr>
              <w:t xml:space="preserve">Phase 3</w:t>
            </w:r>
          </w:p>
        </w:tc>
        <w:tc>
          <w:tcPr>
            <w:tcW w:type="dxa" w:w="26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spacing w:after="0" w:line="240"/>
            </w:pPr>
            <w:r>
              <w:rPr>
                <w:rFonts w:ascii="Arial" w:cs="Arial" w:eastAsia="Arial" w:hAnsi="Arial"/>
                <w:color w:val="404040"/>
                <w:sz w:val="20"/>
                <w:szCs w:val="20"/>
              </w:rPr>
              <w:t xml:space="preserve">WS6: Synthetic biology feasibility</w:t>
            </w:r>
          </w:p>
        </w:tc>
        <w:tc>
          <w:tcPr>
            <w:tcW w:type="dxa" w:w="12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spacing w:after="0" w:line="240"/>
            </w:pPr>
            <w:r>
              <w:rPr>
                <w:rFonts w:ascii="Arial" w:cs="Arial" w:eastAsia="Arial" w:hAnsi="Arial"/>
                <w:color w:val="404040"/>
                <w:sz w:val="20"/>
                <w:szCs w:val="20"/>
              </w:rPr>
              <w:t xml:space="preserve">3–4 weeks</w:t>
            </w:r>
          </w:p>
        </w:tc>
        <w:tc>
          <w:tcPr>
            <w:tcW w:type="dxa" w:w="206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spacing w:after="0" w:line="240"/>
            </w:pPr>
            <w:r>
              <w:rPr>
                <w:rFonts w:ascii="Arial" w:cs="Arial" w:eastAsia="Arial" w:hAnsi="Arial"/>
                <w:color w:val="404040"/>
                <w:sz w:val="20"/>
                <w:szCs w:val="20"/>
              </w:rPr>
              <w:t xml:space="preserve">WS1, WS2</w:t>
            </w:r>
          </w:p>
        </w:tc>
        <w:tc>
          <w:tcPr>
            <w:tcW w:type="dxa" w:w="24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spacing w:after="0" w:line="240"/>
            </w:pPr>
            <w:r>
              <w:rPr>
                <w:rFonts w:ascii="Arial" w:cs="Arial" w:eastAsia="Arial" w:hAnsi="Arial"/>
                <w:color w:val="404040"/>
                <w:sz w:val="20"/>
                <w:szCs w:val="20"/>
              </w:rPr>
              <w:t xml:space="preserve">Meta-analysis + commercial assessment</w:t>
            </w:r>
          </w:p>
        </w:tc>
      </w:tr>
      <w:tr>
        <w:trPr>
          <w:tblHeader w:val="false"/>
        </w:trPr>
        <w:tc>
          <w:tcPr>
            <w:tcW w:type="dxa" w:w="1100"/>
            <w:tcBorders>
              <w:top w:val="single" w:color="BFBFBF" w:sz="1"/>
              <w:left w:val="single" w:color="BFBFBF" w:sz="1"/>
              <w:bottom w:val="single" w:color="BFBFBF" w:sz="1"/>
              <w:right w:val="single" w:color="BFBFBF" w:sz="1"/>
            </w:tcBorders>
            <w:shd w:fill="E8D5F5" w:val="clear"/>
            <w:tcMar>
              <w:top w:type="dxa" w:w="80"/>
              <w:left w:type="dxa" w:w="120"/>
              <w:bottom w:type="dxa" w:w="80"/>
              <w:right w:type="dxa" w:w="120"/>
            </w:tcMar>
            <w:vAlign w:val="center"/>
          </w:tcPr>
          <w:p>
            <w:pPr>
              <w:spacing w:after="0" w:line="240"/>
            </w:pPr>
            <w:r>
              <w:rPr>
                <w:rFonts w:ascii="Arial" w:cs="Arial" w:eastAsia="Arial" w:hAnsi="Arial"/>
                <w:b/>
                <w:bCs/>
                <w:color w:val="404040"/>
                <w:sz w:val="20"/>
                <w:szCs w:val="20"/>
              </w:rPr>
              <w:t xml:space="preserve">Phase 3</w:t>
            </w:r>
          </w:p>
        </w:tc>
        <w:tc>
          <w:tcPr>
            <w:tcW w:type="dxa" w:w="26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spacing w:after="0" w:line="240"/>
            </w:pPr>
            <w:r>
              <w:rPr>
                <w:rFonts w:ascii="Arial" w:cs="Arial" w:eastAsia="Arial" w:hAnsi="Arial"/>
                <w:color w:val="404040"/>
                <w:sz w:val="20"/>
                <w:szCs w:val="20"/>
              </w:rPr>
              <w:t xml:space="preserve">WS5: Prediction catalogue</w:t>
            </w:r>
          </w:p>
        </w:tc>
        <w:tc>
          <w:tcPr>
            <w:tcW w:type="dxa" w:w="12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spacing w:after="0" w:line="240"/>
            </w:pPr>
            <w:r>
              <w:rPr>
                <w:rFonts w:ascii="Arial" w:cs="Arial" w:eastAsia="Arial" w:hAnsi="Arial"/>
                <w:color w:val="404040"/>
                <w:sz w:val="20"/>
                <w:szCs w:val="20"/>
              </w:rPr>
              <w:t xml:space="preserve">1–2 weeks</w:t>
            </w:r>
          </w:p>
        </w:tc>
        <w:tc>
          <w:tcPr>
            <w:tcW w:type="dxa" w:w="206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spacing w:after="0" w:line="240"/>
            </w:pPr>
            <w:r>
              <w:rPr>
                <w:rFonts w:ascii="Arial" w:cs="Arial" w:eastAsia="Arial" w:hAnsi="Arial"/>
                <w:color w:val="404040"/>
                <w:sz w:val="20"/>
                <w:szCs w:val="20"/>
              </w:rPr>
              <w:t xml:space="preserve">All prior WS</w:t>
            </w:r>
          </w:p>
        </w:tc>
        <w:tc>
          <w:tcPr>
            <w:tcW w:type="dxa" w:w="24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spacing w:after="0" w:line="240"/>
            </w:pPr>
            <w:r>
              <w:rPr>
                <w:rFonts w:ascii="Arial" w:cs="Arial" w:eastAsia="Arial" w:hAnsi="Arial"/>
                <w:color w:val="404040"/>
                <w:sz w:val="20"/>
                <w:szCs w:val="20"/>
              </w:rPr>
              <w:t xml:space="preserve">Ranked predictions + decision matrix</w:t>
            </w:r>
          </w:p>
        </w:tc>
      </w:tr>
    </w:tbl>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1"/>
              <w:bottom w:val="single" w:color="2E75B6" w:sz="1"/>
              <w:right w:val="single" w:color="2E75B6" w:sz="1"/>
            </w:tcBorders>
            <w:shd w:fill="FCE4D6" w:val="clear"/>
            <w:tcMar>
              <w:top w:type="dxa" w:w="120"/>
              <w:left w:type="dxa" w:w="200"/>
              <w:bottom w:type="dxa" w:w="120"/>
              <w:right w:type="dxa" w:w="200"/>
            </w:tcMar>
          </w:tcPr>
          <w:p>
            <w:pPr>
              <w:spacing w:after="80" w:line="240"/>
            </w:pPr>
            <w:r>
              <w:rPr>
                <w:rFonts w:ascii="Arial" w:cs="Arial" w:eastAsia="Arial" w:hAnsi="Arial"/>
                <w:b/>
                <w:bCs/>
                <w:color w:val="1F4E79"/>
                <w:sz w:val="22"/>
                <w:szCs w:val="22"/>
              </w:rPr>
              <w:t xml:space="preserve">CRITICAL PATH</w:t>
            </w:r>
          </w:p>
          <w:p>
            <w:pPr>
              <w:spacing w:after="0" w:line="260"/>
            </w:pPr>
            <w:r>
              <w:rPr>
                <w:rFonts w:ascii="Arial" w:cs="Arial" w:eastAsia="Arial" w:hAnsi="Arial"/>
                <w:color w:val="404040"/>
                <w:sz w:val="20"/>
                <w:szCs w:val="20"/>
              </w:rPr>
              <w:t xml:space="preserve">WS1 → WS4 is the critical path. If WS4 (KRAS/COSMIC test) returns null results for the Fano-line co-occurrence hypothesis, the clinical application track is closed immediately, saving 4–6 weeks of effort. The evolutionary biology track (WS2–WS3) and synthetic biology track (WS6) proceed independently regardless of WS4 outcome.</w:t>
            </w:r>
          </w:p>
        </w:tc>
      </w:tr>
    </w:tbl>
    <w:p>
      <w:pPr>
        <w:pStyle w:val="Heading1"/>
      </w:pPr>
      <w:r>
        <w:t xml:space="preserve">6. Risk Register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100"/>
        <w:gridCol w:w="1100"/>
        <w:gridCol w:w="4360"/>
      </w:tblGrid>
      <w:tr>
        <w:trPr>
          <w:tblHeader/>
        </w:trPr>
        <w:tc>
          <w:tcPr>
            <w:tcW w:type="dxa" w:w="2800"/>
            <w:tcBorders>
              <w:top w:val="single" w:color="BFBFBF" w:sz="1"/>
              <w:left w:val="single" w:color="BFBFBF" w:sz="1"/>
              <w:bottom w:val="single" w:color="BFBFBF" w:sz="1"/>
              <w:right w:val="single" w:color="BFBFBF" w:sz="1"/>
            </w:tcBorders>
            <w:shd w:fill="1B2A4A" w:val="clear"/>
            <w:tcMar>
              <w:top w:type="dxa" w:w="80"/>
              <w:left w:type="dxa" w:w="120"/>
              <w:bottom w:type="dxa" w:w="80"/>
              <w:right w:type="dxa" w:w="120"/>
            </w:tcMar>
            <w:vAlign w:val="center"/>
          </w:tcPr>
          <w:p>
            <w:pPr>
              <w:spacing w:after="0" w:line="240"/>
            </w:pPr>
            <w:r>
              <w:rPr>
                <w:rFonts w:ascii="Arial" w:cs="Arial" w:eastAsia="Arial" w:hAnsi="Arial"/>
                <w:b/>
                <w:bCs/>
                <w:color w:val="FFFFFF"/>
                <w:sz w:val="20"/>
                <w:szCs w:val="20"/>
              </w:rPr>
              <w:t xml:space="preserve">Risk</w:t>
            </w:r>
          </w:p>
        </w:tc>
        <w:tc>
          <w:tcPr>
            <w:tcW w:type="dxa" w:w="1100"/>
            <w:tcBorders>
              <w:top w:val="single" w:color="BFBFBF" w:sz="1"/>
              <w:left w:val="single" w:color="BFBFBF" w:sz="1"/>
              <w:bottom w:val="single" w:color="BFBFBF" w:sz="1"/>
              <w:right w:val="single" w:color="BFBFBF" w:sz="1"/>
            </w:tcBorders>
            <w:shd w:fill="1B2A4A" w:val="clear"/>
            <w:tcMar>
              <w:top w:type="dxa" w:w="80"/>
              <w:left w:type="dxa" w:w="120"/>
              <w:bottom w:type="dxa" w:w="80"/>
              <w:right w:type="dxa" w:w="120"/>
            </w:tcMar>
            <w:vAlign w:val="center"/>
          </w:tcPr>
          <w:p>
            <w:pPr>
              <w:spacing w:after="0" w:line="240"/>
            </w:pPr>
            <w:r>
              <w:rPr>
                <w:rFonts w:ascii="Arial" w:cs="Arial" w:eastAsia="Arial" w:hAnsi="Arial"/>
                <w:b/>
                <w:bCs/>
                <w:color w:val="FFFFFF"/>
                <w:sz w:val="20"/>
                <w:szCs w:val="20"/>
              </w:rPr>
              <w:t xml:space="preserve">Likelihood</w:t>
            </w:r>
          </w:p>
        </w:tc>
        <w:tc>
          <w:tcPr>
            <w:tcW w:type="dxa" w:w="1100"/>
            <w:tcBorders>
              <w:top w:val="single" w:color="BFBFBF" w:sz="1"/>
              <w:left w:val="single" w:color="BFBFBF" w:sz="1"/>
              <w:bottom w:val="single" w:color="BFBFBF" w:sz="1"/>
              <w:right w:val="single" w:color="BFBFBF" w:sz="1"/>
            </w:tcBorders>
            <w:shd w:fill="1B2A4A" w:val="clear"/>
            <w:tcMar>
              <w:top w:type="dxa" w:w="80"/>
              <w:left w:type="dxa" w:w="120"/>
              <w:bottom w:type="dxa" w:w="80"/>
              <w:right w:type="dxa" w:w="120"/>
            </w:tcMar>
            <w:vAlign w:val="center"/>
          </w:tcPr>
          <w:p>
            <w:pPr>
              <w:spacing w:after="0" w:line="240"/>
            </w:pPr>
            <w:r>
              <w:rPr>
                <w:rFonts w:ascii="Arial" w:cs="Arial" w:eastAsia="Arial" w:hAnsi="Arial"/>
                <w:b/>
                <w:bCs/>
                <w:color w:val="FFFFFF"/>
                <w:sz w:val="20"/>
                <w:szCs w:val="20"/>
              </w:rPr>
              <w:t xml:space="preserve">Impact</w:t>
            </w:r>
          </w:p>
        </w:tc>
        <w:tc>
          <w:tcPr>
            <w:tcW w:type="dxa" w:w="4360"/>
            <w:tcBorders>
              <w:top w:val="single" w:color="BFBFBF" w:sz="1"/>
              <w:left w:val="single" w:color="BFBFBF" w:sz="1"/>
              <w:bottom w:val="single" w:color="BFBFBF" w:sz="1"/>
              <w:right w:val="single" w:color="BFBFBF" w:sz="1"/>
            </w:tcBorders>
            <w:shd w:fill="1B2A4A" w:val="clear"/>
            <w:tcMar>
              <w:top w:type="dxa" w:w="80"/>
              <w:left w:type="dxa" w:w="120"/>
              <w:bottom w:type="dxa" w:w="80"/>
              <w:right w:type="dxa" w:w="120"/>
            </w:tcMar>
            <w:vAlign w:val="center"/>
          </w:tcPr>
          <w:p>
            <w:pPr>
              <w:spacing w:after="0" w:line="240"/>
            </w:pPr>
            <w:r>
              <w:rPr>
                <w:rFonts w:ascii="Arial" w:cs="Arial" w:eastAsia="Arial" w:hAnsi="Arial"/>
                <w:b/>
                <w:bCs/>
                <w:color w:val="FFFFFF"/>
                <w:sz w:val="20"/>
                <w:szCs w:val="20"/>
              </w:rPr>
              <w:t xml:space="preserve">Mitigation</w:t>
            </w:r>
          </w:p>
        </w:tc>
      </w:tr>
      <w:tr>
        <w:trPr>
          <w:tblHeader w:val="false"/>
        </w:trPr>
        <w:tc>
          <w:tcPr>
            <w:tcW w:type="dxa" w:w="28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spacing w:after="0" w:line="240"/>
            </w:pPr>
            <w:r>
              <w:rPr>
                <w:rFonts w:ascii="Arial" w:cs="Arial" w:eastAsia="Arial" w:hAnsi="Arial"/>
                <w:color w:val="404040"/>
                <w:sz w:val="20"/>
                <w:szCs w:val="20"/>
              </w:rPr>
              <w:t xml:space="preserve">Null models show filtration structure is trivial (arises by chance)</w:t>
            </w:r>
          </w:p>
        </w:tc>
        <w:tc>
          <w:tcPr>
            <w:tcW w:type="dxa" w:w="11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spacing w:after="0" w:line="240"/>
            </w:pPr>
            <w:r>
              <w:rPr>
                <w:rFonts w:ascii="Arial" w:cs="Arial" w:eastAsia="Arial" w:hAnsi="Arial"/>
                <w:color w:val="548235"/>
                <w:sz w:val="20"/>
                <w:szCs w:val="20"/>
              </w:rPr>
              <w:t xml:space="preserve">Low</w:t>
            </w:r>
          </w:p>
        </w:tc>
        <w:tc>
          <w:tcPr>
            <w:tcW w:type="dxa" w:w="11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spacing w:after="0" w:line="240"/>
            </w:pPr>
            <w:r>
              <w:rPr>
                <w:rFonts w:ascii="Arial" w:cs="Arial" w:eastAsia="Arial" w:hAnsi="Arial"/>
                <w:color w:val="C00000"/>
                <w:sz w:val="20"/>
                <w:szCs w:val="20"/>
              </w:rPr>
              <w:t xml:space="preserve">Critical</w:t>
            </w:r>
          </w:p>
        </w:tc>
        <w:tc>
          <w:tcPr>
            <w:tcW w:type="dxa" w:w="436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spacing w:after="0" w:line="240"/>
            </w:pPr>
            <w:r>
              <w:rPr>
                <w:rFonts w:ascii="Arial" w:cs="Arial" w:eastAsia="Arial" w:hAnsi="Arial"/>
                <w:color w:val="404040"/>
                <w:sz w:val="20"/>
                <w:szCs w:val="20"/>
              </w:rPr>
              <w:t xml:space="preserve">Run null models early (WS1). If p&gt;0.01, the framework loses its statistical foundation.</w:t>
            </w:r>
          </w:p>
        </w:tc>
      </w:tr>
      <w:tr>
        <w:trPr>
          <w:tblHeader w:val="false"/>
        </w:trPr>
        <w:tc>
          <w:tcPr>
            <w:tcW w:type="dxa" w:w="28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spacing w:after="0" w:line="240"/>
            </w:pPr>
            <w:r>
              <w:rPr>
                <w:rFonts w:ascii="Arial" w:cs="Arial" w:eastAsia="Arial" w:hAnsi="Arial"/>
                <w:color w:val="404040"/>
                <w:sz w:val="20"/>
                <w:szCs w:val="20"/>
              </w:rPr>
              <w:t xml:space="preserve">Filtration structure is encoding-dependent</w:t>
            </w:r>
          </w:p>
        </w:tc>
        <w:tc>
          <w:tcPr>
            <w:tcW w:type="dxa" w:w="11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spacing w:after="0" w:line="240"/>
            </w:pPr>
            <w:r>
              <w:rPr>
                <w:rFonts w:ascii="Arial" w:cs="Arial" w:eastAsia="Arial" w:hAnsi="Arial"/>
                <w:color w:val="ED7D31"/>
                <w:sz w:val="20"/>
                <w:szCs w:val="20"/>
              </w:rPr>
              <w:t xml:space="preserve">Medium</w:t>
            </w:r>
          </w:p>
        </w:tc>
        <w:tc>
          <w:tcPr>
            <w:tcW w:type="dxa" w:w="11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spacing w:after="0" w:line="240"/>
            </w:pPr>
            <w:r>
              <w:rPr>
                <w:rFonts w:ascii="Arial" w:cs="Arial" w:eastAsia="Arial" w:hAnsi="Arial"/>
                <w:color w:val="ED7D31"/>
                <w:sz w:val="20"/>
                <w:szCs w:val="20"/>
              </w:rPr>
              <w:t xml:space="preserve">High</w:t>
            </w:r>
          </w:p>
        </w:tc>
        <w:tc>
          <w:tcPr>
            <w:tcW w:type="dxa" w:w="436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spacing w:after="0" w:line="240"/>
            </w:pPr>
            <w:r>
              <w:rPr>
                <w:rFonts w:ascii="Arial" w:cs="Arial" w:eastAsia="Arial" w:hAnsi="Arial"/>
                <w:color w:val="404040"/>
                <w:sz w:val="20"/>
                <w:szCs w:val="20"/>
              </w:rPr>
              <w:t xml:space="preserve">Test all 24 encodings in WS1. If structure vanishes under alternative encodings, it’s an artifact.</w:t>
            </w:r>
          </w:p>
        </w:tc>
      </w:tr>
      <w:tr>
        <w:trPr>
          <w:tblHeader w:val="false"/>
        </w:trPr>
        <w:tc>
          <w:tcPr>
            <w:tcW w:type="dxa" w:w="28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spacing w:after="0" w:line="240"/>
            </w:pPr>
            <w:r>
              <w:rPr>
                <w:rFonts w:ascii="Arial" w:cs="Arial" w:eastAsia="Arial" w:hAnsi="Arial"/>
                <w:color w:val="404040"/>
                <w:sz w:val="20"/>
                <w:szCs w:val="20"/>
              </w:rPr>
              <w:t xml:space="preserve">COSMIC shows no Fano-line co-occurrence</w:t>
            </w:r>
          </w:p>
        </w:tc>
        <w:tc>
          <w:tcPr>
            <w:tcW w:type="dxa" w:w="11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spacing w:after="0" w:line="240"/>
            </w:pPr>
            <w:r>
              <w:rPr>
                <w:rFonts w:ascii="Arial" w:cs="Arial" w:eastAsia="Arial" w:hAnsi="Arial"/>
                <w:color w:val="C00000"/>
                <w:sz w:val="20"/>
                <w:szCs w:val="20"/>
              </w:rPr>
              <w:t xml:space="preserve">High</w:t>
            </w:r>
          </w:p>
        </w:tc>
        <w:tc>
          <w:tcPr>
            <w:tcW w:type="dxa" w:w="11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spacing w:after="0" w:line="240"/>
            </w:pPr>
            <w:r>
              <w:rPr>
                <w:rFonts w:ascii="Arial" w:cs="Arial" w:eastAsia="Arial" w:hAnsi="Arial"/>
                <w:color w:val="ED7D31"/>
                <w:sz w:val="20"/>
                <w:szCs w:val="20"/>
              </w:rPr>
              <w:t xml:space="preserve">Medium</w:t>
            </w:r>
          </w:p>
        </w:tc>
        <w:tc>
          <w:tcPr>
            <w:tcW w:type="dxa" w:w="436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spacing w:after="0" w:line="240"/>
            </w:pPr>
            <w:r>
              <w:rPr>
                <w:rFonts w:ascii="Arial" w:cs="Arial" w:eastAsia="Arial" w:hAnsi="Arial"/>
                <w:color w:val="404040"/>
                <w:sz w:val="20"/>
                <w:szCs w:val="20"/>
              </w:rPr>
              <w:t xml:space="preserve">This kills only the clinical track. Evolutionary and synthetic biology tracks unaffected. Design WS4 as explicit fast-fail.</w:t>
            </w:r>
          </w:p>
        </w:tc>
      </w:tr>
      <w:tr>
        <w:trPr>
          <w:tblHeader w:val="false"/>
        </w:trPr>
        <w:tc>
          <w:tcPr>
            <w:tcW w:type="dxa" w:w="28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spacing w:after="0" w:line="240"/>
            </w:pPr>
            <w:r>
              <w:rPr>
                <w:rFonts w:ascii="Arial" w:cs="Arial" w:eastAsia="Arial" w:hAnsi="Arial"/>
                <w:color w:val="404040"/>
                <w:sz w:val="20"/>
                <w:szCs w:val="20"/>
              </w:rPr>
              <w:t xml:space="preserve">Insufficient published synbio data for meta-analysis</w:t>
            </w:r>
          </w:p>
        </w:tc>
        <w:tc>
          <w:tcPr>
            <w:tcW w:type="dxa" w:w="11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spacing w:after="0" w:line="240"/>
            </w:pPr>
            <w:r>
              <w:rPr>
                <w:rFonts w:ascii="Arial" w:cs="Arial" w:eastAsia="Arial" w:hAnsi="Arial"/>
                <w:color w:val="ED7D31"/>
                <w:sz w:val="20"/>
                <w:szCs w:val="20"/>
              </w:rPr>
              <w:t xml:space="preserve">Medium</w:t>
            </w:r>
          </w:p>
        </w:tc>
        <w:tc>
          <w:tcPr>
            <w:tcW w:type="dxa" w:w="11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spacing w:after="0" w:line="240"/>
            </w:pPr>
            <w:r>
              <w:rPr>
                <w:rFonts w:ascii="Arial" w:cs="Arial" w:eastAsia="Arial" w:hAnsi="Arial"/>
                <w:color w:val="ED7D31"/>
                <w:sz w:val="20"/>
                <w:szCs w:val="20"/>
              </w:rPr>
              <w:t xml:space="preserve">Medium</w:t>
            </w:r>
          </w:p>
        </w:tc>
        <w:tc>
          <w:tcPr>
            <w:tcW w:type="dxa" w:w="436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spacing w:after="0" w:line="240"/>
            </w:pPr>
            <w:r>
              <w:rPr>
                <w:rFonts w:ascii="Arial" w:cs="Arial" w:eastAsia="Arial" w:hAnsi="Arial"/>
                <w:color w:val="404040"/>
                <w:sz w:val="20"/>
                <w:szCs w:val="20"/>
              </w:rPr>
              <w:t xml:space="preserve">Expand literature search to include unpublished data from preprints and conference proceedings. Minimum viable n=15.</w:t>
            </w:r>
          </w:p>
        </w:tc>
      </w:tr>
      <w:tr>
        <w:trPr>
          <w:tblHeader w:val="false"/>
        </w:trPr>
        <w:tc>
          <w:tcPr>
            <w:tcW w:type="dxa" w:w="28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spacing w:after="0" w:line="240"/>
            </w:pPr>
            <w:r>
              <w:rPr>
                <w:rFonts w:ascii="Arial" w:cs="Arial" w:eastAsia="Arial" w:hAnsi="Arial"/>
                <w:color w:val="404040"/>
                <w:sz w:val="20"/>
                <w:szCs w:val="20"/>
              </w:rPr>
              <w:t xml:space="preserve">Evolutionary dating estimates too imprecise for calibration</w:t>
            </w:r>
          </w:p>
        </w:tc>
        <w:tc>
          <w:tcPr>
            <w:tcW w:type="dxa" w:w="11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spacing w:after="0" w:line="240"/>
            </w:pPr>
            <w:r>
              <w:rPr>
                <w:rFonts w:ascii="Arial" w:cs="Arial" w:eastAsia="Arial" w:hAnsi="Arial"/>
                <w:color w:val="ED7D31"/>
                <w:sz w:val="20"/>
                <w:szCs w:val="20"/>
              </w:rPr>
              <w:t xml:space="preserve">Medium</w:t>
            </w:r>
          </w:p>
        </w:tc>
        <w:tc>
          <w:tcPr>
            <w:tcW w:type="dxa" w:w="11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spacing w:after="0" w:line="240"/>
            </w:pPr>
            <w:r>
              <w:rPr>
                <w:rFonts w:ascii="Arial" w:cs="Arial" w:eastAsia="Arial" w:hAnsi="Arial"/>
                <w:color w:val="548235"/>
                <w:sz w:val="20"/>
                <w:szCs w:val="20"/>
              </w:rPr>
              <w:t xml:space="preserve">Low</w:t>
            </w:r>
          </w:p>
        </w:tc>
        <w:tc>
          <w:tcPr>
            <w:tcW w:type="dxa" w:w="436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spacing w:after="0" w:line="240"/>
            </w:pPr>
            <w:r>
              <w:rPr>
                <w:rFonts w:ascii="Arial" w:cs="Arial" w:eastAsia="Arial" w:hAnsi="Arial"/>
                <w:color w:val="404040"/>
                <w:sz w:val="20"/>
                <w:szCs w:val="20"/>
              </w:rPr>
              <w:t xml:space="preserve">Use ordinal ranking rather than absolute dating. The ε=4 vs. ε≤3 distinction is robust to dating uncertainty.</w:t>
            </w:r>
          </w:p>
        </w:tc>
      </w:tr>
      <w:tr>
        <w:trPr>
          <w:tblHeader w:val="false"/>
        </w:trPr>
        <w:tc>
          <w:tcPr>
            <w:tcW w:type="dxa" w:w="28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spacing w:after="0" w:line="240"/>
            </w:pPr>
            <w:r>
              <w:rPr>
                <w:rFonts w:ascii="Arial" w:cs="Arial" w:eastAsia="Arial" w:hAnsi="Arial"/>
                <w:color w:val="404040"/>
                <w:sz w:val="20"/>
                <w:szCs w:val="20"/>
              </w:rPr>
              <w:t xml:space="preserve">Prior art blocks IP</w:t>
            </w:r>
          </w:p>
        </w:tc>
        <w:tc>
          <w:tcPr>
            <w:tcW w:type="dxa" w:w="11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spacing w:after="0" w:line="240"/>
            </w:pPr>
            <w:r>
              <w:rPr>
                <w:rFonts w:ascii="Arial" w:cs="Arial" w:eastAsia="Arial" w:hAnsi="Arial"/>
                <w:color w:val="ED7D31"/>
                <w:sz w:val="20"/>
                <w:szCs w:val="20"/>
              </w:rPr>
              <w:t xml:space="preserve">Medium</w:t>
            </w:r>
          </w:p>
        </w:tc>
        <w:tc>
          <w:tcPr>
            <w:tcW w:type="dxa" w:w="11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spacing w:after="0" w:line="240"/>
            </w:pPr>
            <w:r>
              <w:rPr>
                <w:rFonts w:ascii="Arial" w:cs="Arial" w:eastAsia="Arial" w:hAnsi="Arial"/>
                <w:color w:val="ED7D31"/>
                <w:sz w:val="20"/>
                <w:szCs w:val="20"/>
              </w:rPr>
              <w:t xml:space="preserve">High</w:t>
            </w:r>
          </w:p>
        </w:tc>
        <w:tc>
          <w:tcPr>
            <w:tcW w:type="dxa" w:w="436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spacing w:after="0" w:line="240"/>
            </w:pPr>
            <w:r>
              <w:rPr>
                <w:rFonts w:ascii="Arial" w:cs="Arial" w:eastAsia="Arial" w:hAnsi="Arial"/>
                <w:color w:val="404040"/>
                <w:sz w:val="20"/>
                <w:szCs w:val="20"/>
              </w:rPr>
              <w:t xml:space="preserve">Conduct FTO search in WS6 before any filing. Clayworth’s LinkedIn post may constitute prior disclosure.</w:t>
            </w:r>
          </w:p>
        </w:tc>
      </w:tr>
    </w:tbl>
    <w:p>
      <w:r>
        <w:br w:type="page"/>
      </w:r>
    </w:p>
    <w:p>
      <w:pPr>
        <w:pStyle w:val="Heading1"/>
      </w:pPr>
      <w:r>
        <w:t xml:space="preserve">7. Deliverables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4060"/>
        <w:gridCol w:w="2200"/>
        <w:gridCol w:w="2600"/>
      </w:tblGrid>
      <w:tr>
        <w:trPr>
          <w:tblHeader/>
        </w:trPr>
        <w:tc>
          <w:tcPr>
            <w:tcW w:type="dxa" w:w="500"/>
            <w:tcBorders>
              <w:top w:val="single" w:color="BFBFBF" w:sz="1"/>
              <w:left w:val="single" w:color="BFBFBF" w:sz="1"/>
              <w:bottom w:val="single" w:color="BFBFBF" w:sz="1"/>
              <w:right w:val="single" w:color="BFBFBF" w:sz="1"/>
            </w:tcBorders>
            <w:shd w:fill="1B2A4A" w:val="clear"/>
            <w:tcMar>
              <w:top w:type="dxa" w:w="80"/>
              <w:left w:type="dxa" w:w="120"/>
              <w:bottom w:type="dxa" w:w="80"/>
              <w:right w:type="dxa" w:w="120"/>
            </w:tcMar>
            <w:vAlign w:val="center"/>
          </w:tcPr>
          <w:p>
            <w:pPr>
              <w:spacing w:after="0" w:line="240"/>
            </w:pPr>
            <w:r>
              <w:rPr>
                <w:rFonts w:ascii="Arial" w:cs="Arial" w:eastAsia="Arial" w:hAnsi="Arial"/>
                <w:b/>
                <w:bCs/>
                <w:color w:val="FFFFFF"/>
                <w:sz w:val="20"/>
                <w:szCs w:val="20"/>
              </w:rPr>
              <w:t xml:space="preserve">#</w:t>
            </w:r>
          </w:p>
        </w:tc>
        <w:tc>
          <w:tcPr>
            <w:tcW w:type="dxa" w:w="4060"/>
            <w:tcBorders>
              <w:top w:val="single" w:color="BFBFBF" w:sz="1"/>
              <w:left w:val="single" w:color="BFBFBF" w:sz="1"/>
              <w:bottom w:val="single" w:color="BFBFBF" w:sz="1"/>
              <w:right w:val="single" w:color="BFBFBF" w:sz="1"/>
            </w:tcBorders>
            <w:shd w:fill="1B2A4A" w:val="clear"/>
            <w:tcMar>
              <w:top w:type="dxa" w:w="80"/>
              <w:left w:type="dxa" w:w="120"/>
              <w:bottom w:type="dxa" w:w="80"/>
              <w:right w:type="dxa" w:w="120"/>
            </w:tcMar>
            <w:vAlign w:val="center"/>
          </w:tcPr>
          <w:p>
            <w:pPr>
              <w:spacing w:after="0" w:line="240"/>
            </w:pPr>
            <w:r>
              <w:rPr>
                <w:rFonts w:ascii="Arial" w:cs="Arial" w:eastAsia="Arial" w:hAnsi="Arial"/>
                <w:b/>
                <w:bCs/>
                <w:color w:val="FFFFFF"/>
                <w:sz w:val="20"/>
                <w:szCs w:val="20"/>
              </w:rPr>
              <w:t xml:space="preserve">Deliverable</w:t>
            </w:r>
          </w:p>
        </w:tc>
        <w:tc>
          <w:tcPr>
            <w:tcW w:type="dxa" w:w="2200"/>
            <w:tcBorders>
              <w:top w:val="single" w:color="BFBFBF" w:sz="1"/>
              <w:left w:val="single" w:color="BFBFBF" w:sz="1"/>
              <w:bottom w:val="single" w:color="BFBFBF" w:sz="1"/>
              <w:right w:val="single" w:color="BFBFBF" w:sz="1"/>
            </w:tcBorders>
            <w:shd w:fill="1B2A4A" w:val="clear"/>
            <w:tcMar>
              <w:top w:type="dxa" w:w="80"/>
              <w:left w:type="dxa" w:w="120"/>
              <w:bottom w:type="dxa" w:w="80"/>
              <w:right w:type="dxa" w:w="120"/>
            </w:tcMar>
            <w:vAlign w:val="center"/>
          </w:tcPr>
          <w:p>
            <w:pPr>
              <w:spacing w:after="0" w:line="240"/>
            </w:pPr>
            <w:r>
              <w:rPr>
                <w:rFonts w:ascii="Arial" w:cs="Arial" w:eastAsia="Arial" w:hAnsi="Arial"/>
                <w:b/>
                <w:bCs/>
                <w:color w:val="FFFFFF"/>
                <w:sz w:val="20"/>
                <w:szCs w:val="20"/>
              </w:rPr>
              <w:t xml:space="preserve">Format</w:t>
            </w:r>
          </w:p>
        </w:tc>
        <w:tc>
          <w:tcPr>
            <w:tcW w:type="dxa" w:w="2600"/>
            <w:tcBorders>
              <w:top w:val="single" w:color="BFBFBF" w:sz="1"/>
              <w:left w:val="single" w:color="BFBFBF" w:sz="1"/>
              <w:bottom w:val="single" w:color="BFBFBF" w:sz="1"/>
              <w:right w:val="single" w:color="BFBFBF" w:sz="1"/>
            </w:tcBorders>
            <w:shd w:fill="1B2A4A" w:val="clear"/>
            <w:tcMar>
              <w:top w:type="dxa" w:w="80"/>
              <w:left w:type="dxa" w:w="120"/>
              <w:bottom w:type="dxa" w:w="80"/>
              <w:right w:type="dxa" w:w="120"/>
            </w:tcMar>
            <w:vAlign w:val="center"/>
          </w:tcPr>
          <w:p>
            <w:pPr>
              <w:spacing w:after="0" w:line="240"/>
            </w:pPr>
            <w:r>
              <w:rPr>
                <w:rFonts w:ascii="Arial" w:cs="Arial" w:eastAsia="Arial" w:hAnsi="Arial"/>
                <w:b/>
                <w:bCs/>
                <w:color w:val="FFFFFF"/>
                <w:sz w:val="20"/>
                <w:szCs w:val="20"/>
              </w:rPr>
              <w:t xml:space="preserve">Audience</w:t>
            </w:r>
          </w:p>
        </w:tc>
      </w:tr>
      <w:tr>
        <w:trPr>
          <w:tblHeader w:val="false"/>
        </w:trPr>
        <w:tc>
          <w:tcPr>
            <w:tcW w:type="dxa" w:w="5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spacing w:after="0" w:line="240"/>
            </w:pPr>
            <w:r>
              <w:rPr>
                <w:rFonts w:ascii="Arial" w:cs="Arial" w:eastAsia="Arial" w:hAnsi="Arial"/>
                <w:color w:val="404040"/>
                <w:sz w:val="20"/>
                <w:szCs w:val="20"/>
              </w:rPr>
              <w:t xml:space="preserve">D1</w:t>
            </w:r>
          </w:p>
        </w:tc>
        <w:tc>
          <w:tcPr>
            <w:tcW w:type="dxa" w:w="406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spacing w:after="0" w:line="240"/>
            </w:pPr>
            <w:r>
              <w:rPr>
                <w:rFonts w:ascii="Arial" w:cs="Arial" w:eastAsia="Arial" w:hAnsi="Arial"/>
                <w:color w:val="404040"/>
                <w:sz w:val="20"/>
                <w:szCs w:val="20"/>
              </w:rPr>
              <w:t xml:space="preserve">codon_topo Python package (tested, documented, pip-installable)</w:t>
            </w:r>
          </w:p>
        </w:tc>
        <w:tc>
          <w:tcPr>
            <w:tcW w:type="dxa" w:w="22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spacing w:after="0" w:line="240"/>
            </w:pPr>
            <w:r>
              <w:rPr>
                <w:rFonts w:ascii="Arial" w:cs="Arial" w:eastAsia="Arial" w:hAnsi="Arial"/>
                <w:color w:val="404040"/>
                <w:sz w:val="20"/>
                <w:szCs w:val="20"/>
              </w:rPr>
              <w:t xml:space="preserve">Python package + PyPI</w:t>
            </w:r>
          </w:p>
        </w:tc>
        <w:tc>
          <w:tcPr>
            <w:tcW w:type="dxa" w:w="26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spacing w:after="0" w:line="240"/>
            </w:pPr>
            <w:r>
              <w:rPr>
                <w:rFonts w:ascii="Arial" w:cs="Arial" w:eastAsia="Arial" w:hAnsi="Arial"/>
                <w:color w:val="404040"/>
                <w:sz w:val="20"/>
                <w:szCs w:val="20"/>
              </w:rPr>
              <w:t xml:space="preserve">Internal / open-source</w:t>
            </w:r>
          </w:p>
        </w:tc>
      </w:tr>
      <w:tr>
        <w:trPr>
          <w:tblHeader w:val="false"/>
        </w:trPr>
        <w:tc>
          <w:tcPr>
            <w:tcW w:type="dxa" w:w="5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spacing w:after="0" w:line="240"/>
            </w:pPr>
            <w:r>
              <w:rPr>
                <w:rFonts w:ascii="Arial" w:cs="Arial" w:eastAsia="Arial" w:hAnsi="Arial"/>
                <w:color w:val="404040"/>
                <w:sz w:val="20"/>
                <w:szCs w:val="20"/>
              </w:rPr>
              <w:t xml:space="preserve">D2</w:t>
            </w:r>
          </w:p>
        </w:tc>
        <w:tc>
          <w:tcPr>
            <w:tcW w:type="dxa" w:w="406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spacing w:after="0" w:line="240"/>
            </w:pPr>
            <w:r>
              <w:rPr>
                <w:rFonts w:ascii="Arial" w:cs="Arial" w:eastAsia="Arial" w:hAnsi="Arial"/>
                <w:color w:val="404040"/>
                <w:sz w:val="20"/>
                <w:szCs w:val="20"/>
              </w:rPr>
              <w:t xml:space="preserve">Statistical validation report (null models, p-values, effect sizes)</w:t>
            </w:r>
          </w:p>
        </w:tc>
        <w:tc>
          <w:tcPr>
            <w:tcW w:type="dxa" w:w="22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spacing w:after="0" w:line="240"/>
            </w:pPr>
            <w:r>
              <w:rPr>
                <w:rFonts w:ascii="Arial" w:cs="Arial" w:eastAsia="Arial" w:hAnsi="Arial"/>
                <w:color w:val="404040"/>
                <w:sz w:val="20"/>
                <w:szCs w:val="20"/>
              </w:rPr>
              <w:t xml:space="preserve">PDF/LaTeX technical report</w:t>
            </w:r>
          </w:p>
        </w:tc>
        <w:tc>
          <w:tcPr>
            <w:tcW w:type="dxa" w:w="26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spacing w:after="0" w:line="240"/>
            </w:pPr>
            <w:r>
              <w:rPr>
                <w:rFonts w:ascii="Arial" w:cs="Arial" w:eastAsia="Arial" w:hAnsi="Arial"/>
                <w:color w:val="404040"/>
                <w:sz w:val="20"/>
                <w:szCs w:val="20"/>
              </w:rPr>
              <w:t xml:space="preserve">Internal + publication</w:t>
            </w:r>
          </w:p>
        </w:tc>
      </w:tr>
      <w:tr>
        <w:trPr>
          <w:tblHeader w:val="false"/>
        </w:trPr>
        <w:tc>
          <w:tcPr>
            <w:tcW w:type="dxa" w:w="5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spacing w:after="0" w:line="240"/>
            </w:pPr>
            <w:r>
              <w:rPr>
                <w:rFonts w:ascii="Arial" w:cs="Arial" w:eastAsia="Arial" w:hAnsi="Arial"/>
                <w:color w:val="404040"/>
                <w:sz w:val="20"/>
                <w:szCs w:val="20"/>
              </w:rPr>
              <w:t xml:space="preserve">D3</w:t>
            </w:r>
          </w:p>
        </w:tc>
        <w:tc>
          <w:tcPr>
            <w:tcW w:type="dxa" w:w="406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spacing w:after="0" w:line="240"/>
            </w:pPr>
            <w:r>
              <w:rPr>
                <w:rFonts w:ascii="Arial" w:cs="Arial" w:eastAsia="Arial" w:hAnsi="Arial"/>
                <w:color w:val="404040"/>
                <w:sz w:val="20"/>
                <w:szCs w:val="20"/>
              </w:rPr>
              <w:t xml:space="preserve">Comprehensive disconnection catalogue (all 23+ codes)</w:t>
            </w:r>
          </w:p>
        </w:tc>
        <w:tc>
          <w:tcPr>
            <w:tcW w:type="dxa" w:w="22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spacing w:after="0" w:line="240"/>
            </w:pPr>
            <w:r>
              <w:rPr>
                <w:rFonts w:ascii="Arial" w:cs="Arial" w:eastAsia="Arial" w:hAnsi="Arial"/>
                <w:color w:val="404040"/>
                <w:sz w:val="20"/>
                <w:szCs w:val="20"/>
              </w:rPr>
              <w:t xml:space="preserve">CSV + narrative document</w:t>
            </w:r>
          </w:p>
        </w:tc>
        <w:tc>
          <w:tcPr>
            <w:tcW w:type="dxa" w:w="26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spacing w:after="0" w:line="240"/>
            </w:pPr>
            <w:r>
              <w:rPr>
                <w:rFonts w:ascii="Arial" w:cs="Arial" w:eastAsia="Arial" w:hAnsi="Arial"/>
                <w:color w:val="404040"/>
                <w:sz w:val="20"/>
                <w:szCs w:val="20"/>
              </w:rPr>
              <w:t xml:space="preserve">Internal + publication</w:t>
            </w:r>
          </w:p>
        </w:tc>
      </w:tr>
      <w:tr>
        <w:trPr>
          <w:tblHeader w:val="false"/>
        </w:trPr>
        <w:tc>
          <w:tcPr>
            <w:tcW w:type="dxa" w:w="5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spacing w:after="0" w:line="240"/>
            </w:pPr>
            <w:r>
              <w:rPr>
                <w:rFonts w:ascii="Arial" w:cs="Arial" w:eastAsia="Arial" w:hAnsi="Arial"/>
                <w:color w:val="404040"/>
                <w:sz w:val="20"/>
                <w:szCs w:val="20"/>
              </w:rPr>
              <w:t xml:space="preserve">D4</w:t>
            </w:r>
          </w:p>
        </w:tc>
        <w:tc>
          <w:tcPr>
            <w:tcW w:type="dxa" w:w="406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spacing w:after="0" w:line="240"/>
            </w:pPr>
            <w:r>
              <w:rPr>
                <w:rFonts w:ascii="Arial" w:cs="Arial" w:eastAsia="Arial" w:hAnsi="Arial"/>
                <w:color w:val="404040"/>
                <w:sz w:val="20"/>
                <w:szCs w:val="20"/>
              </w:rPr>
              <w:t xml:space="preserve">Reassignment database with geometric annotations</w:t>
            </w:r>
          </w:p>
        </w:tc>
        <w:tc>
          <w:tcPr>
            <w:tcW w:type="dxa" w:w="22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spacing w:after="0" w:line="240"/>
            </w:pPr>
            <w:r>
              <w:rPr>
                <w:rFonts w:ascii="Arial" w:cs="Arial" w:eastAsia="Arial" w:hAnsi="Arial"/>
                <w:color w:val="404040"/>
                <w:sz w:val="20"/>
                <w:szCs w:val="20"/>
              </w:rPr>
              <w:t xml:space="preserve">CSV/JSON + analysis notebook</w:t>
            </w:r>
          </w:p>
        </w:tc>
        <w:tc>
          <w:tcPr>
            <w:tcW w:type="dxa" w:w="26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spacing w:after="0" w:line="240"/>
            </w:pPr>
            <w:r>
              <w:rPr>
                <w:rFonts w:ascii="Arial" w:cs="Arial" w:eastAsia="Arial" w:hAnsi="Arial"/>
                <w:color w:val="404040"/>
                <w:sz w:val="20"/>
                <w:szCs w:val="20"/>
              </w:rPr>
              <w:t xml:space="preserve">Internal + community resource</w:t>
            </w:r>
          </w:p>
        </w:tc>
      </w:tr>
      <w:tr>
        <w:trPr>
          <w:tblHeader w:val="false"/>
        </w:trPr>
        <w:tc>
          <w:tcPr>
            <w:tcW w:type="dxa" w:w="5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spacing w:after="0" w:line="240"/>
            </w:pPr>
            <w:r>
              <w:rPr>
                <w:rFonts w:ascii="Arial" w:cs="Arial" w:eastAsia="Arial" w:hAnsi="Arial"/>
                <w:color w:val="404040"/>
                <w:sz w:val="20"/>
                <w:szCs w:val="20"/>
              </w:rPr>
              <w:t xml:space="preserve">D5</w:t>
            </w:r>
          </w:p>
        </w:tc>
        <w:tc>
          <w:tcPr>
            <w:tcW w:type="dxa" w:w="406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spacing w:after="0" w:line="240"/>
            </w:pPr>
            <w:r>
              <w:rPr>
                <w:rFonts w:ascii="Arial" w:cs="Arial" w:eastAsia="Arial" w:hAnsi="Arial"/>
                <w:color w:val="404040"/>
                <w:sz w:val="20"/>
                <w:szCs w:val="20"/>
              </w:rPr>
              <w:t xml:space="preserve">KRAS/COSMIC analysis report</w:t>
            </w:r>
          </w:p>
        </w:tc>
        <w:tc>
          <w:tcPr>
            <w:tcW w:type="dxa" w:w="22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spacing w:after="0" w:line="240"/>
            </w:pPr>
            <w:r>
              <w:rPr>
                <w:rFonts w:ascii="Arial" w:cs="Arial" w:eastAsia="Arial" w:hAnsi="Arial"/>
                <w:color w:val="404040"/>
                <w:sz w:val="20"/>
                <w:szCs w:val="20"/>
              </w:rPr>
              <w:t xml:space="preserve">PDF technical report</w:t>
            </w:r>
          </w:p>
        </w:tc>
        <w:tc>
          <w:tcPr>
            <w:tcW w:type="dxa" w:w="26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spacing w:after="0" w:line="240"/>
            </w:pPr>
            <w:r>
              <w:rPr>
                <w:rFonts w:ascii="Arial" w:cs="Arial" w:eastAsia="Arial" w:hAnsi="Arial"/>
                <w:color w:val="404040"/>
                <w:sz w:val="20"/>
                <w:szCs w:val="20"/>
              </w:rPr>
              <w:t xml:space="preserve">Internal (decision gate)</w:t>
            </w:r>
          </w:p>
        </w:tc>
      </w:tr>
      <w:tr>
        <w:trPr>
          <w:tblHeader w:val="false"/>
        </w:trPr>
        <w:tc>
          <w:tcPr>
            <w:tcW w:type="dxa" w:w="5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spacing w:after="0" w:line="240"/>
            </w:pPr>
            <w:r>
              <w:rPr>
                <w:rFonts w:ascii="Arial" w:cs="Arial" w:eastAsia="Arial" w:hAnsi="Arial"/>
                <w:color w:val="404040"/>
                <w:sz w:val="20"/>
                <w:szCs w:val="20"/>
              </w:rPr>
              <w:t xml:space="preserve">D6</w:t>
            </w:r>
          </w:p>
        </w:tc>
        <w:tc>
          <w:tcPr>
            <w:tcW w:type="dxa" w:w="406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spacing w:after="0" w:line="240"/>
            </w:pPr>
            <w:r>
              <w:rPr>
                <w:rFonts w:ascii="Arial" w:cs="Arial" w:eastAsia="Arial" w:hAnsi="Arial"/>
                <w:color w:val="404040"/>
                <w:sz w:val="20"/>
                <w:szCs w:val="20"/>
              </w:rPr>
              <w:t xml:space="preserve">Visualization suite (10+ publication-quality figures)</w:t>
            </w:r>
          </w:p>
        </w:tc>
        <w:tc>
          <w:tcPr>
            <w:tcW w:type="dxa" w:w="22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spacing w:after="0" w:line="240"/>
            </w:pPr>
            <w:r>
              <w:rPr>
                <w:rFonts w:ascii="Arial" w:cs="Arial" w:eastAsia="Arial" w:hAnsi="Arial"/>
                <w:color w:val="404040"/>
                <w:sz w:val="20"/>
                <w:szCs w:val="20"/>
              </w:rPr>
              <w:t xml:space="preserve">SVG/PDF + interactive HTML</w:t>
            </w:r>
          </w:p>
        </w:tc>
        <w:tc>
          <w:tcPr>
            <w:tcW w:type="dxa" w:w="26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spacing w:after="0" w:line="240"/>
            </w:pPr>
            <w:r>
              <w:rPr>
                <w:rFonts w:ascii="Arial" w:cs="Arial" w:eastAsia="Arial" w:hAnsi="Arial"/>
                <w:color w:val="404040"/>
                <w:sz w:val="20"/>
                <w:szCs w:val="20"/>
              </w:rPr>
              <w:t xml:space="preserve">Publication + presentations</w:t>
            </w:r>
          </w:p>
        </w:tc>
      </w:tr>
      <w:tr>
        <w:trPr>
          <w:tblHeader w:val="false"/>
        </w:trPr>
        <w:tc>
          <w:tcPr>
            <w:tcW w:type="dxa" w:w="5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spacing w:after="0" w:line="240"/>
            </w:pPr>
            <w:r>
              <w:rPr>
                <w:rFonts w:ascii="Arial" w:cs="Arial" w:eastAsia="Arial" w:hAnsi="Arial"/>
                <w:color w:val="404040"/>
                <w:sz w:val="20"/>
                <w:szCs w:val="20"/>
              </w:rPr>
              <w:t xml:space="preserve">D7</w:t>
            </w:r>
          </w:p>
        </w:tc>
        <w:tc>
          <w:tcPr>
            <w:tcW w:type="dxa" w:w="406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spacing w:after="0" w:line="240"/>
            </w:pPr>
            <w:r>
              <w:rPr>
                <w:rFonts w:ascii="Arial" w:cs="Arial" w:eastAsia="Arial" w:hAnsi="Arial"/>
                <w:color w:val="404040"/>
                <w:sz w:val="20"/>
                <w:szCs w:val="20"/>
              </w:rPr>
              <w:t xml:space="preserve">Ranked prediction catalogue</w:t>
            </w:r>
          </w:p>
        </w:tc>
        <w:tc>
          <w:tcPr>
            <w:tcW w:type="dxa" w:w="22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spacing w:after="0" w:line="240"/>
            </w:pPr>
            <w:r>
              <w:rPr>
                <w:rFonts w:ascii="Arial" w:cs="Arial" w:eastAsia="Arial" w:hAnsi="Arial"/>
                <w:color w:val="404040"/>
                <w:sz w:val="20"/>
                <w:szCs w:val="20"/>
              </w:rPr>
              <w:t xml:space="preserve">Spreadsheet + narrative</w:t>
            </w:r>
          </w:p>
        </w:tc>
        <w:tc>
          <w:tcPr>
            <w:tcW w:type="dxa" w:w="26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spacing w:after="0" w:line="240"/>
            </w:pPr>
            <w:r>
              <w:rPr>
                <w:rFonts w:ascii="Arial" w:cs="Arial" w:eastAsia="Arial" w:hAnsi="Arial"/>
                <w:color w:val="404040"/>
                <w:sz w:val="20"/>
                <w:szCs w:val="20"/>
              </w:rPr>
              <w:t xml:space="preserve">Internal (Phase 2 planning)</w:t>
            </w:r>
          </w:p>
        </w:tc>
      </w:tr>
      <w:tr>
        <w:trPr>
          <w:tblHeader w:val="false"/>
        </w:trPr>
        <w:tc>
          <w:tcPr>
            <w:tcW w:type="dxa" w:w="5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spacing w:after="0" w:line="240"/>
            </w:pPr>
            <w:r>
              <w:rPr>
                <w:rFonts w:ascii="Arial" w:cs="Arial" w:eastAsia="Arial" w:hAnsi="Arial"/>
                <w:color w:val="404040"/>
                <w:sz w:val="20"/>
                <w:szCs w:val="20"/>
              </w:rPr>
              <w:t xml:space="preserve">D8</w:t>
            </w:r>
          </w:p>
        </w:tc>
        <w:tc>
          <w:tcPr>
            <w:tcW w:type="dxa" w:w="406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spacing w:after="0" w:line="240"/>
            </w:pPr>
            <w:r>
              <w:rPr>
                <w:rFonts w:ascii="Arial" w:cs="Arial" w:eastAsia="Arial" w:hAnsi="Arial"/>
                <w:color w:val="404040"/>
                <w:sz w:val="20"/>
                <w:szCs w:val="20"/>
              </w:rPr>
              <w:t xml:space="preserve">Synthetic biology feasibility assessment</w:t>
            </w:r>
          </w:p>
        </w:tc>
        <w:tc>
          <w:tcPr>
            <w:tcW w:type="dxa" w:w="22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spacing w:after="0" w:line="240"/>
            </w:pPr>
            <w:r>
              <w:rPr>
                <w:rFonts w:ascii="Arial" w:cs="Arial" w:eastAsia="Arial" w:hAnsi="Arial"/>
                <w:color w:val="404040"/>
                <w:sz w:val="20"/>
                <w:szCs w:val="20"/>
              </w:rPr>
              <w:t xml:space="preserve">PDF one-pager + supporting data</w:t>
            </w:r>
          </w:p>
        </w:tc>
        <w:tc>
          <w:tcPr>
            <w:tcW w:type="dxa" w:w="26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spacing w:after="0" w:line="240"/>
            </w:pPr>
            <w:r>
              <w:rPr>
                <w:rFonts w:ascii="Arial" w:cs="Arial" w:eastAsia="Arial" w:hAnsi="Arial"/>
                <w:color w:val="404040"/>
                <w:sz w:val="20"/>
                <w:szCs w:val="20"/>
              </w:rPr>
              <w:t xml:space="preserve">Internal + potential investors</w:t>
            </w:r>
          </w:p>
        </w:tc>
      </w:tr>
      <w:tr>
        <w:trPr>
          <w:tblHeader w:val="false"/>
        </w:trPr>
        <w:tc>
          <w:tcPr>
            <w:tcW w:type="dxa" w:w="5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spacing w:after="0" w:line="240"/>
            </w:pPr>
            <w:r>
              <w:rPr>
                <w:rFonts w:ascii="Arial" w:cs="Arial" w:eastAsia="Arial" w:hAnsi="Arial"/>
                <w:color w:val="404040"/>
                <w:sz w:val="20"/>
                <w:szCs w:val="20"/>
              </w:rPr>
              <w:t xml:space="preserve">D9</w:t>
            </w:r>
          </w:p>
        </w:tc>
        <w:tc>
          <w:tcPr>
            <w:tcW w:type="dxa" w:w="406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spacing w:after="0" w:line="240"/>
            </w:pPr>
            <w:r>
              <w:rPr>
                <w:rFonts w:ascii="Arial" w:cs="Arial" w:eastAsia="Arial" w:hAnsi="Arial"/>
                <w:color w:val="404040"/>
                <w:sz w:val="20"/>
                <w:szCs w:val="20"/>
              </w:rPr>
              <w:t xml:space="preserve">Commercial go/no-go recommendation</w:t>
            </w:r>
          </w:p>
        </w:tc>
        <w:tc>
          <w:tcPr>
            <w:tcW w:type="dxa" w:w="22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spacing w:after="0" w:line="240"/>
            </w:pPr>
            <w:r>
              <w:rPr>
                <w:rFonts w:ascii="Arial" w:cs="Arial" w:eastAsia="Arial" w:hAnsi="Arial"/>
                <w:color w:val="404040"/>
                <w:sz w:val="20"/>
                <w:szCs w:val="20"/>
              </w:rPr>
              <w:t xml:space="preserve">Memo</w:t>
            </w:r>
          </w:p>
        </w:tc>
        <w:tc>
          <w:tcPr>
            <w:tcW w:type="dxa" w:w="26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spacing w:after="0" w:line="240"/>
            </w:pPr>
            <w:r>
              <w:rPr>
                <w:rFonts w:ascii="Arial" w:cs="Arial" w:eastAsia="Arial" w:hAnsi="Arial"/>
                <w:color w:val="404040"/>
                <w:sz w:val="20"/>
                <w:szCs w:val="20"/>
              </w:rPr>
              <w:t xml:space="preserve">Decision-makers</w:t>
            </w:r>
          </w:p>
        </w:tc>
      </w:tr>
    </w:tbl>
    <w:p>
      <w:r>
        <w:br w:type="page"/>
      </w:r>
    </w:p>
    <w:p>
      <w:pPr>
        <w:pStyle w:val="Heading1"/>
      </w:pPr>
      <w:r>
        <w:t xml:space="preserve">8. Appendix: Preliminary Results Reference</w:t>
      </w:r>
    </w:p>
    <w:p>
      <w:pPr>
        <w:spacing w:after="160" w:before="0" w:line="276"/>
      </w:pPr>
      <w:r>
        <w:rPr>
          <w:rFonts w:ascii="Arial" w:cs="Arial" w:eastAsia="Arial" w:hAnsi="Arial"/>
          <w:color w:val="404040"/>
          <w:sz w:val="22"/>
          <w:szCs w:val="22"/>
        </w:rPr>
        <w:t xml:space="preserve">The following results were obtained during the initial verification session and should be reproduced exactly by the WS1 package as regression tests.</w:t>
      </w:r>
    </w:p>
    <w:p>
      <w:pPr>
        <w:pStyle w:val="Heading2"/>
      </w:pPr>
      <w:r>
        <w:t xml:space="preserve">8.1 Verified Claims from TN-2026-11</w:t>
      </w:r>
    </w:p>
    <w:p>
      <w:pPr>
        <w:pStyle w:val="ListParagraph"/>
        <w:numPr>
          <w:ilvl w:val="0"/>
          <w:numId w:val="2"/>
        </w:numPr>
        <w:spacing w:after="100" w:line="276"/>
      </w:pPr>
      <w:r>
        <w:rPr>
          <w:rFonts w:ascii="Arial" w:cs="Arial" w:eastAsia="Arial" w:hAnsi="Arial"/>
          <w:b/>
          <w:bCs/>
          <w:color w:val="404040"/>
          <w:sz w:val="22"/>
          <w:szCs w:val="22"/>
        </w:rPr>
        <w:t xml:space="preserve">Claim 1 (Two-fold filtration): </w:t>
      </w:r>
      <w:r>
        <w:rPr>
          <w:rFonts w:ascii="Arial" w:cs="Arial" w:eastAsia="Arial" w:hAnsi="Arial"/>
          <w:color w:val="404040"/>
          <w:sz w:val="22"/>
          <w:szCs w:val="22"/>
        </w:rPr>
        <w:t xml:space="preserve">All 9 two-fold degenerate amino acids in the standard code have synonymous codons differing at exactly bit index 5. VERIFIED across all 23 NCBI tables (no exceptions).</w:t>
      </w:r>
    </w:p>
    <w:p>
      <w:pPr>
        <w:pStyle w:val="ListParagraph"/>
        <w:numPr>
          <w:ilvl w:val="0"/>
          <w:numId w:val="2"/>
        </w:numPr>
        <w:spacing w:after="100" w:line="276"/>
      </w:pPr>
      <w:r>
        <w:rPr>
          <w:rFonts w:ascii="Arial" w:cs="Arial" w:eastAsia="Arial" w:hAnsi="Arial"/>
          <w:b/>
          <w:bCs/>
          <w:color w:val="404040"/>
          <w:sz w:val="22"/>
          <w:szCs w:val="22"/>
        </w:rPr>
        <w:t xml:space="preserve">Claim 2 (Four-fold filtration): </w:t>
      </w:r>
      <w:r>
        <w:rPr>
          <w:rFonts w:ascii="Arial" w:cs="Arial" w:eastAsia="Arial" w:hAnsi="Arial"/>
          <w:color w:val="404040"/>
          <w:sz w:val="22"/>
          <w:szCs w:val="22"/>
        </w:rPr>
        <w:t xml:space="preserve">All 5 four-fold degenerate amino acids in the standard code share identical 4-bit prefixes with last 2 bits exhausting GF(2)². VERIFIED across all 23 NCBI tables (breaks only when stop codons are reassigned to amino acids).</w:t>
      </w:r>
    </w:p>
    <w:p>
      <w:pPr>
        <w:pStyle w:val="ListParagraph"/>
        <w:numPr>
          <w:ilvl w:val="0"/>
          <w:numId w:val="2"/>
        </w:numPr>
        <w:spacing w:after="100" w:line="276"/>
      </w:pPr>
      <w:r>
        <w:rPr>
          <w:rFonts w:ascii="Arial" w:cs="Arial" w:eastAsia="Arial" w:hAnsi="Arial"/>
          <w:b/>
          <w:bCs/>
          <w:color w:val="404040"/>
          <w:sz w:val="22"/>
          <w:szCs w:val="22"/>
        </w:rPr>
        <w:t xml:space="preserve">Claim 3 (Serine anomaly): </w:t>
      </w:r>
      <w:r>
        <w:rPr>
          <w:rFonts w:ascii="Arial" w:cs="Arial" w:eastAsia="Arial" w:hAnsi="Arial"/>
          <w:color w:val="404040"/>
          <w:sz w:val="22"/>
          <w:szCs w:val="22"/>
        </w:rPr>
        <w:t xml:space="preserve">Serine is the unique amino acid whose codon graph is disconnected at ε=1. VERIFIED across all 23 NCBI tables. Minimum inter-block Hamming distance = 4 in every case. Reconnects at ε=4 universally.</w:t>
      </w:r>
    </w:p>
    <w:p>
      <w:pPr>
        <w:pStyle w:val="ListParagraph"/>
        <w:numPr>
          <w:ilvl w:val="0"/>
          <w:numId w:val="2"/>
        </w:numPr>
        <w:spacing w:after="100" w:line="276"/>
      </w:pPr>
      <w:r>
        <w:rPr>
          <w:rFonts w:ascii="Arial" w:cs="Arial" w:eastAsia="Arial" w:hAnsi="Arial"/>
          <w:b/>
          <w:bCs/>
          <w:color w:val="404040"/>
          <w:sz w:val="22"/>
          <w:szCs w:val="22"/>
        </w:rPr>
        <w:t xml:space="preserve">Embedding properties: </w:t>
      </w:r>
      <w:r>
        <w:rPr>
          <w:rFonts w:ascii="Arial" w:cs="Arial" w:eastAsia="Arial" w:hAnsi="Arial"/>
          <w:color w:val="404040"/>
          <w:sz w:val="22"/>
          <w:szCs w:val="22"/>
        </w:rPr>
        <w:t xml:space="preserve">The holomorphic embedding φ correctly reproduces synonymous codon clustering in ℂ³. Two-fold codons share first two complex coordinates. Four-fold codons cycle through all four fourth roots of unity in the third coordinate. VERIFIED.</w:t>
      </w:r>
    </w:p>
    <w:p>
      <w:pPr>
        <w:pStyle w:val="ListParagraph"/>
        <w:numPr>
          <w:ilvl w:val="0"/>
          <w:numId w:val="2"/>
        </w:numPr>
        <w:spacing w:after="100" w:line="276"/>
      </w:pPr>
      <w:r>
        <w:rPr>
          <w:rFonts w:ascii="Arial" w:cs="Arial" w:eastAsia="Arial" w:hAnsi="Arial"/>
          <w:b/>
          <w:bCs/>
          <w:color w:val="404040"/>
          <w:sz w:val="22"/>
          <w:szCs w:val="22"/>
        </w:rPr>
        <w:t xml:space="preserve">KRAS Fano line: </w:t>
      </w:r>
      <w:r>
        <w:rPr>
          <w:rFonts w:ascii="Arial" w:cs="Arial" w:eastAsia="Arial" w:hAnsi="Arial"/>
          <w:color w:val="404040"/>
          <w:sz w:val="22"/>
          <w:szCs w:val="22"/>
        </w:rPr>
        <w:t xml:space="preserve">GGU ⊕ GUU ⊕ CAC = 0 in GF(2)⁶. VERIFIED. But every single-bit mutation generates a Fano line with some third codon, weakening the clinical specificity of the claim.</w:t>
      </w:r>
    </w:p>
    <w:p>
      <w:pPr>
        <w:pStyle w:val="Heading2"/>
      </w:pPr>
      <w:r>
        <w:t xml:space="preserve">8.2 Novel Findings (Not in TN-2026-11)</w:t>
      </w:r>
    </w:p>
    <w:p>
      <w:pPr>
        <w:pStyle w:val="ListParagraph"/>
        <w:numPr>
          <w:ilvl w:val="0"/>
          <w:numId w:val="2"/>
        </w:numPr>
        <w:spacing w:after="100" w:line="276"/>
      </w:pPr>
      <w:r>
        <w:rPr>
          <w:rFonts w:ascii="Arial" w:cs="Arial" w:eastAsia="Arial" w:hAnsi="Arial"/>
          <w:b/>
          <w:bCs/>
          <w:color w:val="404040"/>
          <w:sz w:val="22"/>
          <w:szCs w:val="22"/>
        </w:rPr>
        <w:t xml:space="preserve">Universal Serine invariant: </w:t>
      </w:r>
      <w:r>
        <w:rPr>
          <w:rFonts w:ascii="Arial" w:cs="Arial" w:eastAsia="Arial" w:hAnsi="Arial"/>
          <w:color w:val="404040"/>
          <w:sz w:val="22"/>
          <w:szCs w:val="22"/>
        </w:rPr>
        <w:t xml:space="preserve">First systematic demonstration across all 23 NCBI tables. Not reported in TN-2026-11, which analyzed only the standard code.</w:t>
      </w:r>
    </w:p>
    <w:p>
      <w:pPr>
        <w:pStyle w:val="ListParagraph"/>
        <w:numPr>
          <w:ilvl w:val="0"/>
          <w:numId w:val="2"/>
        </w:numPr>
        <w:spacing w:after="100" w:line="276"/>
      </w:pPr>
      <w:r>
        <w:rPr>
          <w:rFonts w:ascii="Arial" w:cs="Arial" w:eastAsia="Arial" w:hAnsi="Arial"/>
          <w:b/>
          <w:bCs/>
          <w:color w:val="404040"/>
          <w:sz w:val="22"/>
          <w:szCs w:val="22"/>
        </w:rPr>
        <w:t xml:space="preserve">Non-Serine disconnections: </w:t>
      </w:r>
      <w:r>
        <w:rPr>
          <w:rFonts w:ascii="Arial" w:cs="Arial" w:eastAsia="Arial" w:hAnsi="Arial"/>
          <w:color w:val="404040"/>
          <w:sz w:val="22"/>
          <w:szCs w:val="22"/>
        </w:rPr>
        <w:t xml:space="preserve">Thr (yeast mito, ε=2), Leu (chlorophycean mito, ε=2), Ala (Pachysolen nuclear, ε=3), three-component Ser (Candida nuclear). Novel catalogue of lineage-specific topological signatures.</w:t>
      </w:r>
    </w:p>
    <w:p>
      <w:pPr>
        <w:pStyle w:val="ListParagraph"/>
        <w:numPr>
          <w:ilvl w:val="0"/>
          <w:numId w:val="2"/>
        </w:numPr>
        <w:spacing w:after="100" w:line="276"/>
      </w:pPr>
      <w:r>
        <w:rPr>
          <w:rFonts w:ascii="Arial" w:cs="Arial" w:eastAsia="Arial" w:hAnsi="Arial"/>
          <w:b/>
          <w:bCs/>
          <w:color w:val="404040"/>
          <w:sz w:val="22"/>
          <w:szCs w:val="22"/>
        </w:rPr>
        <w:t xml:space="preserve">Reconnection-depth correlation: </w:t>
      </w:r>
      <w:r>
        <w:rPr>
          <w:rFonts w:ascii="Arial" w:cs="Arial" w:eastAsia="Arial" w:hAnsi="Arial"/>
          <w:color w:val="404040"/>
          <w:sz w:val="22"/>
          <w:szCs w:val="22"/>
        </w:rPr>
        <w:t xml:space="preserve">Preliminary observation that ε correlates ordinally with evolutionary depth. Not previously reported.</w:t>
      </w:r>
    </w:p>
    <w:p>
      <w:pPr>
        <w:pStyle w:val="ListParagraph"/>
        <w:numPr>
          <w:ilvl w:val="0"/>
          <w:numId w:val="2"/>
        </w:numPr>
        <w:spacing w:after="100" w:line="276"/>
      </w:pPr>
      <w:r>
        <w:rPr>
          <w:rFonts w:ascii="Arial" w:cs="Arial" w:eastAsia="Arial" w:hAnsi="Arial"/>
          <w:b/>
          <w:bCs/>
          <w:color w:val="404040"/>
          <w:sz w:val="22"/>
          <w:szCs w:val="22"/>
        </w:rPr>
        <w:t xml:space="preserve">Filtration breakage patterns: </w:t>
      </w:r>
      <w:r>
        <w:rPr>
          <w:rFonts w:ascii="Arial" w:cs="Arial" w:eastAsia="Arial" w:hAnsi="Arial"/>
          <w:color w:val="404040"/>
          <w:sz w:val="22"/>
          <w:szCs w:val="22"/>
        </w:rPr>
        <w:t xml:space="preserve">Two-fold filtration is absolutely invariant (100% across all codes). Four-fold breaks only on stop codon reassignments. Systematic characterization not previously reported.</w:t>
      </w:r>
    </w:p>
    <w:p>
      <w:pPr>
        <w:spacing w:after="200"/>
      </w:pPr>
    </w:p>
    <w:p>
      <w:pPr>
        <w:pBdr>
          <w:bottom w:val="single" w:color="2E75B6" w:sz="4" w:space="1"/>
        </w:pBdr>
        <w:spacing w:after="200" w:before="200"/>
      </w:pPr>
    </w:p>
    <w:p>
      <w:pPr>
        <w:spacing w:after="160" w:before="0" w:line="276"/>
        <w:jc w:val="center"/>
      </w:pPr>
      <w:r>
        <w:rPr>
          <w:rFonts w:ascii="Arial" w:cs="Arial" w:eastAsia="Arial" w:hAnsi="Arial"/>
          <w:b/>
          <w:bCs/>
          <w:color w:val="2E75B6"/>
          <w:sz w:val="22"/>
          <w:szCs w:val="22"/>
        </w:rPr>
        <w:t xml:space="preserve">END OF DOCUMENT</w:t>
      </w:r>
    </w:p>
    <w:p>
      <w:pPr>
        <w:spacing w:after="160" w:before="0" w:line="276"/>
        <w:jc w:val="center"/>
      </w:pPr>
      <w:r>
        <w:rPr>
          <w:rFonts w:ascii="Arial" w:cs="Arial" w:eastAsia="Arial" w:hAnsi="Arial"/>
          <w:color w:val="BFBFBF"/>
          <w:sz w:val="18"/>
          <w:szCs w:val="18"/>
        </w:rPr>
        <w:t xml:space="preserve">CODON-TOPO PRD v1.0 — April 2026 — Confidential</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FBFBF" w:sz="1" w:space="4"/>
      </w:pBdr>
      <w:tabs>
        <w:tab w:val="right" w:pos="9026"/>
      </w:tabs>
      <w:spacing w:before="0"/>
    </w:pPr>
    <w:r>
      <w:rPr>
        <w:rFonts w:ascii="Arial" w:cs="Arial" w:eastAsia="Arial" w:hAnsi="Arial"/>
        <w:color w:val="BFBFBF"/>
        <w:sz w:val="16"/>
        <w:szCs w:val="16"/>
      </w:rPr>
      <w:t xml:space="preserve">Page </w:t>
    </w:r>
    <w:r>
      <w:rPr>
        <w:rFonts w:ascii="Arial" w:cs="Arial" w:eastAsia="Arial" w:hAnsi="Arial"/>
        <w:color w:val="BFBFBF"/>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2" w:space="4"/>
      </w:pBdr>
      <w:tabs>
        <w:tab w:val="right" w:pos="9026"/>
      </w:tabs>
      <w:spacing w:after="0"/>
    </w:pPr>
    <w:r>
      <w:rPr>
        <w:rFonts w:ascii="Arial" w:cs="Arial" w:eastAsia="Arial" w:hAnsi="Arial"/>
        <w:b/>
        <w:bCs/>
        <w:color w:val="2E75B6"/>
        <w:sz w:val="16"/>
        <w:szCs w:val="16"/>
      </w:rPr>
      <w:t xml:space="preserve">CODON-TOPO PRD v1.0</w:t>
    </w:r>
    <w:r>
      <w:rPr>
        <w:rFonts w:ascii="Arial" w:cs="Arial" w:eastAsia="Arial" w:hAnsi="Arial"/>
        <w:color w:val="BFBFBF"/>
        <w:sz w:val="16"/>
        <w:szCs w:val="16"/>
      </w:rPr>
      <w:t xml:space="preserve">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decimal"/>
      <w:lvlText w:val="%1."/>
      <w:lvlJc w:val="left"/>
      <w:pPr>
        <w:ind w:left="720" w:hanging="360"/>
      </w:pPr>
    </w:lvl>
  </w:abstractNum>
  <w:abstractNum w:abstractNumId="7" w15:restartNumberingAfterBreak="0">
    <w:multiLevelType w:val="hybridMultilevel"/>
    <w:lvl w:ilvl="0" w15:tentative="1">
      <w:start w:val="1"/>
      <w:numFmt w:val="decimal"/>
      <w:lvlText w:val="%1."/>
      <w:lvlJc w:val="left"/>
      <w:pPr>
        <w:ind w:left="720" w:hanging="360"/>
      </w:pPr>
    </w:lvl>
  </w:abstractNum>
  <w:abstractNum w:abstractNumId="8"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 w:numId="7">
    <w:abstractNumId w:val="7"/>
    <w:lvlOverride w:ilvl="0">
      <w:startOverride w:val="1"/>
    </w:lvlOverride>
  </w:num>
  <w:num w:numId="8">
    <w:abstractNumId w:val="8"/>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B2A4A"/>
      <w:sz w:val="36"/>
      <w:szCs w:val="36"/>
    </w:rPr>
  </w:style>
  <w:style w:type="paragraph" w:styleId="Heading2">
    <w:name w:val="Heading 2"/>
    <w:basedOn w:val="Normal"/>
    <w:next w:val="Normal"/>
    <w:qFormat/>
    <w:pPr>
      <w:spacing w:after="160" w:before="280"/>
      <w:outlineLvl w:val="1"/>
    </w:pPr>
    <w:rPr>
      <w:rFonts w:ascii="Arial" w:cs="Arial" w:eastAsia="Arial" w:hAnsi="Arial"/>
      <w:b/>
      <w:bCs/>
      <w:color w:val="1F4E79"/>
      <w:sz w:val="28"/>
      <w:szCs w:val="28"/>
    </w:rPr>
  </w:style>
  <w:style w:type="paragraph" w:styleId="Heading3">
    <w:name w:val="Heading 3"/>
    <w:basedOn w:val="Normal"/>
    <w:next w:val="Normal"/>
    <w:qFormat/>
    <w:pPr>
      <w:spacing w:after="120" w:before="200"/>
      <w:outlineLvl w:val="2"/>
    </w:pPr>
    <w:rPr>
      <w:rFonts w:ascii="Arial" w:cs="Arial" w:eastAsia="Arial" w:hAnsi="Arial"/>
      <w:b/>
      <w:bCs/>
      <w:color w:val="2E75B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2026-04-06T02:38:56.516Z</dcterms:created>
  <dcterms:modified xsi:type="dcterms:W3CDTF">2026-04-06T02:38:56.517Z</dcterms:modified>
</cp:coreProperties>
</file>

<file path=docProps/custom.xml><?xml version="1.0" encoding="utf-8"?>
<Properties xmlns="http://schemas.openxmlformats.org/officeDocument/2006/custom-properties" xmlns:vt="http://schemas.openxmlformats.org/officeDocument/2006/docPropsVTypes"/>
</file>