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disorder</w:t>
            </w:r>
          </w:p>
        </w:tc>
        <w:tc>
          <w:tcPr>
            <w:tcW w:type="dxa" w:w="2880"/>
          </w:tcPr>
          <w:p>
            <w:r>
              <w:t>% professional diagnosed</w:t>
            </w:r>
          </w:p>
        </w:tc>
        <w:tc>
          <w:tcPr>
            <w:tcW w:type="dxa" w:w="2880"/>
          </w:tcPr>
          <w:p>
            <w:r>
              <w:t>% self-reported</w:t>
            </w:r>
          </w:p>
        </w:tc>
      </w:tr>
      <w:tr>
        <w:tc>
          <w:tcPr>
            <w:tcW w:type="dxa" w:w="2880"/>
          </w:tcPr>
          <w:p>
            <w:r>
              <w:t>not answered</w:t>
            </w:r>
          </w:p>
        </w:tc>
        <w:tc>
          <w:tcPr>
            <w:tcW w:type="dxa" w:w="2880"/>
          </w:tcPr>
          <w:p>
            <w:r>
              <w:t>60.4%</w:t>
            </w:r>
          </w:p>
        </w:tc>
        <w:tc>
          <w:tcPr>
            <w:tcW w:type="dxa" w:w="2880"/>
          </w:tcPr>
          <w:p>
            <w:r>
              <w:t>50.4%</w:t>
            </w:r>
          </w:p>
        </w:tc>
      </w:tr>
      <w:tr>
        <w:tc>
          <w:tcPr>
            <w:tcW w:type="dxa" w:w="2880"/>
          </w:tcPr>
          <w:p>
            <w:r>
              <w:t>anxiety disorder</w:t>
            </w:r>
          </w:p>
        </w:tc>
        <w:tc>
          <w:tcPr>
            <w:tcW w:type="dxa" w:w="2880"/>
          </w:tcPr>
          <w:p>
            <w:r>
              <w:t>23.4%</w:t>
            </w:r>
          </w:p>
        </w:tc>
        <w:tc>
          <w:tcPr>
            <w:tcW w:type="dxa" w:w="2880"/>
          </w:tcPr>
          <w:p>
            <w:r>
              <w:t>25.3%</w:t>
            </w:r>
          </w:p>
        </w:tc>
      </w:tr>
      <w:tr>
        <w:tc>
          <w:tcPr>
            <w:tcW w:type="dxa" w:w="2880"/>
          </w:tcPr>
          <w:p>
            <w:r>
              <w:t>mood disorder</w:t>
            </w:r>
          </w:p>
        </w:tc>
        <w:tc>
          <w:tcPr>
            <w:tcW w:type="dxa" w:w="2880"/>
          </w:tcPr>
          <w:p>
            <w:r>
              <w:t>11.3%</w:t>
            </w:r>
          </w:p>
        </w:tc>
        <w:tc>
          <w:tcPr>
            <w:tcW w:type="dxa" w:w="2880"/>
          </w:tcPr>
          <w:p>
            <w:r>
              <w:t>18.3%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2.1%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attention deficit hyperactivity disorder</w:t>
            </w:r>
          </w:p>
        </w:tc>
        <w:tc>
          <w:tcPr>
            <w:tcW w:type="dxa" w:w="2880"/>
          </w:tcPr>
          <w:p>
            <w:r>
              <w:t>1.7%</w:t>
            </w:r>
          </w:p>
        </w:tc>
        <w:tc>
          <w:tcPr>
            <w:tcW w:type="dxa" w:w="2880"/>
          </w:tcPr>
          <w:p>
            <w:r>
              <w:t>2.2%</w:t>
            </w:r>
          </w:p>
        </w:tc>
      </w:tr>
      <w:tr>
        <w:tc>
          <w:tcPr>
            <w:tcW w:type="dxa" w:w="2880"/>
          </w:tcPr>
          <w:p>
            <w:r>
              <w:t>post-traumatic stress disorder</w:t>
            </w:r>
          </w:p>
        </w:tc>
        <w:tc>
          <w:tcPr>
            <w:tcW w:type="dxa" w:w="2880"/>
          </w:tcPr>
          <w:p>
            <w:r>
              <w:t>0.6%</w:t>
            </w:r>
          </w:p>
        </w:tc>
        <w:tc>
          <w:tcPr>
            <w:tcW w:type="dxa" w:w="2880"/>
          </w:tcPr>
          <w:p>
            <w:r>
              <w:t>0.8%</w:t>
            </w:r>
          </w:p>
        </w:tc>
      </w:tr>
      <w:tr>
        <w:tc>
          <w:tcPr>
            <w:tcW w:type="dxa" w:w="2880"/>
          </w:tcPr>
          <w:p>
            <w:r>
              <w:t>psychotic disorder</w:t>
            </w:r>
          </w:p>
        </w:tc>
        <w:tc>
          <w:tcPr>
            <w:tcW w:type="dxa" w:w="2880"/>
          </w:tcPr>
          <w:p>
            <w:r>
              <w:t>0.4%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2.6%</w:t>
            </w:r>
          </w:p>
        </w:tc>
      </w:tr>
      <w:tr>
        <w:tc>
          <w:tcPr>
            <w:tcW w:type="dxa" w:w="2880"/>
          </w:tcPr>
          <w:p>
            <w:r>
              <w:t>stress response syndromes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0.6%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