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ADCF" w14:textId="1EB2107C" w:rsidR="00037F89" w:rsidRDefault="00D443CA">
      <w:r w:rsidRPr="00D443CA">
        <w:rPr>
          <w:b/>
          <w:bCs/>
        </w:rPr>
        <w:t xml:space="preserve">Report on choosen CAR-T targets </w:t>
      </w:r>
    </w:p>
    <w:p w14:paraId="6B25338B" w14:textId="77777777" w:rsidR="00D443CA" w:rsidRDefault="00D443CA"/>
    <w:p w14:paraId="1D27F1D6" w14:textId="45468C73" w:rsidR="00D443CA" w:rsidRDefault="00D443CA">
      <w:r>
        <w:t xml:space="preserve">EGFR, CD7, MSLN, and CD19 have been evaluated as potential CAR-T targets. </w:t>
      </w:r>
    </w:p>
    <w:p w14:paraId="19CDDD02" w14:textId="4585E3FD" w:rsidR="00D443CA" w:rsidRDefault="00D443CA">
      <w:r>
        <w:t xml:space="preserve">For each target, the properties that have been evaluated are: </w:t>
      </w:r>
    </w:p>
    <w:p w14:paraId="156942E5" w14:textId="04CB0704" w:rsidR="00D443CA" w:rsidRDefault="00D443CA" w:rsidP="00D443CA">
      <w:pPr>
        <w:pStyle w:val="ListParagraph"/>
        <w:numPr>
          <w:ilvl w:val="0"/>
          <w:numId w:val="1"/>
        </w:numPr>
      </w:pPr>
      <w:r>
        <w:t xml:space="preserve">Isoforms expression in cancer and healthy tissues </w:t>
      </w:r>
    </w:p>
    <w:p w14:paraId="471D4B70" w14:textId="6959DC44" w:rsidR="00D443CA" w:rsidRDefault="00D443CA" w:rsidP="00D443CA">
      <w:pPr>
        <w:pStyle w:val="ListParagraph"/>
        <w:numPr>
          <w:ilvl w:val="0"/>
          <w:numId w:val="1"/>
        </w:numPr>
      </w:pPr>
      <w:r>
        <w:t xml:space="preserve">Protein topology </w:t>
      </w:r>
    </w:p>
    <w:p w14:paraId="14379EAB" w14:textId="357E0D48" w:rsidR="00D443CA" w:rsidRDefault="00D443CA" w:rsidP="00D443CA">
      <w:pPr>
        <w:pStyle w:val="ListParagraph"/>
        <w:numPr>
          <w:ilvl w:val="0"/>
          <w:numId w:val="1"/>
        </w:numPr>
      </w:pPr>
      <w:r>
        <w:t>Cellular localization</w:t>
      </w:r>
    </w:p>
    <w:p w14:paraId="34451A13" w14:textId="0DF0415A" w:rsidR="00D443CA" w:rsidRDefault="00D443CA" w:rsidP="00D443CA">
      <w:pPr>
        <w:pStyle w:val="ListParagraph"/>
        <w:numPr>
          <w:ilvl w:val="0"/>
          <w:numId w:val="1"/>
        </w:numPr>
      </w:pPr>
      <w:r>
        <w:t xml:space="preserve">Epitope colocalization, when possible </w:t>
      </w:r>
      <w:r w:rsidR="00D21BA2">
        <w:t>(missing)</w:t>
      </w:r>
      <w:r>
        <w:t xml:space="preserve"> </w:t>
      </w:r>
    </w:p>
    <w:p w14:paraId="6FBB580D" w14:textId="77777777" w:rsidR="00D443CA" w:rsidRDefault="00D443CA" w:rsidP="00D443CA"/>
    <w:p w14:paraId="74B4574C" w14:textId="05B45A3A" w:rsidR="00D443CA" w:rsidRDefault="00D443CA" w:rsidP="00D443CA">
      <w:r>
        <w:t>The script (Rmarkdown) generating the results is in: cartcontent/scr/</w:t>
      </w:r>
      <w:r w:rsidRPr="00D443CA">
        <w:t xml:space="preserve"> 02_Targets_evaluation_figures_paper_2024</w:t>
      </w:r>
      <w:r>
        <w:t xml:space="preserve">.Rmd. </w:t>
      </w:r>
    </w:p>
    <w:p w14:paraId="263D2F55" w14:textId="77777777" w:rsidR="00D21BA2" w:rsidRDefault="00D21BA2" w:rsidP="00D443CA"/>
    <w:p w14:paraId="5AC079C4" w14:textId="57151997" w:rsidR="00D21BA2" w:rsidRPr="00AD523E" w:rsidRDefault="00D21BA2" w:rsidP="00D21BA2">
      <w:pPr>
        <w:rPr>
          <w:b/>
          <w:bCs/>
        </w:rPr>
      </w:pPr>
      <w:r w:rsidRPr="00AD523E">
        <w:rPr>
          <w:b/>
          <w:bCs/>
        </w:rPr>
        <w:t xml:space="preserve">Isoforms expression in cancer and healthy tissues </w:t>
      </w:r>
    </w:p>
    <w:p w14:paraId="201E42C2" w14:textId="07ADFD1B" w:rsidR="00D21BA2" w:rsidRDefault="00F76FCB" w:rsidP="00D21BA2">
      <w:r>
        <w:t xml:space="preserve">EGFR </w:t>
      </w:r>
      <w:r>
        <w:sym w:font="Wingdings" w:char="F0E0"/>
      </w:r>
      <w:r>
        <w:t xml:space="preserve"> higher in cancer, but not absent in healthy tissues. </w:t>
      </w:r>
    </w:p>
    <w:p w14:paraId="06D52524" w14:textId="77777777" w:rsidR="00AD523E" w:rsidRDefault="00AD523E" w:rsidP="00D21BA2"/>
    <w:p w14:paraId="0E1AAF71" w14:textId="3F965F5C" w:rsidR="00AD523E" w:rsidRDefault="00F76FCB" w:rsidP="00D21BA2">
      <w:r>
        <w:t xml:space="preserve">CD7 </w:t>
      </w:r>
      <w:r>
        <w:sym w:font="Wingdings" w:char="F0E0"/>
      </w:r>
      <w:r>
        <w:t xml:space="preserve"> it is normally expressed on T cells and NK cells (source </w:t>
      </w:r>
      <w:hyperlink r:id="rId5" w:history="1">
        <w:r w:rsidRPr="00F76FCB">
          <w:rPr>
            <w:rStyle w:val="Hyperlink"/>
          </w:rPr>
          <w:t>the protein atlas</w:t>
        </w:r>
      </w:hyperlink>
      <w:r>
        <w:t xml:space="preserve">). However, in TCGA the only blood related cancers are acute myeloid leukemia and diffuse large B cell lymphoma. So we cannot verify the expression of CD7 in T cell related malignancies. </w:t>
      </w:r>
    </w:p>
    <w:p w14:paraId="69767001" w14:textId="700AA917" w:rsidR="00D21BA2" w:rsidRDefault="00F76FCB" w:rsidP="00D21BA2">
      <w:r>
        <w:rPr>
          <w:noProof/>
        </w:rPr>
        <w:drawing>
          <wp:inline distT="0" distB="0" distL="0" distR="0" wp14:anchorId="6405D54F" wp14:editId="00A6E695">
            <wp:extent cx="5731510" cy="1972945"/>
            <wp:effectExtent l="0" t="0" r="0" b="0"/>
            <wp:docPr id="70857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7204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71AE" w14:textId="74F45FDF" w:rsidR="00AD523E" w:rsidRDefault="002409F4" w:rsidP="002409F4">
      <w:r>
        <w:t xml:space="preserve">Based on the GTEX data, </w:t>
      </w:r>
      <w:r w:rsidR="00AD523E">
        <w:t>CD7 is also expressed in lung, small intestine, spleen, stomach</w:t>
      </w:r>
      <w:r>
        <w:t xml:space="preserve">. Most likely, the reason why it is expressed in such tissues is that there are infiltrating T cells in the tissue. We could check the literature, to see if there is agreement </w:t>
      </w:r>
      <w:r w:rsidR="00281F71">
        <w:t>with</w:t>
      </w:r>
      <w:r>
        <w:t xml:space="preserve"> the fact that CD7 is only expressed on T cells or NK cells. In addition, we could check</w:t>
      </w:r>
      <w:r w:rsidR="00AD523E">
        <w:t xml:space="preserve"> </w:t>
      </w:r>
      <w:r>
        <w:t>how the expression</w:t>
      </w:r>
      <w:r w:rsidR="00AD523E">
        <w:t xml:space="preserve"> of CD7</w:t>
      </w:r>
      <w:r>
        <w:t xml:space="preserve"> correlates</w:t>
      </w:r>
      <w:r w:rsidR="00AD523E">
        <w:t xml:space="preserve"> with CD3 or CD56 espression</w:t>
      </w:r>
      <w:r>
        <w:t xml:space="preserve"> (T cell and NK markers)</w:t>
      </w:r>
      <w:r w:rsidR="00AD523E">
        <w:t xml:space="preserve">? </w:t>
      </w:r>
    </w:p>
    <w:p w14:paraId="122C110A" w14:textId="77777777" w:rsidR="00AD523E" w:rsidRDefault="00AD523E" w:rsidP="00AD523E"/>
    <w:p w14:paraId="754BDA1E" w14:textId="2DD44086" w:rsidR="00AD523E" w:rsidRDefault="00AD523E" w:rsidP="00AD523E">
      <w:r>
        <w:t xml:space="preserve">MSLN </w:t>
      </w:r>
      <w:r>
        <w:sym w:font="Wingdings" w:char="F0E0"/>
      </w:r>
      <w:r>
        <w:t xml:space="preserve"> </w:t>
      </w:r>
      <w:r w:rsidR="00D87CEF">
        <w:t xml:space="preserve">in both cancer and healthy tissues. </w:t>
      </w:r>
    </w:p>
    <w:p w14:paraId="22D5C6D4" w14:textId="77777777" w:rsidR="00AD523E" w:rsidRDefault="00AD523E" w:rsidP="00AD523E"/>
    <w:p w14:paraId="0EC398AD" w14:textId="45B02945" w:rsidR="00AD523E" w:rsidRDefault="00AD523E" w:rsidP="00AD523E">
      <w:r>
        <w:t xml:space="preserve">CD19 </w:t>
      </w:r>
      <w:r>
        <w:sym w:font="Wingdings" w:char="F0E0"/>
      </w:r>
      <w:r>
        <w:t xml:space="preserve"> it is used as target for both hematological and solid malignancies. </w:t>
      </w:r>
    </w:p>
    <w:p w14:paraId="255E4EB8" w14:textId="528AA7FF" w:rsidR="00AD523E" w:rsidRDefault="00AD523E" w:rsidP="00AD523E">
      <w:r>
        <w:t xml:space="preserve">It is expressed on healthy small intestine, spleen, stomach, testis. </w:t>
      </w:r>
    </w:p>
    <w:p w14:paraId="26B2919A" w14:textId="171D4A94" w:rsidR="00AD523E" w:rsidRDefault="00281F71" w:rsidP="00281F71">
      <w:r>
        <w:t xml:space="preserve">Same as for CD7: the reason why it’s expressed on non-haematological tissues is most likely because there are B cells infiltrating in such tissues. Also in this case, we should check if literature is in agreement with CD19 being only expressed by B cells. We can also check how the expression of CD19 correlates with CD20 or other known B cell markers. </w:t>
      </w:r>
    </w:p>
    <w:p w14:paraId="5F2BE601" w14:textId="77777777" w:rsidR="00281F71" w:rsidRDefault="00281F71" w:rsidP="00281F71"/>
    <w:p w14:paraId="44E1DD90" w14:textId="721D8352" w:rsidR="00D87CEF" w:rsidRDefault="00D87CEF" w:rsidP="00281F71">
      <w:r>
        <w:lastRenderedPageBreak/>
        <w:t xml:space="preserve">Conclusion: it is hard to find a target that is not expressed in healthy tissues. Maybe we can focus on bringing CD19 or CD7 as example? </w:t>
      </w:r>
    </w:p>
    <w:p w14:paraId="5066ACB2" w14:textId="77777777" w:rsidR="00D87CEF" w:rsidRDefault="00D87CEF" w:rsidP="00281F71"/>
    <w:p w14:paraId="7F835658" w14:textId="26D14D81" w:rsidR="00D21BA2" w:rsidRPr="009F3060" w:rsidRDefault="00D21BA2" w:rsidP="00D21BA2">
      <w:pPr>
        <w:rPr>
          <w:b/>
          <w:bCs/>
        </w:rPr>
      </w:pPr>
      <w:r w:rsidRPr="009F3060">
        <w:rPr>
          <w:b/>
          <w:bCs/>
        </w:rPr>
        <w:t xml:space="preserve">Protein topology </w:t>
      </w:r>
      <w:r w:rsidR="00D87CEF">
        <w:rPr>
          <w:b/>
          <w:bCs/>
        </w:rPr>
        <w:t>&amp; c</w:t>
      </w:r>
      <w:r w:rsidR="00D87CEF" w:rsidRPr="00D87CEF">
        <w:rPr>
          <w:b/>
          <w:bCs/>
        </w:rPr>
        <w:t>ellular localization</w:t>
      </w:r>
    </w:p>
    <w:p w14:paraId="7FABE996" w14:textId="4A54F9AC" w:rsidR="00D21BA2" w:rsidRDefault="00D87CEF" w:rsidP="00D443CA">
      <w:r>
        <w:t>Protein topology is</w:t>
      </w:r>
      <w:r w:rsidR="009F3060">
        <w:t xml:space="preserve"> line with cellular </w:t>
      </w:r>
      <w:r>
        <w:t>localization</w:t>
      </w:r>
      <w:r w:rsidR="009E594F">
        <w:t>: for CD7, CD19, and EGFR, variants with a TM domain are also predicted to be on the cell membrane by DeepLoc2. Regarding MSLN, non</w:t>
      </w:r>
      <w:r w:rsidR="00281F71">
        <w:t>e</w:t>
      </w:r>
      <w:r w:rsidR="009E594F">
        <w:t xml:space="preserve"> of the variants has a TM domain. DeepLoc2 still predicts them as membrane bound. This can be explained by the fact that MSLN is anchored to the cell membrane by </w:t>
      </w:r>
      <w:r w:rsidR="009E594F" w:rsidRPr="009E594F">
        <w:t>glycosylphosphatidylinositol (GPI)</w:t>
      </w:r>
      <w:r w:rsidR="009E594F">
        <w:t xml:space="preserve"> anchors, and therefore does not need a TM domain. It would be interesting to predict possible GPI</w:t>
      </w:r>
      <w:r w:rsidR="00281F71">
        <w:t xml:space="preserve"> anchors (tool </w:t>
      </w:r>
      <w:hyperlink r:id="rId7" w:history="1">
        <w:r w:rsidR="00281F71" w:rsidRPr="00281F71">
          <w:rPr>
            <w:rStyle w:val="Hyperlink"/>
          </w:rPr>
          <w:t>NetGPI</w:t>
        </w:r>
      </w:hyperlink>
      <w:r w:rsidR="00281F71">
        <w:t xml:space="preserve">). </w:t>
      </w:r>
    </w:p>
    <w:p w14:paraId="7E28D891" w14:textId="77777777" w:rsidR="00281F71" w:rsidRDefault="00281F71" w:rsidP="00D443CA"/>
    <w:p w14:paraId="54BA160E" w14:textId="02040A98" w:rsidR="00D87CEF" w:rsidRDefault="00D87CEF" w:rsidP="00D443CA">
      <w:r w:rsidRPr="003C6336">
        <w:rPr>
          <w:u w:val="single"/>
        </w:rPr>
        <w:t>Example</w:t>
      </w:r>
      <w:r>
        <w:t xml:space="preserve">: EGFR (the canonical isoform is </w:t>
      </w:r>
      <w:r w:rsidR="003C6336">
        <w:t>highlighted</w:t>
      </w:r>
      <w:r>
        <w:t xml:space="preserve"> in the plots below). </w:t>
      </w:r>
    </w:p>
    <w:p w14:paraId="302B4037" w14:textId="421AAE3E" w:rsidR="00D87CEF" w:rsidRDefault="00D87CEF" w:rsidP="00D443CA">
      <w:r>
        <w:t xml:space="preserve">Both </w:t>
      </w:r>
      <w:r w:rsidRPr="00D87CEF">
        <w:t>ENST00000275493</w:t>
      </w:r>
      <w:r>
        <w:t xml:space="preserve"> and </w:t>
      </w:r>
      <w:r w:rsidRPr="00D87CEF">
        <w:t>ENST00000455089</w:t>
      </w:r>
      <w:r>
        <w:t xml:space="preserve"> have a TM domain. They are also predicted to be localized on the cell membrane by DeepLoc2. </w:t>
      </w:r>
      <w:r w:rsidR="003C6336">
        <w:t xml:space="preserve">Other variants do not have the TM domain, and are predicted to be extracellular. </w:t>
      </w:r>
    </w:p>
    <w:p w14:paraId="227D4771" w14:textId="77777777" w:rsidR="00D21BA2" w:rsidRDefault="00D21BA2" w:rsidP="00D443CA"/>
    <w:p w14:paraId="67BE0E6F" w14:textId="5A668EC9" w:rsidR="00D21BA2" w:rsidRDefault="00D87CEF" w:rsidP="00D443C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808DE3" wp14:editId="26DB7B72">
                <wp:simplePos x="0" y="0"/>
                <wp:positionH relativeFrom="column">
                  <wp:posOffset>2876455</wp:posOffset>
                </wp:positionH>
                <wp:positionV relativeFrom="paragraph">
                  <wp:posOffset>153928</wp:posOffset>
                </wp:positionV>
                <wp:extent cx="545400" cy="5040"/>
                <wp:effectExtent l="63500" t="101600" r="64770" b="97155"/>
                <wp:wrapNone/>
                <wp:docPr id="136327376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54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6A3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23.65pt;margin-top:6.45pt;width:48.65pt;height: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&#13;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5AFE88" wp14:editId="472058D2">
            <wp:extent cx="3695307" cy="1828800"/>
            <wp:effectExtent l="0" t="0" r="635" b="0"/>
            <wp:docPr id="319839691" name="Picture 2" descr="A colorful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9691" name="Picture 2" descr="A colorful squares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45" cy="18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7EE4" w14:textId="71C8E152" w:rsidR="00D443CA" w:rsidRDefault="00D87CEF" w:rsidP="00D443C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78FB4E" wp14:editId="510A41DC">
                <wp:simplePos x="0" y="0"/>
                <wp:positionH relativeFrom="column">
                  <wp:posOffset>182935</wp:posOffset>
                </wp:positionH>
                <wp:positionV relativeFrom="paragraph">
                  <wp:posOffset>413128</wp:posOffset>
                </wp:positionV>
                <wp:extent cx="414720" cy="6120"/>
                <wp:effectExtent l="63500" t="101600" r="67945" b="108585"/>
                <wp:wrapNone/>
                <wp:docPr id="17538976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47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814A5" id="Ink 5" o:spid="_x0000_s1026" type="#_x0000_t75" style="position:absolute;margin-left:11.55pt;margin-top:26.9pt;width:38.3pt;height:1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&#13;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F472C8" wp14:editId="4AAC5D00">
            <wp:extent cx="3695065" cy="1488916"/>
            <wp:effectExtent l="0" t="0" r="635" b="0"/>
            <wp:docPr id="455805419" name="Picture 3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05419" name="Picture 3" descr="A graph with different colored bar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89" cy="15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3E96" w14:textId="77777777" w:rsidR="00D443CA" w:rsidRDefault="00D443CA" w:rsidP="00D443CA"/>
    <w:p w14:paraId="00035146" w14:textId="77777777" w:rsidR="00D443CA" w:rsidRPr="00D443CA" w:rsidRDefault="00D443CA"/>
    <w:sectPr w:rsidR="00D443CA" w:rsidRPr="00D4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3D25"/>
    <w:multiLevelType w:val="hybridMultilevel"/>
    <w:tmpl w:val="838AE71C"/>
    <w:lvl w:ilvl="0" w:tplc="5BA8971C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37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CA"/>
    <w:rsid w:val="00037F89"/>
    <w:rsid w:val="002409F4"/>
    <w:rsid w:val="00281F71"/>
    <w:rsid w:val="003C6336"/>
    <w:rsid w:val="008F1A48"/>
    <w:rsid w:val="009E594F"/>
    <w:rsid w:val="009F3060"/>
    <w:rsid w:val="00AD523E"/>
    <w:rsid w:val="00B730EC"/>
    <w:rsid w:val="00D21BA2"/>
    <w:rsid w:val="00D443CA"/>
    <w:rsid w:val="00D87CEF"/>
    <w:rsid w:val="00F76FCB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89C30"/>
  <w15:chartTrackingRefBased/>
  <w15:docId w15:val="{7979156D-FE2F-BD41-9AB4-A0C58C93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F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ervices.healthtech.dtu.dk/services/NetGPI-1.1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hyperlink" Target="https://www.proteinatlas.org/ENSG00000173762-CD7/single+cell+typ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6T11:20:55.5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14,'32'-2,"-3"1,-13 0,-1 1,-2-1,0 1,1 0,-1 0,0 0,-3 0,0 0,1 0,2 0,2 0,1 0,2 0,0 0,1 0,-3 0,6 0,-7 0,2 0,-6-1,-1 1,0 0,2 0,0 0,3 0,1 1,3-1,0 1,0-1,1 0,-1 0,-1 1,0-1,-1 1,2 0,0-1,1 0,-2 0,-2 0,0 0,0 0,1 0,1 0,-1 0,-1 0,0 0,0 0,1 0,0 0,0 0,-1 0,-1 0,0 0,3-1,1 0,1 1,1-1,1 0,0 1,1-1,-2 1,-1-1,-2 0,-3 1,-1 0,0-1,-1 1,-1 0,0 0,1 0,9 0,2-1,1 1,-5 0,-7 0,1 0,-1 0,3 0,2 0,-1 0,1 0,-2 0,1 0,0 0,-5 0,-2 0,-1-1,2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6T11:20:59.42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17,'43'-7,"-9"1,-18 4,-2 1,4 1,10-1,5 2,3-1,-3 1,-3-1,0 0,0 0,1 0,-2 1,1-1,-2 1,-2-1,0 0,-2 0,3 0,4 0,3 0,1 0,-3 0,-4 0,-5 0,0 0,4 0,2 0,1 0,-4 0,-6 0,-1 0,-3 0,1 0,1 0,1 0,1 0,-2 0,0 0,-1 0,-1 0,-1 0,-3 0,-2 0,0-1,0 0,2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Moranzoni</dc:creator>
  <cp:keywords/>
  <dc:description/>
  <cp:lastModifiedBy>Giorgia Moranzoni</cp:lastModifiedBy>
  <cp:revision>4</cp:revision>
  <dcterms:created xsi:type="dcterms:W3CDTF">2024-06-04T06:59:00Z</dcterms:created>
  <dcterms:modified xsi:type="dcterms:W3CDTF">2024-06-06T11:30:00Z</dcterms:modified>
</cp:coreProperties>
</file>