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For the full dataset we obtained 1000 post-warmup samples each</w:t>
      </w:r>
      <w:r>
        <w:t xml:space="preserve"> </w:t>
      </w:r>
      <w:r>
        <w:t xml:space="preserve">from 4 independent Markov chains after 1000 warm-up samples and</w:t>
      </w:r>
      <w:r>
        <w:t xml:space="preserve"> </w:t>
      </w:r>
      <w:r>
        <w:t xml:space="preserve">“</w:t>
      </w:r>
      <w:r>
        <w:t xml:space="preserve">hot-starting</w:t>
      </w:r>
      <w:r>
        <w:t xml:space="preserve">”</w:t>
      </w:r>
      <w:r>
        <w:t xml:space="preserve"> </w:t>
      </w:r>
      <w:r>
        <w:t xml:space="preserve">with a mass metric output by a previous model run.</w:t>
      </w:r>
    </w:p>
    <w:p>
      <w:pPr>
        <w:pStyle w:val="BodyText"/>
      </w:pPr>
      <w:r>
        <w:t xml:space="preserve">For the missing-data dataset XXX.</w:t>
      </w:r>
    </w:p>
    <w:p>
      <w:pPr>
        <w:pStyle w:val="BodyText"/>
      </w:pPr>
      <w:r>
        <w:t xml:space="preserve">For the Laplace approximation comparison, we used Maud’s Laplace mode. Full</w:t>
      </w:r>
      <w:r>
        <w:t xml:space="preserve"> </w:t>
      </w:r>
      <w:r>
        <w:t xml:space="preserve">details as well as instructions for reproducing our analysis can be found at</w:t>
      </w:r>
      <w:r>
        <w:t xml:space="preserve"> </w:t>
      </w:r>
      <w:r>
        <w:t xml:space="preserve">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4">
        <w:r>
          <w:rPr>
            <w:rStyle w:val="Hyperlink"/>
          </w:rPr>
          <w:t xml:space="preserve">https://github.com/biosustain/Methionine_model/tree/main/data/example_ode</w:t>
        </w:r>
      </w:hyperlink>
      <w:r>
        <w:t xml:space="preserve">.</w:t>
      </w:r>
    </w:p>
    <w:p>
      <w:pPr>
        <w:pStyle w:val="BodyText"/>
      </w:pPr>
      <w:r>
        <w:t xml:space="preserve">MCMC sampling for our comparison input yielded 200 samples in 625 minutes;</w:t>
      </w:r>
      <w:r>
        <w:t xml:space="preserve"> </w:t>
      </w:r>
      <w:r>
        <w:t xml:space="preserve">Laplace sampling yielded the same number of samples in XXX time. The diagnostics indicated that</w:t>
      </w:r>
      <w:r>
        <w:t xml:space="preserve"> </w:t>
      </w:r>
      <w:r>
        <w:t xml:space="preserve">our algorithm was able to find the maximum a posteriori parameter configuration,</w:t>
      </w:r>
      <w:r>
        <w:t xml:space="preserve"> </w:t>
      </w:r>
      <w:r>
        <w:t xml:space="preserve">approximate the Hessian and use these quantities to generate approximate</w:t>
      </w:r>
      <w:r>
        <w:t xml:space="preserve"> </w:t>
      </w:r>
      <w:r>
        <w:t xml:space="preserve">posterior samples. The results can be found at &lt;https://github.com/biosustain/</w:t>
      </w:r>
      <w:r>
        <w:t xml:space="preserve"> </w:t>
      </w:r>
      <w:r>
        <w:t xml:space="preserve">Methionine_model/tree/main/results&gt;.</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2</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supporting-information"/>
    <w:p>
      <w:pPr>
        <w:pStyle w:val="Heading1"/>
      </w:pPr>
      <w:r>
        <w:t xml:space="preserve">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Description of the procedure used to generate the artificial case study</w:t>
      </w:r>
      <w:r>
        <w:t xml:space="preserve"> </w:t>
      </w:r>
      <w:r>
        <w:t xml:space="preserve">datasets.</w:t>
      </w:r>
    </w:p>
    <w:p>
      <w:pPr>
        <w:numPr>
          <w:ilvl w:val="0"/>
          <w:numId w:val="1001"/>
        </w:numPr>
        <w:pStyle w:val="Compact"/>
      </w:pPr>
      <w:r>
        <w:t xml:space="preserve">Specification of the prior distribution used for the case studies</w:t>
      </w:r>
    </w:p>
    <w:bookmarkEnd w:id="64"/>
    <w:bookmarkStart w:id="65" w:name="acknowledgements"/>
    <w:p>
      <w:pPr>
        <w:pStyle w:val="Heading1"/>
      </w:pPr>
      <w:r>
        <w:t xml:space="preserve">Acknowledgements</w:t>
      </w:r>
    </w:p>
    <w:p>
      <w:pPr>
        <w:pStyle w:val="FirstParagraph"/>
      </w:pPr>
      <w:r>
        <w:t xml:space="preserve">This research was funded by the Novo Nordisk foundation using grant number</w:t>
      </w:r>
      <w:r>
        <w:t xml:space="preserve"> </w:t>
      </w:r>
      <w:r>
        <w:t xml:space="preserve">NNF14OC0009473.</w:t>
      </w:r>
    </w:p>
    <w:bookmarkEnd w:id="65"/>
    <w:bookmarkStart w:id="145" w:name="references"/>
    <w:p>
      <w:pPr>
        <w:pStyle w:val="Heading1"/>
      </w:pPr>
      <w:r>
        <w:t xml:space="preserve">References</w:t>
      </w:r>
    </w:p>
    <w:bookmarkStart w:id="144" w:name="refs"/>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5">
        <w:r>
          <w:rPr>
            <w:rStyle w:val="Hyperlink"/>
          </w:rPr>
          <w:t xml:space="preserve">https://doi.org/10.15252/msb.20199110</w:t>
        </w:r>
      </w:hyperlink>
      <w:r>
        <w:t xml:space="preserve">.</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7">
        <w:r>
          <w:rPr>
            <w:rStyle w:val="Hyperlink"/>
          </w:rPr>
          <w:t xml:space="preserve">https://doi.org/10.5281/zenodo.1284375</w:t>
        </w:r>
      </w:hyperlink>
      <w:r>
        <w:t xml:space="preserve">.</w:t>
      </w:r>
    </w:p>
    <w:bookmarkEnd w:id="98"/>
    <w:bookmarkStart w:id="10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9">
        <w:r>
          <w:rPr>
            <w:rStyle w:val="Hyperlink"/>
          </w:rPr>
          <w:t xml:space="preserve">https://doi.org/10.1093/bioadv/vbac066</w:t>
        </w:r>
      </w:hyperlink>
      <w:r>
        <w:t xml:space="preserve">.</w:t>
      </w:r>
    </w:p>
    <w:bookmarkEnd w:id="100"/>
    <w:bookmarkStart w:id="10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1">
        <w:r>
          <w:rPr>
            <w:rStyle w:val="Hyperlink"/>
          </w:rPr>
          <w:t xml:space="preserve">https://doi.org/10.1016/S0022-2836(65)80285-6</w:t>
        </w:r>
      </w:hyperlink>
      <w:r>
        <w:t xml:space="preserve">.</w:t>
      </w:r>
    </w:p>
    <w:bookmarkEnd w:id="102"/>
    <w:bookmarkStart w:id="10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3">
        <w:r>
          <w:rPr>
            <w:rStyle w:val="Hyperlink"/>
          </w:rPr>
          <w:t xml:space="preserve">https://doi.org/10.1016/j.febslet.2013.07.028</w:t>
        </w:r>
      </w:hyperlink>
      <w:r>
        <w:t xml:space="preserve">.</w:t>
      </w:r>
    </w:p>
    <w:bookmarkEnd w:id="104"/>
    <w:bookmarkStart w:id="10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5">
        <w:r>
          <w:rPr>
            <w:rStyle w:val="Hyperlink"/>
          </w:rPr>
          <w:t xml:space="preserve">https://pypi.org/project/toml/</w:t>
        </w:r>
      </w:hyperlink>
      <w:r>
        <w:t xml:space="preserve">.</w:t>
      </w:r>
    </w:p>
    <w:bookmarkEnd w:id="106"/>
    <w:bookmarkStart w:id="10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7">
        <w:r>
          <w:rPr>
            <w:rStyle w:val="Hyperlink"/>
          </w:rPr>
          <w:t xml:space="preserve">https://doi.org/10.1017/S0266466698144043</w:t>
        </w:r>
      </w:hyperlink>
      <w:r>
        <w:t xml:space="preserve">.</w:t>
      </w:r>
    </w:p>
    <w:bookmarkEnd w:id="108"/>
    <w:bookmarkStart w:id="11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9">
        <w:r>
          <w:rPr>
            <w:rStyle w:val="Hyperlink"/>
          </w:rPr>
          <w:t xml:space="preserve">https://doi.org/10.1016/0014-5793(75)80034-2</w:t>
        </w:r>
      </w:hyperlink>
      <w:r>
        <w:t xml:space="preserve">.</w:t>
      </w:r>
    </w:p>
    <w:bookmarkEnd w:id="110"/>
    <w:bookmarkStart w:id="11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1">
        <w:r>
          <w:rPr>
            <w:rStyle w:val="Hyperlink"/>
          </w:rPr>
          <w:t xml:space="preserve">https://www.ncbi.nlm.nih.gov/pubmed/156878</w:t>
        </w:r>
      </w:hyperlink>
      <w:r>
        <w:t xml:space="preserve">.</w:t>
      </w:r>
    </w:p>
    <w:bookmarkEnd w:id="112"/>
    <w:bookmarkStart w:id="11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3">
        <w:r>
          <w:rPr>
            <w:rStyle w:val="Hyperlink"/>
          </w:rPr>
          <w:t xml:space="preserve">https://toml.io/en/v1.0.0-rc.1/</w:t>
        </w:r>
      </w:hyperlink>
      <w:r>
        <w:t xml:space="preserve">.</w:t>
      </w:r>
    </w:p>
    <w:bookmarkEnd w:id="114"/>
    <w:bookmarkStart w:id="116" w:name="ref-pydanticdevelopersPydantic2022"/>
    <w:p>
      <w:pPr>
        <w:pStyle w:val="Bibliography"/>
      </w:pPr>
      <w:r>
        <w:t xml:space="preserve">Pydantic developers. 2022.</w:t>
      </w:r>
      <w:r>
        <w:t xml:space="preserve"> </w:t>
      </w:r>
      <w:r>
        <w:t xml:space="preserve">“Pydantic.”</w:t>
      </w:r>
      <w:r>
        <w:t xml:space="preserve"> </w:t>
      </w:r>
      <w:hyperlink r:id="rId115">
        <w:r>
          <w:rPr>
            <w:rStyle w:val="Hyperlink"/>
          </w:rPr>
          <w:t xml:space="preserve">https://pypi.org/project/pydantic/</w:t>
        </w:r>
      </w:hyperlink>
      <w:r>
        <w:t xml:space="preserve">.</w:t>
      </w:r>
    </w:p>
    <w:bookmarkEnd w:id="116"/>
    <w:bookmarkStart w:id="11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7">
        <w:r>
          <w:rPr>
            <w:rStyle w:val="Hyperlink"/>
          </w:rPr>
          <w:t xml:space="preserve">https://doi.org/10.1063/1.3528102</w:t>
        </w:r>
      </w:hyperlink>
      <w:r>
        <w:t xml:space="preserve">.</w:t>
      </w:r>
    </w:p>
    <w:bookmarkEnd w:id="118"/>
    <w:bookmarkStart w:id="12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9">
        <w:r>
          <w:rPr>
            <w:rStyle w:val="Hyperlink"/>
          </w:rPr>
          <w:t xml:space="preserve">https://doi.org/10.1098/rsta.2011.0544</w:t>
        </w:r>
      </w:hyperlink>
      <w:r>
        <w:t xml:space="preserve">.</w:t>
      </w:r>
    </w:p>
    <w:bookmarkEnd w:id="120"/>
    <w:bookmarkStart w:id="12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1">
        <w:r>
          <w:rPr>
            <w:rStyle w:val="Hyperlink"/>
          </w:rPr>
          <w:t xml:space="preserve">https://doi.org/10.1038/srep29635</w:t>
        </w:r>
      </w:hyperlink>
      <w:r>
        <w:t xml:space="preserve">.</w:t>
      </w:r>
    </w:p>
    <w:bookmarkEnd w:id="122"/>
    <w:bookmarkStart w:id="124"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3">
        <w:r>
          <w:rPr>
            <w:rStyle w:val="Hyperlink"/>
          </w:rPr>
          <w:t xml:space="preserve">https://doi.org/10.1371/journal.pcbi.1008646</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3">
        <w:r>
          <w:rPr>
            <w:rStyle w:val="Hyperlink"/>
          </w:rPr>
          <w:t xml:space="preserve">http://arxiv.org/abs/1804.06788</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Start w:id="143"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2">
        <w:r>
          <w:rPr>
            <w:rStyle w:val="Hyperlink"/>
          </w:rPr>
          <w:t xml:space="preserve">https://doi.org/10.1002/btpr.284</w:t>
        </w:r>
      </w:hyperlink>
      <w:r>
        <w:t xml:space="preserve">.</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3"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2"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123"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129"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2023-10-30T13:27:08Z</dcterms:created>
  <dcterms:modified xsi:type="dcterms:W3CDTF">2023-10-30T13:27:08Z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