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45.png" ContentType="image/png"/>
  <Override PartName="/word/media/rId21.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modelling</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Below,</w:t>
      </w:r>
      <w:r>
        <w:t xml:space="preserve"> </w:t>
      </w:r>
      <w:r>
        <w:t xml:space="preserve">we</w:t>
      </w:r>
      <w:r>
        <w:t xml:space="preserve"> </w:t>
      </w:r>
      <w:r>
        <w:t xml:space="preserve">review</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explain</w:t>
      </w:r>
      <w:r>
        <w:t xml:space="preserve"> </w:t>
      </w:r>
      <w:r>
        <w:t xml:space="preserve">how</w:t>
      </w:r>
      <w:r>
        <w:t xml:space="preserve"> </w:t>
      </w:r>
      <w:r>
        <w:t xml:space="preserve">Maud</w:t>
      </w:r>
      <w:r>
        <w:t xml:space="preserve"> </w:t>
      </w:r>
      <w:r>
        <w:t xml:space="preserve">improves</w:t>
      </w:r>
      <w:r>
        <w:t xml:space="preserve"> </w:t>
      </w:r>
      <w:r>
        <w:t xml:space="preserve">on</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describe</w:t>
      </w:r>
      <w:r>
        <w:t xml:space="preserve"> </w:t>
      </w:r>
      <w:r>
        <w:t xml:space="preserve">the</w:t>
      </w:r>
      <w:r>
        <w:t xml:space="preserve"> </w:t>
      </w:r>
      <w:r>
        <w:t xml:space="preserve">intended</w:t>
      </w:r>
      <w:r>
        <w:t xml:space="preserve"> </w:t>
      </w:r>
      <w:r>
        <w:t xml:space="preserve">modelling</w:t>
      </w:r>
      <w:r>
        <w:t xml:space="preserve"> </w:t>
      </w:r>
      <w:r>
        <w:t xml:space="preserve">workflow</w:t>
      </w:r>
      <w:r>
        <w:t xml:space="preserve"> </w:t>
      </w:r>
      <w:r>
        <w:t xml:space="preserve">and</w:t>
      </w:r>
      <w:r>
        <w:t xml:space="preserve"> </w:t>
      </w:r>
      <w:r>
        <w:t xml:space="preserve">illustrate</w:t>
      </w:r>
      <w:r>
        <w:t xml:space="preserve"> </w:t>
      </w:r>
      <w:r>
        <w:t xml:space="preserve">its</w:t>
      </w:r>
      <w:r>
        <w:t xml:space="preserve"> </w:t>
      </w:r>
      <w:r>
        <w:t xml:space="preserve">use</w:t>
      </w:r>
      <w:r>
        <w:t xml:space="preserve"> </w:t>
      </w:r>
      <w:r>
        <w:t xml:space="preserve">with</w:t>
      </w:r>
      <w:r>
        <w:t xml:space="preserve"> </w:t>
      </w:r>
      <w:r>
        <w:t xml:space="preserve">an</w:t>
      </w:r>
      <w:r>
        <w:t xml:space="preserve"> </w:t>
      </w:r>
      <w:r>
        <w:t xml:space="preserve">example</w:t>
      </w:r>
      <w:r>
        <w:t xml:space="preserve"> </w:t>
      </w:r>
      <w:r>
        <w:t xml:space="preserve">application.</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51"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1"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supplementary information section [REFERENCE].</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2.1.1 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2.1.2 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2.1.3 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2.1.4 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supplementary materials section [REFERENCE]. The first</w:t>
      </w:r>
      <w:r>
        <w:t xml:space="preserve"> </w:t>
      </w:r>
      <w:r>
        <w:t xml:space="preserve">two columns show the 1% and 99% quantiles of each marginal prior distribution.</w:t>
      </w:r>
      <w:r>
        <w:t xml:space="preserve"> </w:t>
      </w:r>
      <w:r>
        <w:t xml:space="preserve">True parameter value are shown in column three, and the last column shows the</w:t>
      </w:r>
      <w:r>
        <w:t xml:space="preserve"> </w:t>
      </w:r>
      <w:r>
        <w:t xml:space="preserve">z-score on log scale of the true parameter value according the marginal prior</w:t>
      </w:r>
      <w:r>
        <w:t xml:space="preserve"> </w:t>
      </w:r>
      <w:r>
        <w:t xml:space="preserve">distribution. As can be seen from the table, there are 7 parameters for which</w:t>
      </w:r>
      <w:r>
        <w:t xml:space="preserve"> </w:t>
      </w:r>
      <w:r>
        <w:t xml:space="preserve">the true value is outside the 1%-99% range. This is desirable, making the case</w:t>
      </w:r>
      <w:r>
        <w:t xml:space="preserve"> </w:t>
      </w:r>
      <w:r>
        <w:t xml:space="preserve">study more realistic, because extreme deviance from the prior distribution is</w:t>
      </w:r>
      <w:r>
        <w:t xml:space="preserve"> </w:t>
      </w:r>
      <w:r>
        <w:t xml:space="preserve">likely to occur in practice due to in vivo to in vitro measurement differences.</w:t>
      </w:r>
    </w:p>
    <w:bookmarkEnd w:id="30"/>
    <w:bookmarkEnd w:id="31"/>
    <w:bookmarkStart w:id="50" w:name="findings"/>
    <w:p>
      <w:pPr>
        <w:pStyle w:val="Heading2"/>
      </w:pPr>
      <w:r>
        <w:t xml:space="preserve">2.2 Findings</w:t>
      </w:r>
    </w:p>
    <w:bookmarkStart w:id="32" w:name="posterior-inference"/>
    <w:p>
      <w:pPr>
        <w:pStyle w:val="Heading3"/>
      </w:pPr>
      <w:r>
        <w:t xml:space="preserve">2.2.1 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w:t>
      </w:r>
      <w:r>
        <w:t xml:space="preserve"> </w:t>
      </w:r>
      <w:r>
        <w:t xml:space="preserve">to the simulated reaction and metabolite concentration measurements, as shown</w:t>
      </w:r>
      <w:r>
        <w:t xml:space="preserve"> </w:t>
      </w:r>
      <w:r>
        <w:t xml:space="preserve">by the graphs in the top row of figure 3. Note that the fit was good for both</w:t>
      </w:r>
      <w:r>
        <w:t xml:space="preserve"> </w:t>
      </w:r>
      <w:r>
        <w:t xml:space="preserve">training and validation measurements.</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w:t>
      </w:r>
      <w:r>
        <w:t xml:space="preserve"> </w:t>
      </w:r>
      <w:r>
        <w:t xml:space="preserve">as the one shown in the bottom left of figure 3; in this case the marginal</w:t>
      </w:r>
      <w:r>
        <w:t xml:space="preserve"> </w:t>
      </w:r>
      <w:r>
        <w:t xml:space="preserve">distribution of the two parameters is roughly banana shaped. More commonly,</w:t>
      </w:r>
      <w:r>
        <w:t xml:space="preserve"> </w:t>
      </w:r>
      <w:r>
        <w:t xml:space="preserve">however, two-dimensional pair plots were insufficient to reveal the underlying</w:t>
      </w:r>
      <w:r>
        <w:t xml:space="preserve"> </w:t>
      </w:r>
      <w:r>
        <w:t xml:space="preserve">correlation structure, as seen in the bottom-right plot in figure 3. This does</w:t>
      </w:r>
      <w:r>
        <w:t xml:space="preserve"> </w:t>
      </w:r>
      <w:r>
        <w:t xml:space="preserve">not mean that the parameters were uncorrelated, but rather that the correlations</w:t>
      </w:r>
      <w:r>
        <w:t xml:space="preserve"> </w:t>
      </w:r>
      <w:r>
        <w:t xml:space="preserve">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bookmarkEnd w:id="32"/>
    <w:bookmarkStart w:id="39" w:name="sec-laplace"/>
    <w:p>
      <w:pPr>
        <w:pStyle w:val="Heading3"/>
      </w:pPr>
      <w:r>
        <w:t xml:space="preserve">2.2.2 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3">
        <w:r>
          <w:rPr>
            <w:rStyle w:val="Hyperlink"/>
          </w:rPr>
          <w:t xml:space="preserve">https://github.com/biosustain/Methionine_model/tree/main/data/example_ode</w:t>
        </w:r>
      </w:hyperlink>
      <w:r>
        <w:t xml:space="preserve">.</w:t>
      </w:r>
    </w:p>
    <w:p>
      <w:pPr>
        <w:pStyle w:val="BodyText"/>
      </w:pPr>
      <w:r>
        <w:t xml:space="preserve">MCMC sampling for our comparison input yielded 200 samples in 625 minutes;</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4">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2</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Figure</w:t>
      </w:r>
      <w:r>
        <w:t xml:space="preserve"> </w:t>
      </w:r>
      <w:hyperlink w:anchor="fig-laplace">
        <w:r>
          <w:rPr>
            <w:rStyle w:val="Hyperlink"/>
          </w:rPr>
          <w:t xml:space="preserve">Figure 2</w:t>
        </w:r>
      </w:hyperlink>
      <w:r>
        <w:t xml:space="preserve"> </w:t>
      </w:r>
      <w:r>
        <w:t xml:space="preserve">frame B compares the 5%-95% interval</w:t>
      </w:r>
      <w:r>
        <w:t xml:space="preserve"> </w:t>
      </w:r>
      <w:r>
        <w:t xml:space="preserve">for 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 figure</w:t>
      </w:r>
      <w:r>
        <w:t xml:space="preserve"> </w:t>
      </w:r>
      <w:hyperlink w:anchor="fig-laplace">
        <w:r>
          <w:rPr>
            <w:rStyle w:val="Hyperlink"/>
          </w:rPr>
          <w:t xml:space="preserve">Figure 2</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8"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36" name="Picture"/>
                        <a:graphic>
                          <a:graphicData uri="http://schemas.openxmlformats.org/drawingml/2006/picture">
                            <pic:pic>
                              <pic:nvPicPr>
                                <pic:cNvPr descr="../figures/laplace.png" id="37" name="Picture"/>
                                <pic:cNvPicPr>
                                  <a:picLocks noChangeArrowheads="1" noChangeAspect="1"/>
                                </pic:cNvPicPr>
                              </pic:nvPicPr>
                              <pic:blipFill>
                                <a:blip r:embed="rId35"/>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38"/>
        </w:tc>
      </w:tr>
    </w:tbl>
    <w:bookmarkEnd w:id="39"/>
    <w:bookmarkStart w:id="44" w:name="X9aab18619bffaaee7010f39077c602781b7715d"/>
    <w:p>
      <w:pPr>
        <w:pStyle w:val="Heading3"/>
      </w:pPr>
      <w:r>
        <w:t xml:space="preserve">2.2.3 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3</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3</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3"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predict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tc>
      </w:tr>
    </w:tbl>
    <w:bookmarkEnd w:id="44"/>
    <w:bookmarkStart w:id="49" w:name="application-to-regulatory-understanding"/>
    <w:p>
      <w:pPr>
        <w:pStyle w:val="Heading3"/>
      </w:pPr>
      <w:r>
        <w:t xml:space="preserve">2.2.4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m:oMath>
        <m:r>
          <m:t>G</m:t>
        </m:r>
        <m:r>
          <m:t>N</m:t>
        </m:r>
        <m:r>
          <m:t>M</m:t>
        </m:r>
        <m:r>
          <m:t>T</m:t>
        </m:r>
      </m:oMath>
      <w:r>
        <w:t xml:space="preserve"> </w:t>
      </w:r>
      <w:r>
        <w:t xml:space="preserve">is higher in condition 1 than in condition 2. GNMT is an irreversible</w:t>
      </w:r>
      <w:r>
        <w:t xml:space="preserve"> </w:t>
      </w:r>
      <w:r>
        <w:t xml:space="preserve">enzyme that is homotropically activated by its substrate, competitively</w:t>
      </w:r>
      <w:r>
        <w:t xml:space="preserve"> </w:t>
      </w:r>
      <w:r>
        <w:t xml:space="preserve">inhibited by its product and heterotropically inhibited. The diverse regulation</w:t>
      </w:r>
      <w:r>
        <w:t xml:space="preserve"> </w:t>
      </w:r>
      <w:r>
        <w:t xml:space="preserve">makes it the ideal test case to elucidate regulatory changes.</w:t>
      </w:r>
    </w:p>
    <w:p>
      <w:pPr>
        <w:pStyle w:val="BodyText"/>
      </w:pPr>
      <w:hyperlink w:anchor="fig-decomposition">
        <w:r>
          <w:rPr>
            <w:rStyle w:val="Hyperlink"/>
          </w:rPr>
          <w:t xml:space="preserve">Figure 4</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condition</w:t>
      </w:r>
      <w:r>
        <w:t xml:space="preserve"> </w:t>
      </w:r>
      <w:r>
        <w:t xml:space="preserve">1 compared with condition 2. A positive value indicates that the component</w:t>
      </w:r>
      <w:r>
        <w:t xml:space="preserve"> </w:t>
      </w:r>
      <w:r>
        <w:t xml:space="preserve">was increased in condition 1 relative to condition 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conditions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true values of the flux in each</w:t>
      </w:r>
      <w:r>
        <w:t xml:space="preserve"> </w:t>
      </w:r>
      <w:r>
        <w:t xml:space="preserve">condition, and propagates this uncertainty into the final conclusion. Our result</w:t>
      </w:r>
      <w:r>
        <w:t xml:space="preserve"> </w:t>
      </w:r>
      <w:r>
        <w:t xml:space="preserve">shows that Maud could be used in this realistic case not only to provide a user</w:t>
      </w:r>
      <w:r>
        <w:t xml:space="preserve"> </w:t>
      </w:r>
      <w:r>
        <w:t xml:space="preserve">with an explanation for an observed difference in fluxes, but also a reasonable</w:t>
      </w:r>
      <w:r>
        <w:t xml:space="preserve"> </w:t>
      </w:r>
      <w:r>
        <w:t xml:space="preserve">judgement as to the explanation’s robustness.</w:t>
      </w:r>
    </w:p>
    <w:tbl>
      <w:tblPr>
        <w:tblStyle w:val="Table"/>
        <w:tblW w:type="pct" w:w="5000"/>
        <w:tblLook w:firstRow="0" w:lastRow="0" w:firstColumn="0" w:lastColumn="0" w:noHBand="0" w:noVBand="0" w:val="0000"/>
        <w:jc w:val="start"/>
      </w:tblPr>
      <w:tblGrid>
        <w:gridCol w:w="7920"/>
      </w:tblGrid>
      <w:tr>
        <w:tc>
          <w:tcPr/>
          <w:bookmarkStart w:id="48"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conditions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conditions.</w:t>
            </w:r>
            <w:r>
              <w:t xml:space="preserve"> </w:t>
            </w:r>
            <w:r>
              <w:t xml:space="preserve">These plots identify why flux in condition 2 is higher than in condition 1: the</w:t>
            </w:r>
            <w:r>
              <w:t xml:space="preserve"> </w:t>
            </w:r>
            <w:r>
              <w:t xml:space="preserve">flux increase is due to allostery and saturation with no control from enzyme</w:t>
            </w:r>
            <w:r>
              <w:t xml:space="preserve"> </w:t>
            </w:r>
            <w:r>
              <w:t xml:space="preserve">concentration changes.</w:t>
            </w:r>
          </w:p>
          <w:bookmarkEnd w:id="48"/>
        </w:tc>
      </w:tr>
    </w:tbl>
    <w:bookmarkEnd w:id="49"/>
    <w:bookmarkEnd w:id="50"/>
    <w:bookmarkEnd w:id="51"/>
    <w:bookmarkStart w:id="63" w:name="methods"/>
    <w:p>
      <w:pPr>
        <w:pStyle w:val="Heading1"/>
      </w:pPr>
      <w:r>
        <w:t xml:space="preserve">3. Methods</w:t>
      </w:r>
    </w:p>
    <w:p>
      <w:pPr>
        <w:pStyle w:val="FirstParagraph"/>
      </w:pPr>
      <w:r>
        <w:t xml:space="preserve">Maud is a command line application implementing Bayesian inference for</w:t>
      </w:r>
      <w:r>
        <w:t xml:space="preserve"> </w:t>
      </w:r>
      <w:r>
        <w:t xml:space="preserve">a wide range of realistic kinetic models. Maud is written in Python</w:t>
      </w:r>
      <w:r>
        <w:t xml:space="preserve"> </w:t>
      </w:r>
      <w:r>
        <w:t xml:space="preserve">(Van Rossum and Drake 2009)</w:t>
      </w:r>
      <w:r>
        <w:t xml:space="preserve">, designed for use on Windows, macOS</w:t>
      </w:r>
      <w:r>
        <w:t xml:space="preserve"> </w:t>
      </w:r>
      <w:r>
        <w:t xml:space="preserve">and Linux, registered on the Python Package Index as</w:t>
      </w:r>
      <w:r>
        <w:t xml:space="preserve"> </w:t>
      </w:r>
      <w:r>
        <w:rPr>
          <w:rStyle w:val="VerbatimChar"/>
        </w:rPr>
        <w:t xml:space="preserve">maud-metabolic-models</w:t>
      </w:r>
      <w:r>
        <w:t xml:space="preserve">,</w:t>
      </w:r>
      <w:r>
        <w:t xml:space="preserve"> </w:t>
      </w:r>
      <w:r>
        <w:t xml:space="preserve">documented at</w:t>
      </w:r>
      <w:r>
        <w:t xml:space="preserve"> </w:t>
      </w:r>
      <w:hyperlink r:id="rId52">
        <w:r>
          <w:rPr>
            <w:rStyle w:val="Hyperlink"/>
          </w:rPr>
          <w:t xml:space="preserve">https://maud-metabolic-models.readthedocs.io</w:t>
        </w:r>
      </w:hyperlink>
      <w:r>
        <w:t xml:space="preserve"> </w:t>
      </w:r>
      <w:r>
        <w:t xml:space="preserve">and actively</w:t>
      </w:r>
      <w:r>
        <w:t xml:space="preserve"> </w:t>
      </w:r>
      <w:r>
        <w:t xml:space="preserve">developed and maintained at</w:t>
      </w:r>
      <w:r>
        <w:t xml:space="preserve"> </w:t>
      </w:r>
      <w:hyperlink r:id="rId53">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section (REFERENCE)below). Maud’s</w:t>
      </w:r>
      <w:r>
        <w:t xml:space="preserve"> </w:t>
      </w:r>
      <w:r>
        <w:t xml:space="preserve">command line interface provides commands for inference, simulation and making</w:t>
      </w:r>
      <w:r>
        <w:t xml:space="preserve"> </w:t>
      </w:r>
      <w:r>
        <w:t xml:space="preserve">out-of-sample predictions. Results are stored in files, using a structured,</w:t>
      </w:r>
      <w:r>
        <w:t xml:space="preserve"> </w:t>
      </w:r>
      <w:r>
        <w:t xml:space="preserve">interoperable format.</w:t>
      </w:r>
    </w:p>
    <w:bookmarkStart w:id="55" w:name="input-format"/>
    <w:p>
      <w:pPr>
        <w:pStyle w:val="Heading2"/>
      </w:pPr>
      <w:r>
        <w:t xml:space="preserve">3.1 Input format</w:t>
      </w:r>
    </w:p>
    <w:p>
      <w:pPr>
        <w:pStyle w:val="FirstParagraph"/>
      </w:pPr>
      <w:r>
        <w:t xml:space="preserve">Maud inputs are structured directories, somewhat inspired by the PEtab</w:t>
      </w:r>
      <w:r>
        <w:t xml:space="preserve"> </w:t>
      </w:r>
      <w:r>
        <w:t xml:space="preserve">format</w:t>
      </w:r>
      <w:r>
        <w:t xml:space="preserve"> </w:t>
      </w:r>
      <w:r>
        <w:t xml:space="preserve">(Schmiester et al. 2021)</w:t>
      </w:r>
      <w:r>
        <w:t xml:space="preserve">. A Maud input directory must contain a toml</w:t>
      </w:r>
      <w:r>
        <w:t xml:space="preserve"> </w:t>
      </w:r>
      <w:r>
        <w:t xml:space="preserve">(Preston-Werner, Tom and Gedam, Pradyun 2020)</w:t>
      </w:r>
      <w:r>
        <w:t xml:space="preserve"> </w:t>
      </w:r>
      <w:r>
        <w:t xml:space="preserve">file called</w:t>
      </w:r>
      <w:r>
        <w:t xml:space="preserve"> </w:t>
      </w:r>
      <w:r>
        <w:rPr>
          <w:rStyle w:val="VerbatimChar"/>
        </w:rPr>
        <w:t xml:space="preserve">config.toml</w:t>
      </w:r>
      <w:r>
        <w:t xml:space="preserve"> </w:t>
      </w:r>
      <w:r>
        <w:t xml:space="preserve">which gives the input a name, configures how Maud will be run</w:t>
      </w:r>
      <w:r>
        <w:t xml:space="preserve"> </w:t>
      </w:r>
      <w:r>
        <w:t xml:space="preserve">and tells Maud where to find the other files, allowing these to have custom</w:t>
      </w:r>
      <w:r>
        <w:t xml:space="preserve"> </w:t>
      </w:r>
      <w:r>
        <w:t xml:space="preserve">names. It must also include a file containing a kinetic model definition,</w:t>
      </w:r>
      <w:r>
        <w:t xml:space="preserve"> </w:t>
      </w:r>
      <w:r>
        <w:t xml:space="preserve">a file specifying information about parameters and a file with information</w:t>
      </w:r>
      <w:r>
        <w:t xml:space="preserve"> </w:t>
      </w:r>
      <w:r>
        <w:t xml:space="preserve">experiments. The required structure of these files is documented at &lt;https://</w:t>
      </w:r>
      <w:r>
        <w:t xml:space="preserve"> </w:t>
      </w:r>
      <w:r>
        <w:t xml:space="preserve">maud-metabolic-models.readthedocs.io/en/latest/inputting.html&gt;. The input is</w:t>
      </w:r>
      <w:r>
        <w:t xml:space="preserve"> </w:t>
      </w:r>
      <w:r>
        <w:t xml:space="preserve">validated against a Pydantic</w:t>
      </w:r>
      <w:r>
        <w:t xml:space="preserve"> </w:t>
      </w:r>
      <w:r>
        <w:t xml:space="preserve">(Pydantic developers 2022)</w:t>
      </w:r>
      <w:r>
        <w:t xml:space="preserve"> </w:t>
      </w:r>
      <w:r>
        <w:t xml:space="preserve">data model which can be</w:t>
      </w:r>
      <w:r>
        <w:t xml:space="preserve"> </w:t>
      </w:r>
      <w:r>
        <w:t xml:space="preserve">inspected at</w:t>
      </w:r>
      <w:r>
        <w:t xml:space="preserve"> </w:t>
      </w:r>
      <w:hyperlink r:id="rId54">
        <w:r>
          <w:rPr>
            <w:rStyle w:val="Hyperlink"/>
          </w:rPr>
          <w:t xml:space="preserve">https://github.com/biosustain/Maud/tree/main/maud/data_model</w:t>
        </w:r>
      </w:hyperlink>
      <w:r>
        <w:t xml:space="preserve">.</w:t>
      </w:r>
    </w:p>
    <w:p>
      <w:pPr>
        <w:pStyle w:val="BodyText"/>
      </w:pPr>
      <w:r>
        <w:t xml:space="preserve">We chose to implement a custom input format despite the existence of standard</w:t>
      </w:r>
      <w:r>
        <w:t xml:space="preserve"> </w:t>
      </w:r>
      <w:r>
        <w:t xml:space="preserve">formats in similar areas, including SBML</w:t>
      </w:r>
      <w:r>
        <w:t xml:space="preserve"> </w:t>
      </w:r>
      <w:r>
        <w:t xml:space="preserve">(Keating et al. 2020)</w:t>
      </w:r>
      <w:r>
        <w:t xml:space="preserve"> </w:t>
      </w:r>
      <w:r>
        <w:t xml:space="preserve">and PEtab</w:t>
      </w:r>
      <w:r>
        <w:t xml:space="preserve"> </w:t>
      </w:r>
      <w:r>
        <w:t xml:space="preserve">(Schmiester et al. 2021)</w:t>
      </w:r>
      <w:r>
        <w:t xml:space="preserve">. This choice was partly motivated by the need</w:t>
      </w:r>
      <w:r>
        <w:t xml:space="preserve"> </w:t>
      </w:r>
      <w:r>
        <w:t xml:space="preserve">to ensure flexibility as Maud was developed, but there are also features of</w:t>
      </w:r>
      <w:r>
        <w:t xml:space="preserve"> </w:t>
      </w:r>
      <w:r>
        <w:t xml:space="preserve">SBML and PEtab that make them structurally unsuitable in this context. Our</w:t>
      </w:r>
      <w:r>
        <w:t xml:space="preserve"> </w:t>
      </w:r>
      <w:r>
        <w:t xml:space="preserve">requirements for an input format included that it be mathematics-free, so that</w:t>
      </w:r>
      <w:r>
        <w:t xml:space="preserve"> </w:t>
      </w:r>
      <w:r>
        <w:t xml:space="preserve">all mathematical details are encapsulated in source code, and that it has a</w:t>
      </w:r>
      <w:r>
        <w:t xml:space="preserve"> </w:t>
      </w:r>
      <w:r>
        <w:t xml:space="preserve">detailed, verifiable structure. These requirements made toml more attractive</w:t>
      </w:r>
      <w:r>
        <w:t xml:space="preserve"> </w:t>
      </w:r>
      <w:r>
        <w:t xml:space="preserve">than SBML: toml is easier for humans to read and edit and can straightforwardly</w:t>
      </w:r>
      <w:r>
        <w:t xml:space="preserve"> </w:t>
      </w:r>
      <w:r>
        <w:t xml:space="preserve">be validated using tools like Pydantic. Further, an SBML representation of our</w:t>
      </w:r>
      <w:r>
        <w:t xml:space="preserve"> </w:t>
      </w:r>
      <w:r>
        <w:t xml:space="preserve">desired input would not contain differential equations. It would therefore not</w:t>
      </w:r>
      <w:r>
        <w:t xml:space="preserve"> </w:t>
      </w:r>
      <w:r>
        <w:t xml:space="preserve">be interoperable with most SBML targeting software, which typically assumes that</w:t>
      </w:r>
      <w:r>
        <w:t xml:space="preserve"> </w:t>
      </w:r>
      <w:r>
        <w:t xml:space="preserve">differential equations are available and does not know about Maud’s structure.</w:t>
      </w:r>
    </w:p>
    <w:bookmarkEnd w:id="55"/>
    <w:bookmarkStart w:id="56" w:name="kinetic-model"/>
    <w:p>
      <w:pPr>
        <w:pStyle w:val="Heading2"/>
      </w:pPr>
      <w:r>
        <w:t xml:space="preserve">3.2 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supplementary material section (REFERENCE).</w:t>
      </w:r>
    </w:p>
    <w:bookmarkEnd w:id="56"/>
    <w:bookmarkStart w:id="59" w:name="statistical-model"/>
    <w:p>
      <w:pPr>
        <w:pStyle w:val="Heading2"/>
      </w:pPr>
      <w:r>
        <w:t xml:space="preserve">3.3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7" w:name="prior-model"/>
    <w:p>
      <w:pPr>
        <w:pStyle w:val="Heading3"/>
      </w:pPr>
      <w:r>
        <w:t xml:space="preserve">3.3.1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supplementary materials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7"/>
    <w:bookmarkStart w:id="58" w:name="measurement-model"/>
    <w:p>
      <w:pPr>
        <w:pStyle w:val="Heading3"/>
      </w:pPr>
      <w:r>
        <w:t xml:space="preserve">3.3.2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8"/>
    <w:bookmarkEnd w:id="59"/>
    <w:bookmarkStart w:id="62" w:name="implementation"/>
    <w:p>
      <w:pPr>
        <w:pStyle w:val="Heading2"/>
      </w:pPr>
      <w:r>
        <w:t xml:space="preserve">3.4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 input</w:t>
      </w:r>
      <w:r>
        <w:t xml:space="preserve"> </w:t>
      </w:r>
      <w:r>
        <w:t xml:space="preserve">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 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 Maud’s</w:t>
      </w:r>
      <w:r>
        <w:t xml:space="preserve"> </w:t>
      </w:r>
      <w:r>
        <w:t xml:space="preserve">statistical model is implemented in the probabilistic programming language Stan</w:t>
      </w:r>
      <w:r>
        <w:t xml:space="preserve"> </w:t>
      </w:r>
      <w:r>
        <w:t xml:space="preserve">(Carpenter et al. 2017)</w:t>
      </w:r>
      <w:r>
        <w:t xml:space="preserve"> </w:t>
      </w:r>
      <w:r>
        <w:t xml:space="preserve">and accessed using the interface</w:t>
      </w:r>
      <w:r>
        <w:t xml:space="preserve"> </w:t>
      </w:r>
      <w:r>
        <w:t xml:space="preserve">cmdstanpy</w:t>
      </w:r>
      <w:r>
        <w:t xml:space="preserve"> </w:t>
      </w:r>
      <w:r>
        <w:t xml:space="preserve">(Stan Development Team 2022)</w:t>
      </w:r>
      <w:r>
        <w:t xml:space="preserve">. For posterior sampling, Maud</w:t>
      </w:r>
      <w:r>
        <w:t xml:space="preserve"> </w:t>
      </w:r>
      <w:r>
        <w:t xml:space="preserve">uses the</w:t>
      </w:r>
      <w:r>
        <w:t xml:space="preserve"> </w:t>
      </w:r>
      <w:r>
        <w:rPr>
          <w:rStyle w:val="VerbatimChar"/>
        </w:rPr>
        <w:t xml:space="preserve">MaudInput</w:t>
      </w:r>
      <w:r>
        <w:t xml:space="preserve"> </w:t>
      </w:r>
      <w:r>
        <w:t xml:space="preserve">to create a Stan input json file and obtain configuration</w:t>
      </w:r>
      <w:r>
        <w:t xml:space="preserve"> </w:t>
      </w:r>
      <w:r>
        <w:t xml:space="preserve">information for cmdstanpy, which it uses to (if necessary) generate a</w:t>
      </w:r>
      <w:r>
        <w:t xml:space="preserve"> </w:t>
      </w:r>
      <w:r>
        <w:t xml:space="preserve">model executable file and then trigger posterior sampling using adaptive</w:t>
      </w:r>
      <w:r>
        <w:t xml:space="preserve"> </w:t>
      </w:r>
      <w:r>
        <w:t xml:space="preserve">Hamiltonian Monte Carlo. When sampling is complete, Maud converts to the</w:t>
      </w:r>
      <w:r>
        <w:t xml:space="preserve"> </w:t>
      </w:r>
      <w:r>
        <w:t xml:space="preserve">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w:t>
      </w:r>
      <w:r>
        <w:t xml:space="preserve"> </w:t>
      </w:r>
      <w:r>
        <w:t xml:space="preserve">information for debugging.</w:t>
      </w:r>
    </w:p>
    <w:p>
      <w:pPr>
        <w:pStyle w:val="BodyText"/>
      </w:pPr>
      <w:r>
        <w:t xml:space="preserve">Two details of Maud’s implementation are important to highlight: the method of</w:t>
      </w:r>
      <w:r>
        <w:t xml:space="preserve"> </w:t>
      </w:r>
      <w:r>
        <w:t xml:space="preserve">posterior sampling and how Maud solves the steady state problem</w:t>
      </w:r>
      <w:r>
        <w:t xml:space="preserve"> </w:t>
      </w:r>
      <w:r>
        <w:t xml:space="preserve">.</w:t>
      </w:r>
    </w:p>
    <w:bookmarkStart w:id="60" w:name="posterior-sampling"/>
    <w:p>
      <w:pPr>
        <w:pStyle w:val="Heading3"/>
      </w:pPr>
      <w:r>
        <w:t xml:space="preserve">3.4.1 Posterior sampling</w:t>
      </w:r>
    </w:p>
    <w:p>
      <w:pPr>
        <w:pStyle w:val="FirstParagraph"/>
      </w:pPr>
      <w:r>
        <w:t xml:space="preserve">Although integrals of the joint probability model for kinetic models</w:t>
      </w:r>
      <w:r>
        <w:t xml:space="preserve"> </w:t>
      </w:r>
      <w:r>
        <w:t xml:space="preserve">are typically analytically intractable, they can be approximated</w:t>
      </w:r>
      <w:r>
        <w:t xml:space="preserve"> </w:t>
      </w:r>
      <w:r>
        <w:t xml:space="preserve">numerically using Markov Chain Monte Carlo (MCMC) and other methods.</w:t>
      </w:r>
      <w:r>
        <w:t xml:space="preserve"> </w:t>
      </w:r>
      <w:r>
        <w:t xml:space="preserve">Maud uses MCMC primarily because there exist many methods for verifying</w:t>
      </w:r>
      <w:r>
        <w:t xml:space="preserve"> </w:t>
      </w:r>
      <w:r>
        <w:t xml:space="preserve">that MCMC samples really do approximate the target probability</w:t>
      </w:r>
      <w:r>
        <w:t xml:space="preserve"> </w:t>
      </w:r>
      <w:r>
        <w:t xml:space="preserve">distribution: see</w:t>
      </w:r>
      <w:r>
        <w:t xml:space="preserve"> </w:t>
      </w:r>
      <w:r>
        <w:t xml:space="preserve">Vehtari et al. (2021)</w:t>
      </w:r>
      <w:r>
        <w:t xml:space="preserve"> </w:t>
      </w:r>
      <w:r>
        <w:t xml:space="preserve">and</w:t>
      </w:r>
      <w:r>
        <w:t xml:space="preserve"> </w:t>
      </w:r>
      <w:r>
        <w:t xml:space="preserve">Talts et al. (2018)</w:t>
      </w:r>
      <w:r>
        <w:t xml:space="preserve"> </w:t>
      </w:r>
      <w:r>
        <w:t xml:space="preserve">for discussion of this point. In</w:t>
      </w:r>
      <w:r>
        <w:t xml:space="preserve"> </w:t>
      </w:r>
      <w:r>
        <w:t xml:space="preserve">addition, there are several examples of successful Bayesian kinetic modelling</w:t>
      </w:r>
      <w:r>
        <w:t xml:space="preserve"> </w:t>
      </w:r>
      <w:r>
        <w:t xml:space="preserve">projects using MCMC including</w:t>
      </w:r>
      <w:r>
        <w:t xml:space="preserve"> </w:t>
      </w:r>
      <w:r>
        <w:t xml:space="preserve">St. John et al. (2018)</w:t>
      </w:r>
      <w:r>
        <w:t xml:space="preserve"> </w:t>
      </w:r>
      <w:r>
        <w:t xml:space="preserve">and</w:t>
      </w:r>
      <w:r>
        <w:t xml:space="preserve"> </w:t>
      </w:r>
      <w:r>
        <w:t xml:space="preserve">Xing et al. (2010 Jan-Feb)</w:t>
      </w:r>
      <w:r>
        <w:t xml:space="preserve">.</w:t>
      </w:r>
    </w:p>
    <w:bookmarkEnd w:id="60"/>
    <w:bookmarkStart w:id="61" w:name="solving-the-steady-state-problem"/>
    <w:p>
      <w:pPr>
        <w:pStyle w:val="Heading3"/>
      </w:pPr>
      <w:r>
        <w:t xml:space="preserve">3.4.2 Solving the steady state problem</w:t>
      </w:r>
    </w:p>
    <w:p>
      <w:pPr>
        <w:pStyle w:val="FirstParagraph"/>
      </w:pPr>
      <w:r>
        <w:t xml:space="preserve">In order to implement adaptive Hamiltonian Monte Carlo, Maud must</w:t>
      </w:r>
      <w:r>
        <w:t xml:space="preserve"> </w:t>
      </w:r>
      <w:r>
        <w:t xml:space="preserve">repeatedly solve the steady state problem</w:t>
      </w:r>
      <w:r>
        <w:t xml:space="preserve"> </w:t>
      </w:r>
      <w:r>
        <w:t xml:space="preserve"> </w:t>
      </w:r>
      <w:r>
        <w:t xml:space="preserve">and find its</w:t>
      </w:r>
      <w:r>
        <w:t xml:space="preserve"> </w:t>
      </w:r>
      <w:r>
        <w:t xml:space="preserve">gradients with respect to all parameters. To achieve this, Maud uses a</w:t>
      </w:r>
      <w:r>
        <w:t xml:space="preserve"> </w:t>
      </w:r>
      <w:r>
        <w:t xml:space="preserve">hybrid method involving two numerical solvers from the SUNDIALS suite</w:t>
      </w:r>
      <w:r>
        <w:t xml:space="preserve"> </w:t>
      </w:r>
      <w:r>
        <w:t xml:space="preserve">(Serban and Hindmarsh 2005)</w:t>
      </w:r>
      <w:r>
        <w:t xml:space="preserve">: CVODES and IDAS. These solvers are</w:t>
      </w:r>
      <w:r>
        <w:t xml:space="preserve"> </w:t>
      </w:r>
      <w:r>
        <w:t xml:space="preserve">accessed via their interface from Stan. The hybrid method follows that proposed</w:t>
      </w:r>
      <w:r>
        <w:t xml:space="preserve"> </w:t>
      </w:r>
      <w:r>
        <w:t xml:space="preserve">by</w:t>
      </w:r>
      <w:r>
        <w:t xml:space="preserve"> </w:t>
      </w:r>
      <w:r>
        <w:t xml:space="preserve">Margossian (2018)</w:t>
      </w:r>
      <w:r>
        <w:t xml:space="preserve">, and involves numerically evolving</w:t>
      </w:r>
      <w:r>
        <w:t xml:space="preserve"> </w:t>
      </w:r>
      <w:r>
        <w:t xml:space="preserve">the ODE system for a short period of time, then using the difference between</w:t>
      </w:r>
      <w:r>
        <w:t xml:space="preserve"> </w:t>
      </w:r>
      <w:r>
        <w:t xml:space="preserve">the evolved and starting concentrations as the target for a numerical algebra</w:t>
      </w:r>
      <w:r>
        <w:t xml:space="preserve"> </w:t>
      </w:r>
      <w:r>
        <w:t xml:space="preserve">solver.</w:t>
      </w:r>
    </w:p>
    <w:bookmarkEnd w:id="61"/>
    <w:bookmarkEnd w:id="62"/>
    <w:bookmarkEnd w:id="63"/>
    <w:bookmarkStart w:id="64" w:name="supporting-information"/>
    <w:p>
      <w:pPr>
        <w:pStyle w:val="Heading1"/>
      </w:pPr>
      <w:r>
        <w:t xml:space="preserve">4. Supporting information</w:t>
      </w:r>
    </w:p>
    <w:p>
      <w:pPr>
        <w:pStyle w:val="FirstParagraph"/>
      </w:pPr>
      <w:r>
        <w:t xml:space="preserve">The document</w:t>
      </w:r>
      <w:r>
        <w:t xml:space="preserve"> </w:t>
      </w:r>
      <w:r>
        <w:rPr>
          <w:rStyle w:val="VerbatimChar"/>
        </w:rPr>
        <w:t xml:space="preserve">supplementary.pdf</w:t>
      </w:r>
      <w:r>
        <w:t xml:space="preserve"> </w:t>
      </w:r>
      <w:r>
        <w:t xml:space="preserve">contains the following information:</w:t>
      </w:r>
    </w:p>
    <w:p>
      <w:pPr>
        <w:numPr>
          <w:ilvl w:val="0"/>
          <w:numId w:val="1001"/>
        </w:numPr>
        <w:pStyle w:val="Compact"/>
      </w:pPr>
      <w:r>
        <w:t xml:space="preserve">Description of Maud’s kinetic model including parameter dimensions and rate</w:t>
      </w:r>
      <w:r>
        <w:t xml:space="preserve"> </w:t>
      </w:r>
      <w:r>
        <w:t xml:space="preserve">equations.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4"/>
    <w:bookmarkStart w:id="65" w:name="acknowledgements"/>
    <w:p>
      <w:pPr>
        <w:pStyle w:val="Heading1"/>
      </w:pPr>
      <w:r>
        <w:t xml:space="preserve">5. Acknowledgements</w:t>
      </w:r>
    </w:p>
    <w:p>
      <w:pPr>
        <w:pStyle w:val="FirstParagraph"/>
      </w:pPr>
      <w:r>
        <w:t xml:space="preserve">This research was funded by the Novo Nordisk foundation using grant number</w:t>
      </w:r>
      <w:r>
        <w:t xml:space="preserve"> </w:t>
      </w:r>
      <w:r>
        <w:t xml:space="preserve">NNF14OC0009473.</w:t>
      </w:r>
    </w:p>
    <w:bookmarkEnd w:id="65"/>
    <w:bookmarkStart w:id="145" w:name="references"/>
    <w:p>
      <w:pPr>
        <w:pStyle w:val="Heading1"/>
      </w:pPr>
      <w:r>
        <w:t xml:space="preserve">6. References</w:t>
      </w:r>
    </w:p>
    <w:bookmarkStart w:id="144" w:name="refs"/>
    <w:bookmarkStart w:id="67"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6">
        <w:r>
          <w:rPr>
            <w:rStyle w:val="Hyperlink"/>
          </w:rPr>
          <w:t xml:space="preserve">https://doi.org/10.18637/jss.v076.i01</w:t>
        </w:r>
      </w:hyperlink>
      <w:r>
        <w:t xml:space="preserve">.</w:t>
      </w:r>
    </w:p>
    <w:bookmarkEnd w:id="67"/>
    <w:bookmarkStart w:id="69"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8">
        <w:r>
          <w:rPr>
            <w:rStyle w:val="Hyperlink"/>
          </w:rPr>
          <w:t xml:space="preserve">https://doi.org/10.1038/nrm3695</w:t>
        </w:r>
      </w:hyperlink>
      <w:r>
        <w:t xml:space="preserve">.</w:t>
      </w:r>
    </w:p>
    <w:bookmarkEnd w:id="69"/>
    <w:bookmarkStart w:id="71"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0">
        <w:r>
          <w:rPr>
            <w:rStyle w:val="Hyperlink"/>
          </w:rPr>
          <w:t xml:space="preserve">https://doi.org/10.1016/j.cels.2018.04.009</w:t>
        </w:r>
      </w:hyperlink>
      <w:r>
        <w:t xml:space="preserve">.</w:t>
      </w:r>
    </w:p>
    <w:bookmarkEnd w:id="71"/>
    <w:bookmarkStart w:id="73"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2">
        <w:r>
          <w:rPr>
            <w:rStyle w:val="Hyperlink"/>
          </w:rPr>
          <w:t xml:space="preserve">https://pypi.org/project/click/</w:t>
        </w:r>
      </w:hyperlink>
      <w:r>
        <w:t xml:space="preserve">.</w:t>
      </w:r>
    </w:p>
    <w:bookmarkEnd w:id="73"/>
    <w:bookmarkStart w:id="75"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4">
        <w:r>
          <w:rPr>
            <w:rStyle w:val="Hyperlink"/>
          </w:rPr>
          <w:t xml:space="preserve">https://doi.org/10.1016/j.ymben.2016.09.005</w:t>
        </w:r>
      </w:hyperlink>
      <w:r>
        <w:t xml:space="preserve">.</w:t>
      </w:r>
    </w:p>
    <w:bookmarkEnd w:id="75"/>
    <w:bookmarkStart w:id="77"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6">
        <w:r>
          <w:rPr>
            <w:rStyle w:val="Hyperlink"/>
          </w:rPr>
          <w:t xml:space="preserve">https://doi.org/10.1126/sciadv.1600200</w:t>
        </w:r>
      </w:hyperlink>
      <w:r>
        <w:t xml:space="preserve">.</w:t>
      </w:r>
    </w:p>
    <w:bookmarkEnd w:id="77"/>
    <w:bookmarkStart w:id="78"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78"/>
    <w:bookmarkStart w:id="80"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79">
        <w:r>
          <w:rPr>
            <w:rStyle w:val="Hyperlink"/>
          </w:rPr>
          <w:t xml:space="preserve">http://arxiv.org/abs/2011.01808</w:t>
        </w:r>
      </w:hyperlink>
      <w:r>
        <w:t xml:space="preserve">.</w:t>
      </w:r>
    </w:p>
    <w:bookmarkEnd w:id="80"/>
    <w:bookmarkStart w:id="82"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1">
        <w:r>
          <w:rPr>
            <w:rStyle w:val="Hyperlink"/>
          </w:rPr>
          <w:t xml:space="preserve">https://doi.org/10.1016/j.ymben.2020.03.001</w:t>
        </w:r>
      </w:hyperlink>
      <w:r>
        <w:t xml:space="preserve">.</w:t>
      </w:r>
    </w:p>
    <w:bookmarkEnd w:id="82"/>
    <w:bookmarkStart w:id="84"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3">
        <w:r>
          <w:rPr>
            <w:rStyle w:val="Hyperlink"/>
          </w:rPr>
          <w:t xml:space="preserve">https://doi.org/10.1371/journal.pcbi.0030189</w:t>
        </w:r>
      </w:hyperlink>
      <w:r>
        <w:t xml:space="preserve">.</w:t>
      </w:r>
    </w:p>
    <w:bookmarkEnd w:id="84"/>
    <w:bookmarkStart w:id="86" w:name="ref-keatingSBMLLevelExtensible2020"/>
    <w:p>
      <w:pPr>
        <w:pStyle w:val="Bibliography"/>
      </w:pPr>
      <w:r>
        <w:t xml:space="preserve">Keating, Sarah M, Dagmar Waltemath, Matthias König, Fengkai Zhang, Andreas Dräger, Claudine Chaouiya, Frank T Bergmann, et al. 2020.</w:t>
      </w:r>
      <w:r>
        <w:t xml:space="preserve"> </w:t>
      </w:r>
      <w:r>
        <w:t xml:space="preserve">“</w:t>
      </w:r>
      <w:r>
        <w:rPr>
          <w:smallCaps/>
        </w:rPr>
        <w:t xml:space="preserve">SBML</w:t>
      </w:r>
      <w:r>
        <w:t xml:space="preserve"> </w:t>
      </w:r>
      <w:r>
        <w:t xml:space="preserve">Level</w:t>
      </w:r>
      <w:r>
        <w:t xml:space="preserve"> </w:t>
      </w:r>
      <w:r>
        <w:t xml:space="preserve">3: An Extensible Format for the Exchange and Reuse of Biological Models.”</w:t>
      </w:r>
      <w:r>
        <w:t xml:space="preserve"> </w:t>
      </w:r>
      <w:r>
        <w:rPr>
          <w:iCs/>
          <w:i/>
        </w:rPr>
        <w:t xml:space="preserve">Molecular Systems Biology</w:t>
      </w:r>
      <w:r>
        <w:t xml:space="preserve"> </w:t>
      </w:r>
      <w:r>
        <w:t xml:space="preserve">16 (8): e9110.</w:t>
      </w:r>
      <w:r>
        <w:t xml:space="preserve"> </w:t>
      </w:r>
      <w:hyperlink r:id="rId85">
        <w:r>
          <w:rPr>
            <w:rStyle w:val="Hyperlink"/>
          </w:rPr>
          <w:t xml:space="preserve">https://doi.org/10.15252/msb.20199110</w:t>
        </w:r>
      </w:hyperlink>
      <w:r>
        <w:t xml:space="preserve">.</w:t>
      </w:r>
    </w:p>
    <w:bookmarkEnd w:id="86"/>
    <w:bookmarkStart w:id="88"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7">
        <w:r>
          <w:rPr>
            <w:rStyle w:val="Hyperlink"/>
          </w:rPr>
          <w:t xml:space="preserve">https://doi.org/10.1371/journal.pcbi.1000076</w:t>
        </w:r>
      </w:hyperlink>
      <w:r>
        <w:t xml:space="preserve">.</w:t>
      </w:r>
    </w:p>
    <w:bookmarkEnd w:id="88"/>
    <w:bookmarkStart w:id="90"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89">
        <w:r>
          <w:rPr>
            <w:rStyle w:val="Hyperlink"/>
          </w:rPr>
          <w:t xml:space="preserve">https://doi.org/10.21105/joss.01143</w:t>
        </w:r>
      </w:hyperlink>
      <w:r>
        <w:t xml:space="preserve">.</w:t>
      </w:r>
    </w:p>
    <w:bookmarkEnd w:id="90"/>
    <w:bookmarkStart w:id="92"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1">
        <w:r>
          <w:rPr>
            <w:rStyle w:val="Hyperlink"/>
          </w:rPr>
          <w:t xml:space="preserve">https://doi.org/10.1016/j.cmet.2017.08.017</w:t>
        </w:r>
      </w:hyperlink>
      <w:r>
        <w:t xml:space="preserve">.</w:t>
      </w:r>
    </w:p>
    <w:bookmarkEnd w:id="92"/>
    <w:bookmarkStart w:id="94"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3">
        <w:r>
          <w:rPr>
            <w:rStyle w:val="Hyperlink"/>
          </w:rPr>
          <w:t xml:space="preserve">https://doi.org/10.3390/metabo11110749</w:t>
        </w:r>
      </w:hyperlink>
      <w:r>
        <w:t xml:space="preserve">.</w:t>
      </w:r>
    </w:p>
    <w:bookmarkEnd w:id="94"/>
    <w:bookmarkStart w:id="96"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5">
        <w:r>
          <w:rPr>
            <w:rStyle w:val="Hyperlink"/>
          </w:rPr>
          <w:t xml:space="preserve">https://doi.org/10.1093/bioinformatics/btq141</w:t>
        </w:r>
      </w:hyperlink>
      <w:r>
        <w:t xml:space="preserve">.</w:t>
      </w:r>
    </w:p>
    <w:bookmarkEnd w:id="96"/>
    <w:bookmarkStart w:id="98"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97">
        <w:r>
          <w:rPr>
            <w:rStyle w:val="Hyperlink"/>
          </w:rPr>
          <w:t xml:space="preserve">https://doi.org/10.5281/zenodo.1284375</w:t>
        </w:r>
      </w:hyperlink>
      <w:r>
        <w:t xml:space="preserve">.</w:t>
      </w:r>
    </w:p>
    <w:bookmarkEnd w:id="98"/>
    <w:bookmarkStart w:id="100"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99">
        <w:r>
          <w:rPr>
            <w:rStyle w:val="Hyperlink"/>
          </w:rPr>
          <w:t xml:space="preserve">https://doi.org/10.1093/bioadv/vbac066</w:t>
        </w:r>
      </w:hyperlink>
      <w:r>
        <w:t xml:space="preserve">.</w:t>
      </w:r>
    </w:p>
    <w:bookmarkEnd w:id="100"/>
    <w:bookmarkStart w:id="102"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1">
        <w:r>
          <w:rPr>
            <w:rStyle w:val="Hyperlink"/>
          </w:rPr>
          <w:t xml:space="preserve">https://doi.org/10.1016/S0022-2836(65)80285-6</w:t>
        </w:r>
      </w:hyperlink>
      <w:r>
        <w:t xml:space="preserve">.</w:t>
      </w:r>
    </w:p>
    <w:bookmarkEnd w:id="102"/>
    <w:bookmarkStart w:id="104"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3">
        <w:r>
          <w:rPr>
            <w:rStyle w:val="Hyperlink"/>
          </w:rPr>
          <w:t xml:space="preserve">https://doi.org/10.1016/j.febslet.2013.07.028</w:t>
        </w:r>
      </w:hyperlink>
      <w:r>
        <w:t xml:space="preserve">.</w:t>
      </w:r>
    </w:p>
    <w:bookmarkEnd w:id="104"/>
    <w:bookmarkStart w:id="106"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05">
        <w:r>
          <w:rPr>
            <w:rStyle w:val="Hyperlink"/>
          </w:rPr>
          <w:t xml:space="preserve">https://pypi.org/project/toml/</w:t>
        </w:r>
      </w:hyperlink>
      <w:r>
        <w:t xml:space="preserve">.</w:t>
      </w:r>
    </w:p>
    <w:bookmarkEnd w:id="106"/>
    <w:bookmarkStart w:id="108"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07">
        <w:r>
          <w:rPr>
            <w:rStyle w:val="Hyperlink"/>
          </w:rPr>
          <w:t xml:space="preserve">https://doi.org/10.1017/S0266466698144043</w:t>
        </w:r>
      </w:hyperlink>
      <w:r>
        <w:t xml:space="preserve">.</w:t>
      </w:r>
    </w:p>
    <w:bookmarkEnd w:id="108"/>
    <w:bookmarkStart w:id="110"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09">
        <w:r>
          <w:rPr>
            <w:rStyle w:val="Hyperlink"/>
          </w:rPr>
          <w:t xml:space="preserve">https://doi.org/10.1016/0014-5793(75)80034-2</w:t>
        </w:r>
      </w:hyperlink>
      <w:r>
        <w:t xml:space="preserve">.</w:t>
      </w:r>
    </w:p>
    <w:bookmarkEnd w:id="110"/>
    <w:bookmarkStart w:id="112"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1">
        <w:r>
          <w:rPr>
            <w:rStyle w:val="Hyperlink"/>
          </w:rPr>
          <w:t xml:space="preserve">https://www.ncbi.nlm.nih.gov/pubmed/156878</w:t>
        </w:r>
      </w:hyperlink>
      <w:r>
        <w:t xml:space="preserve">.</w:t>
      </w:r>
    </w:p>
    <w:bookmarkEnd w:id="112"/>
    <w:bookmarkStart w:id="114" w:name="Xf389a29d81ea17a7b457a7a71960917a5048cd3"/>
    <w:p>
      <w:pPr>
        <w:pStyle w:val="Bibliography"/>
      </w:pPr>
      <w:r>
        <w:t xml:space="preserve">Preston-Werner, Tom and Gedam, Pradyun. 2020.</w:t>
      </w:r>
      <w:r>
        <w:t xml:space="preserve"> </w:t>
      </w:r>
      <w:r>
        <w:t xml:space="preserve">“</w:t>
      </w:r>
      <w:r>
        <w:t xml:space="preserve">TOML Specification</w:t>
      </w:r>
      <w:r>
        <w:t xml:space="preserve"> </w:t>
      </w:r>
      <w:r>
        <w:t xml:space="preserve">1.0.0-Rc.1.”</w:t>
      </w:r>
      <w:r>
        <w:t xml:space="preserve"> </w:t>
      </w:r>
      <w:hyperlink r:id="rId113">
        <w:r>
          <w:rPr>
            <w:rStyle w:val="Hyperlink"/>
          </w:rPr>
          <w:t xml:space="preserve">https://toml.io/en/v1.0.0-rc.1/</w:t>
        </w:r>
      </w:hyperlink>
      <w:r>
        <w:t xml:space="preserve">.</w:t>
      </w:r>
    </w:p>
    <w:bookmarkEnd w:id="114"/>
    <w:bookmarkStart w:id="116" w:name="ref-pydanticdevelopersPydantic2022"/>
    <w:p>
      <w:pPr>
        <w:pStyle w:val="Bibliography"/>
      </w:pPr>
      <w:r>
        <w:t xml:space="preserve">Pydantic developers. 2022.</w:t>
      </w:r>
      <w:r>
        <w:t xml:space="preserve"> </w:t>
      </w:r>
      <w:r>
        <w:t xml:space="preserve">“Pydantic.”</w:t>
      </w:r>
      <w:r>
        <w:t xml:space="preserve"> </w:t>
      </w:r>
      <w:hyperlink r:id="rId115">
        <w:r>
          <w:rPr>
            <w:rStyle w:val="Hyperlink"/>
          </w:rPr>
          <w:t xml:space="preserve">https://pypi.org/project/pydantic/</w:t>
        </w:r>
      </w:hyperlink>
      <w:r>
        <w:t xml:space="preserve">.</w:t>
      </w:r>
    </w:p>
    <w:bookmarkEnd w:id="116"/>
    <w:bookmarkStart w:id="118"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17">
        <w:r>
          <w:rPr>
            <w:rStyle w:val="Hyperlink"/>
          </w:rPr>
          <w:t xml:space="preserve">https://doi.org/10.1063/1.3528102</w:t>
        </w:r>
      </w:hyperlink>
      <w:r>
        <w:t xml:space="preserve">.</w:t>
      </w:r>
    </w:p>
    <w:bookmarkEnd w:id="118"/>
    <w:bookmarkStart w:id="120"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19">
        <w:r>
          <w:rPr>
            <w:rStyle w:val="Hyperlink"/>
          </w:rPr>
          <w:t xml:space="preserve">https://doi.org/10.1098/rsta.2011.0544</w:t>
        </w:r>
      </w:hyperlink>
      <w:r>
        <w:t xml:space="preserve">.</w:t>
      </w:r>
    </w:p>
    <w:bookmarkEnd w:id="120"/>
    <w:bookmarkStart w:id="122"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1">
        <w:r>
          <w:rPr>
            <w:rStyle w:val="Hyperlink"/>
          </w:rPr>
          <w:t xml:space="preserve">https://doi.org/10.1038/srep29635</w:t>
        </w:r>
      </w:hyperlink>
      <w:r>
        <w:t xml:space="preserve">.</w:t>
      </w:r>
    </w:p>
    <w:bookmarkEnd w:id="122"/>
    <w:bookmarkStart w:id="124" w:name="ref-SchmiesterSch2021"/>
    <w:p>
      <w:pPr>
        <w:pStyle w:val="Bibliography"/>
      </w:pPr>
      <w:r>
        <w:t xml:space="preserve">Schmiester, Leonard, Yannik Schälte, Frank T. Bergmann, Tacio Camba, Erika Dudkin, Janine Egert, Fabian Fröhlich, et al. 2021.</w:t>
      </w:r>
      <w:r>
        <w:t xml:space="preserve"> </w:t>
      </w:r>
      <w:r>
        <w:t xml:space="preserve">“</w:t>
      </w:r>
      <w:r>
        <w:t xml:space="preserve">PEtab</w:t>
      </w:r>
      <w:r>
        <w:t xml:space="preserve"> </w:t>
      </w:r>
      <w:r>
        <w:t xml:space="preserve">Specification of Parameter Estimation Problems in Systems Biology.”</w:t>
      </w:r>
      <w:r>
        <w:t xml:space="preserve"> </w:t>
      </w:r>
      <w:r>
        <w:rPr>
          <w:iCs/>
          <w:i/>
        </w:rPr>
        <w:t xml:space="preserve">PLOS Computational Biology</w:t>
      </w:r>
      <w:r>
        <w:t xml:space="preserve"> </w:t>
      </w:r>
      <w:r>
        <w:t xml:space="preserve">17 (1): 1–10.</w:t>
      </w:r>
      <w:r>
        <w:t xml:space="preserve"> </w:t>
      </w:r>
      <w:hyperlink r:id="rId123">
        <w:r>
          <w:rPr>
            <w:rStyle w:val="Hyperlink"/>
          </w:rPr>
          <w:t xml:space="preserve">https://doi.org/10.1371/journal.pcbi.1008646</w:t>
        </w:r>
      </w:hyperlink>
      <w:r>
        <w:t xml:space="preserve">.</w:t>
      </w:r>
    </w:p>
    <w:bookmarkEnd w:id="124"/>
    <w:bookmarkStart w:id="126"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5">
        <w:r>
          <w:rPr>
            <w:rStyle w:val="Hyperlink"/>
          </w:rPr>
          <w:t xml:space="preserve">https://doi.org/10.1115/DETC2005-85597</w:t>
        </w:r>
      </w:hyperlink>
      <w:r>
        <w:t xml:space="preserve">.</w:t>
      </w:r>
    </w:p>
    <w:bookmarkEnd w:id="126"/>
    <w:bookmarkStart w:id="128"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27">
        <w:r>
          <w:rPr>
            <w:rStyle w:val="Hyperlink"/>
          </w:rPr>
          <w:t xml:space="preserve">https://doi.org/10.1101/450163</w:t>
        </w:r>
      </w:hyperlink>
      <w:r>
        <w:t xml:space="preserve">.</w:t>
      </w:r>
    </w:p>
    <w:bookmarkEnd w:id="128"/>
    <w:bookmarkStart w:id="130"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29">
        <w:r>
          <w:rPr>
            <w:rStyle w:val="Hyperlink"/>
          </w:rPr>
          <w:t xml:space="preserve">https://github.com/stan-dev/cmdstanpy</w:t>
        </w:r>
      </w:hyperlink>
      <w:r>
        <w:t xml:space="preserve">.</w:t>
      </w:r>
    </w:p>
    <w:bookmarkEnd w:id="130"/>
    <w:bookmarkStart w:id="132"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1">
        <w:r>
          <w:rPr>
            <w:rStyle w:val="Hyperlink"/>
          </w:rPr>
          <w:t xml:space="preserve">https://doi.org/10.1093/bioinformatics/btx676</w:t>
        </w:r>
      </w:hyperlink>
      <w:r>
        <w:t xml:space="preserve">.</w:t>
      </w:r>
    </w:p>
    <w:bookmarkEnd w:id="132"/>
    <w:bookmarkStart w:id="134" w:name="ref-taltsValidatingBayesianInference2018"/>
    <w:p>
      <w:pPr>
        <w:pStyle w:val="Bibliography"/>
      </w:pPr>
      <w:r>
        <w:t xml:space="preserve">Talts, Sean, Michael Betancourt, Daniel Simpson, Aki Vehtari, and Andrew Gelman. 2018.</w:t>
      </w:r>
      <w:r>
        <w:t xml:space="preserve"> </w:t>
      </w:r>
      <w:r>
        <w:t xml:space="preserve">“Validating</w:t>
      </w:r>
      <w:r>
        <w:t xml:space="preserve"> </w:t>
      </w:r>
      <w:r>
        <w:t xml:space="preserve">Bayesian Inference Algorithms</w:t>
      </w:r>
      <w:r>
        <w:t xml:space="preserve"> </w:t>
      </w:r>
      <w:r>
        <w:t xml:space="preserve">with</w:t>
      </w:r>
      <w:r>
        <w:t xml:space="preserve"> </w:t>
      </w:r>
      <w:r>
        <w:t xml:space="preserve">Simulation-Based Calibration</w:t>
      </w:r>
      <w:r>
        <w:t xml:space="preserve">.”</w:t>
      </w:r>
      <w:r>
        <w:t xml:space="preserve"> </w:t>
      </w:r>
      <w:r>
        <w:rPr>
          <w:iCs/>
          <w:i/>
        </w:rPr>
        <w:t xml:space="preserve">arXiv:1804.06788 [Stat]</w:t>
      </w:r>
      <w:r>
        <w:t xml:space="preserve">, April.</w:t>
      </w:r>
      <w:r>
        <w:t xml:space="preserve"> </w:t>
      </w:r>
      <w:hyperlink r:id="rId133">
        <w:r>
          <w:rPr>
            <w:rStyle w:val="Hyperlink"/>
          </w:rPr>
          <w:t xml:space="preserve">http://arxiv.org/abs/1804.06788</w:t>
        </w:r>
      </w:hyperlink>
      <w:r>
        <w:t xml:space="preserve">.</w:t>
      </w:r>
    </w:p>
    <w:bookmarkEnd w:id="134"/>
    <w:bookmarkStart w:id="135"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5"/>
    <w:bookmarkStart w:id="137"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6">
        <w:r>
          <w:rPr>
            <w:rStyle w:val="Hyperlink"/>
          </w:rPr>
          <w:t xml:space="preserve">https://doi.org/10.1214/20-BA1221</w:t>
        </w:r>
      </w:hyperlink>
      <w:r>
        <w:t xml:space="preserve">.</w:t>
      </w:r>
    </w:p>
    <w:bookmarkEnd w:id="137"/>
    <w:bookmarkStart w:id="139"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38">
        <w:r>
          <w:rPr>
            <w:rStyle w:val="Hyperlink"/>
          </w:rPr>
          <w:t xml:space="preserve">https://doi.org/10.1016/s1096-7176(03)00025-9</w:t>
        </w:r>
      </w:hyperlink>
      <w:r>
        <w:t xml:space="preserve">.</w:t>
      </w:r>
    </w:p>
    <w:bookmarkEnd w:id="139"/>
    <w:bookmarkStart w:id="141"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0">
        <w:r>
          <w:rPr>
            <w:rStyle w:val="Hyperlink"/>
          </w:rPr>
          <w:t xml:space="preserve">https://doi.org/10.1371/journal.pcbi.1005227</w:t>
        </w:r>
      </w:hyperlink>
      <w:r>
        <w:t xml:space="preserve">.</w:t>
      </w:r>
    </w:p>
    <w:bookmarkEnd w:id="141"/>
    <w:bookmarkStart w:id="143" w:name="ref-xingModelingKineticsLargescale2010"/>
    <w:p>
      <w:pPr>
        <w:pStyle w:val="Bibliography"/>
      </w:pPr>
      <w:r>
        <w:t xml:space="preserve">Xing, Zizhuo, Nikki Bishop, Kirk Leister, and Zheng Jian Li. 2010 Jan-Feb.</w:t>
      </w:r>
      <w:r>
        <w:t xml:space="preserve"> </w:t>
      </w:r>
      <w:r>
        <w:t xml:space="preserve">“Modeling Kinetics of a Large-Scale Fed-Batch</w:t>
      </w:r>
      <w:r>
        <w:t xml:space="preserve"> </w:t>
      </w:r>
      <w:r>
        <w:t xml:space="preserve">CHO</w:t>
      </w:r>
      <w:r>
        <w:t xml:space="preserve"> </w:t>
      </w:r>
      <w:r>
        <w:t xml:space="preserve">Cell Culture by</w:t>
      </w:r>
      <w:r>
        <w:t xml:space="preserve"> </w:t>
      </w:r>
      <w:r>
        <w:t xml:space="preserve">Markov</w:t>
      </w:r>
      <w:r>
        <w:t xml:space="preserve"> </w:t>
      </w:r>
      <w:r>
        <w:t xml:space="preserve">Chain</w:t>
      </w:r>
      <w:r>
        <w:t xml:space="preserve"> </w:t>
      </w:r>
      <w:r>
        <w:t xml:space="preserve">Monte Carlo</w:t>
      </w:r>
      <w:r>
        <w:t xml:space="preserve"> </w:t>
      </w:r>
      <w:r>
        <w:t xml:space="preserve">Method.”</w:t>
      </w:r>
      <w:r>
        <w:t xml:space="preserve"> </w:t>
      </w:r>
      <w:r>
        <w:rPr>
          <w:iCs/>
          <w:i/>
        </w:rPr>
        <w:t xml:space="preserve">Biotechnology Progress</w:t>
      </w:r>
      <w:r>
        <w:t xml:space="preserve"> </w:t>
      </w:r>
      <w:r>
        <w:t xml:space="preserve">26 (1): 208–19.</w:t>
      </w:r>
      <w:r>
        <w:t xml:space="preserve"> </w:t>
      </w:r>
      <w:hyperlink r:id="rId142">
        <w:r>
          <w:rPr>
            <w:rStyle w:val="Hyperlink"/>
          </w:rPr>
          <w:t xml:space="preserve">https://doi.org/10.1002/btpr.284</w:t>
        </w:r>
      </w:hyperlink>
      <w:r>
        <w:t xml:space="preserve">.</w:t>
      </w:r>
    </w:p>
    <w:bookmarkEnd w:id="143"/>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hyperlink" Id="rId133" Target="http://arxiv.org/abs/1804.06788" TargetMode="External" /><Relationship Type="http://schemas.openxmlformats.org/officeDocument/2006/relationships/hyperlink" Id="rId79" Target="http://arxiv.org/abs/2011.01808" TargetMode="External" /><Relationship Type="http://schemas.openxmlformats.org/officeDocument/2006/relationships/hyperlink" Id="rId142" Target="https://doi.org/10.1002/btpr.284" TargetMode="External" /><Relationship Type="http://schemas.openxmlformats.org/officeDocument/2006/relationships/hyperlink" Id="rId109" Target="https://doi.org/10.1016/0014-5793(75)80034-2" TargetMode="External" /><Relationship Type="http://schemas.openxmlformats.org/officeDocument/2006/relationships/hyperlink" Id="rId101" Target="https://doi.org/10.1016/S0022-2836(65)80285-6" TargetMode="External" /><Relationship Type="http://schemas.openxmlformats.org/officeDocument/2006/relationships/hyperlink" Id="rId70" Target="https://doi.org/10.1016/j.cels.2018.04.009" TargetMode="External" /><Relationship Type="http://schemas.openxmlformats.org/officeDocument/2006/relationships/hyperlink" Id="rId91" Target="https://doi.org/10.1016/j.cmet.2017.08.017" TargetMode="External" /><Relationship Type="http://schemas.openxmlformats.org/officeDocument/2006/relationships/hyperlink" Id="rId103" Target="https://doi.org/10.1016/j.febslet.2013.07.028" TargetMode="External" /><Relationship Type="http://schemas.openxmlformats.org/officeDocument/2006/relationships/hyperlink" Id="rId74" Target="https://doi.org/10.1016/j.ymben.2016.09.005" TargetMode="External" /><Relationship Type="http://schemas.openxmlformats.org/officeDocument/2006/relationships/hyperlink" Id="rId81" Target="https://doi.org/10.1016/j.ymben.2020.03.001" TargetMode="External" /><Relationship Type="http://schemas.openxmlformats.org/officeDocument/2006/relationships/hyperlink" Id="rId138" Target="https://doi.org/10.1016/s1096-7176(03)00025-9" TargetMode="External" /><Relationship Type="http://schemas.openxmlformats.org/officeDocument/2006/relationships/hyperlink" Id="rId107" Target="https://doi.org/10.1017/S0266466698144043" TargetMode="External" /><Relationship Type="http://schemas.openxmlformats.org/officeDocument/2006/relationships/hyperlink" Id="rId68" Target="https://doi.org/10.1038/nrm3695" TargetMode="External" /><Relationship Type="http://schemas.openxmlformats.org/officeDocument/2006/relationships/hyperlink" Id="rId121" Target="https://doi.org/10.1038/srep29635" TargetMode="External" /><Relationship Type="http://schemas.openxmlformats.org/officeDocument/2006/relationships/hyperlink" Id="rId117" Target="https://doi.org/10.1063/1.3528102" TargetMode="External" /><Relationship Type="http://schemas.openxmlformats.org/officeDocument/2006/relationships/hyperlink" Id="rId99" Target="https://doi.org/10.1093/bioadv/vbac066" TargetMode="External" /><Relationship Type="http://schemas.openxmlformats.org/officeDocument/2006/relationships/hyperlink" Id="rId95" Target="https://doi.org/10.1093/bioinformatics/btq141" TargetMode="External" /><Relationship Type="http://schemas.openxmlformats.org/officeDocument/2006/relationships/hyperlink" Id="rId131" Target="https://doi.org/10.1093/bioinformatics/btx676" TargetMode="External" /><Relationship Type="http://schemas.openxmlformats.org/officeDocument/2006/relationships/hyperlink" Id="rId119" Target="https://doi.org/10.1098/rsta.2011.0544" TargetMode="External" /><Relationship Type="http://schemas.openxmlformats.org/officeDocument/2006/relationships/hyperlink" Id="rId127" Target="https://doi.org/10.1101/450163" TargetMode="External" /><Relationship Type="http://schemas.openxmlformats.org/officeDocument/2006/relationships/hyperlink" Id="rId125" Target="https://doi.org/10.1115/DETC2005-85597" TargetMode="External" /><Relationship Type="http://schemas.openxmlformats.org/officeDocument/2006/relationships/hyperlink" Id="rId76" Target="https://doi.org/10.1126/sciadv.1600200" TargetMode="External" /><Relationship Type="http://schemas.openxmlformats.org/officeDocument/2006/relationships/hyperlink" Id="rId136" Target="https://doi.org/10.1214/20-BA1221" TargetMode="External" /><Relationship Type="http://schemas.openxmlformats.org/officeDocument/2006/relationships/hyperlink" Id="rId83" Target="https://doi.org/10.1371/journal.pcbi.0030189" TargetMode="External" /><Relationship Type="http://schemas.openxmlformats.org/officeDocument/2006/relationships/hyperlink" Id="rId87" Target="https://doi.org/10.1371/journal.pcbi.1000076" TargetMode="External" /><Relationship Type="http://schemas.openxmlformats.org/officeDocument/2006/relationships/hyperlink" Id="rId140" Target="https://doi.org/10.1371/journal.pcbi.1005227" TargetMode="External" /><Relationship Type="http://schemas.openxmlformats.org/officeDocument/2006/relationships/hyperlink" Id="rId123" Target="https://doi.org/10.1371/journal.pcbi.1008646" TargetMode="External" /><Relationship Type="http://schemas.openxmlformats.org/officeDocument/2006/relationships/hyperlink" Id="rId85" Target="https://doi.org/10.15252/msb.20199110" TargetMode="External" /><Relationship Type="http://schemas.openxmlformats.org/officeDocument/2006/relationships/hyperlink" Id="rId66" Target="https://doi.org/10.18637/jss.v076.i01" TargetMode="External" /><Relationship Type="http://schemas.openxmlformats.org/officeDocument/2006/relationships/hyperlink" Id="rId89" Target="https://doi.org/10.21105/joss.01143" TargetMode="External" /><Relationship Type="http://schemas.openxmlformats.org/officeDocument/2006/relationships/hyperlink" Id="rId93" Target="https://doi.org/10.3390/metabo11110749" TargetMode="External" /><Relationship Type="http://schemas.openxmlformats.org/officeDocument/2006/relationships/hyperlink" Id="rId97" Target="https://doi.org/10.5281/zenodo.1284375" TargetMode="External" /><Relationship Type="http://schemas.openxmlformats.org/officeDocument/2006/relationships/hyperlink" Id="rId53" Target="https://github.com/biosustain/Maud/" TargetMode="External" /><Relationship Type="http://schemas.openxmlformats.org/officeDocument/2006/relationships/hyperlink" Id="rId54"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3"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4" Target="https://github.com/biosustain/Methionine_model/tree/main/results" TargetMode="External" /><Relationship Type="http://schemas.openxmlformats.org/officeDocument/2006/relationships/hyperlink" Id="rId129" Target="https://github.com/stan-dev/cmdstanpy" TargetMode="External" /><Relationship Type="http://schemas.openxmlformats.org/officeDocument/2006/relationships/hyperlink" Id="rId52" Target="https://maud-metabolic-models.readthedocs.io" TargetMode="External" /><Relationship Type="http://schemas.openxmlformats.org/officeDocument/2006/relationships/hyperlink" Id="rId72" Target="https://pypi.org/project/click/" TargetMode="External" /><Relationship Type="http://schemas.openxmlformats.org/officeDocument/2006/relationships/hyperlink" Id="rId115" Target="https://pypi.org/project/pydantic/" TargetMode="External" /><Relationship Type="http://schemas.openxmlformats.org/officeDocument/2006/relationships/hyperlink" Id="rId105" Target="https://pypi.org/project/toml/" TargetMode="External" /><Relationship Type="http://schemas.openxmlformats.org/officeDocument/2006/relationships/hyperlink" Id="rId113" Target="https://toml.io/en/v1.0.0-rc.1/" TargetMode="External" /><Relationship Type="http://schemas.openxmlformats.org/officeDocument/2006/relationships/hyperlink" Id="rId111" Target="https://www.ncbi.nlm.nih.gov/pubmed/156878" TargetMode="External" /></Relationships>
</file>

<file path=word/_rels/footnotes.xml.rels><?xml version="1.0" encoding="UTF-8"?><Relationships xmlns="http://schemas.openxmlformats.org/package/2006/relationships"><Relationship Type="http://schemas.openxmlformats.org/officeDocument/2006/relationships/hyperlink" Id="rId133" Target="http://arxiv.org/abs/1804.06788" TargetMode="External" /><Relationship Type="http://schemas.openxmlformats.org/officeDocument/2006/relationships/hyperlink" Id="rId79" Target="http://arxiv.org/abs/2011.01808" TargetMode="External" /><Relationship Type="http://schemas.openxmlformats.org/officeDocument/2006/relationships/hyperlink" Id="rId142" Target="https://doi.org/10.1002/btpr.284" TargetMode="External" /><Relationship Type="http://schemas.openxmlformats.org/officeDocument/2006/relationships/hyperlink" Id="rId109" Target="https://doi.org/10.1016/0014-5793(75)80034-2" TargetMode="External" /><Relationship Type="http://schemas.openxmlformats.org/officeDocument/2006/relationships/hyperlink" Id="rId101" Target="https://doi.org/10.1016/S0022-2836(65)80285-6" TargetMode="External" /><Relationship Type="http://schemas.openxmlformats.org/officeDocument/2006/relationships/hyperlink" Id="rId70" Target="https://doi.org/10.1016/j.cels.2018.04.009" TargetMode="External" /><Relationship Type="http://schemas.openxmlformats.org/officeDocument/2006/relationships/hyperlink" Id="rId91" Target="https://doi.org/10.1016/j.cmet.2017.08.017" TargetMode="External" /><Relationship Type="http://schemas.openxmlformats.org/officeDocument/2006/relationships/hyperlink" Id="rId103" Target="https://doi.org/10.1016/j.febslet.2013.07.028" TargetMode="External" /><Relationship Type="http://schemas.openxmlformats.org/officeDocument/2006/relationships/hyperlink" Id="rId74" Target="https://doi.org/10.1016/j.ymben.2016.09.005" TargetMode="External" /><Relationship Type="http://schemas.openxmlformats.org/officeDocument/2006/relationships/hyperlink" Id="rId81" Target="https://doi.org/10.1016/j.ymben.2020.03.001" TargetMode="External" /><Relationship Type="http://schemas.openxmlformats.org/officeDocument/2006/relationships/hyperlink" Id="rId138" Target="https://doi.org/10.1016/s1096-7176(03)00025-9" TargetMode="External" /><Relationship Type="http://schemas.openxmlformats.org/officeDocument/2006/relationships/hyperlink" Id="rId107" Target="https://doi.org/10.1017/S0266466698144043" TargetMode="External" /><Relationship Type="http://schemas.openxmlformats.org/officeDocument/2006/relationships/hyperlink" Id="rId68" Target="https://doi.org/10.1038/nrm3695" TargetMode="External" /><Relationship Type="http://schemas.openxmlformats.org/officeDocument/2006/relationships/hyperlink" Id="rId121" Target="https://doi.org/10.1038/srep29635" TargetMode="External" /><Relationship Type="http://schemas.openxmlformats.org/officeDocument/2006/relationships/hyperlink" Id="rId117" Target="https://doi.org/10.1063/1.3528102" TargetMode="External" /><Relationship Type="http://schemas.openxmlformats.org/officeDocument/2006/relationships/hyperlink" Id="rId99" Target="https://doi.org/10.1093/bioadv/vbac066" TargetMode="External" /><Relationship Type="http://schemas.openxmlformats.org/officeDocument/2006/relationships/hyperlink" Id="rId95" Target="https://doi.org/10.1093/bioinformatics/btq141" TargetMode="External" /><Relationship Type="http://schemas.openxmlformats.org/officeDocument/2006/relationships/hyperlink" Id="rId131" Target="https://doi.org/10.1093/bioinformatics/btx676" TargetMode="External" /><Relationship Type="http://schemas.openxmlformats.org/officeDocument/2006/relationships/hyperlink" Id="rId119" Target="https://doi.org/10.1098/rsta.2011.0544" TargetMode="External" /><Relationship Type="http://schemas.openxmlformats.org/officeDocument/2006/relationships/hyperlink" Id="rId127" Target="https://doi.org/10.1101/450163" TargetMode="External" /><Relationship Type="http://schemas.openxmlformats.org/officeDocument/2006/relationships/hyperlink" Id="rId125" Target="https://doi.org/10.1115/DETC2005-85597" TargetMode="External" /><Relationship Type="http://schemas.openxmlformats.org/officeDocument/2006/relationships/hyperlink" Id="rId76" Target="https://doi.org/10.1126/sciadv.1600200" TargetMode="External" /><Relationship Type="http://schemas.openxmlformats.org/officeDocument/2006/relationships/hyperlink" Id="rId136" Target="https://doi.org/10.1214/20-BA1221" TargetMode="External" /><Relationship Type="http://schemas.openxmlformats.org/officeDocument/2006/relationships/hyperlink" Id="rId83" Target="https://doi.org/10.1371/journal.pcbi.0030189" TargetMode="External" /><Relationship Type="http://schemas.openxmlformats.org/officeDocument/2006/relationships/hyperlink" Id="rId87" Target="https://doi.org/10.1371/journal.pcbi.1000076" TargetMode="External" /><Relationship Type="http://schemas.openxmlformats.org/officeDocument/2006/relationships/hyperlink" Id="rId140" Target="https://doi.org/10.1371/journal.pcbi.1005227" TargetMode="External" /><Relationship Type="http://schemas.openxmlformats.org/officeDocument/2006/relationships/hyperlink" Id="rId123" Target="https://doi.org/10.1371/journal.pcbi.1008646" TargetMode="External" /><Relationship Type="http://schemas.openxmlformats.org/officeDocument/2006/relationships/hyperlink" Id="rId85" Target="https://doi.org/10.15252/msb.20199110" TargetMode="External" /><Relationship Type="http://schemas.openxmlformats.org/officeDocument/2006/relationships/hyperlink" Id="rId66" Target="https://doi.org/10.18637/jss.v076.i01" TargetMode="External" /><Relationship Type="http://schemas.openxmlformats.org/officeDocument/2006/relationships/hyperlink" Id="rId89" Target="https://doi.org/10.21105/joss.01143" TargetMode="External" /><Relationship Type="http://schemas.openxmlformats.org/officeDocument/2006/relationships/hyperlink" Id="rId93" Target="https://doi.org/10.3390/metabo11110749" TargetMode="External" /><Relationship Type="http://schemas.openxmlformats.org/officeDocument/2006/relationships/hyperlink" Id="rId97" Target="https://doi.org/10.5281/zenodo.1284375" TargetMode="External" /><Relationship Type="http://schemas.openxmlformats.org/officeDocument/2006/relationships/hyperlink" Id="rId53" Target="https://github.com/biosustain/Maud/" TargetMode="External" /><Relationship Type="http://schemas.openxmlformats.org/officeDocument/2006/relationships/hyperlink" Id="rId54"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3"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4" Target="https://github.com/biosustain/Methionine_model/tree/main/results" TargetMode="External" /><Relationship Type="http://schemas.openxmlformats.org/officeDocument/2006/relationships/hyperlink" Id="rId129" Target="https://github.com/stan-dev/cmdstanpy" TargetMode="External" /><Relationship Type="http://schemas.openxmlformats.org/officeDocument/2006/relationships/hyperlink" Id="rId52" Target="https://maud-metabolic-models.readthedocs.io" TargetMode="External" /><Relationship Type="http://schemas.openxmlformats.org/officeDocument/2006/relationships/hyperlink" Id="rId72" Target="https://pypi.org/project/click/" TargetMode="External" /><Relationship Type="http://schemas.openxmlformats.org/officeDocument/2006/relationships/hyperlink" Id="rId115" Target="https://pypi.org/project/pydantic/" TargetMode="External" /><Relationship Type="http://schemas.openxmlformats.org/officeDocument/2006/relationships/hyperlink" Id="rId105" Target="https://pypi.org/project/toml/" TargetMode="External" /><Relationship Type="http://schemas.openxmlformats.org/officeDocument/2006/relationships/hyperlink" Id="rId113" Target="https://toml.io/en/v1.0.0-rc.1/" TargetMode="External" /><Relationship Type="http://schemas.openxmlformats.org/officeDocument/2006/relationships/hyperlink" Id="rId111" Target="https://www.ncbi.nlm.nih.gov/pubmed/1568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modelling facilitates quantitative modelling of cell metabolism</dc:title>
  <dc:creator>Teddy Groves; Nicholas Luke Cowie; Lars Keld Nielsen</dc:creator>
  <cp:keywords/>
  <dcterms:created xsi:type="dcterms:W3CDTF">2023-10-30T14:06:12Z</dcterms:created>
  <dcterms:modified xsi:type="dcterms:W3CDTF">2023-10-30T14:06:12Z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Below, we review the existing options in this area, explain how Maud improves on the state of the art, describe the intended modelling workflow and illustrate its use with an example application.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