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split between training and validation conditions was selected to achieve a</w:t>
      </w:r>
      <w:r>
        <w:t xml:space="preserve"> </w:t>
      </w:r>
      <w:r>
        <w:t xml:space="preserve">large difference in fluxes between the two categories. The split was determined</w:t>
      </w:r>
      <w:r>
        <w:t xml:space="preserve"> </w:t>
      </w:r>
      <w:r>
        <w:t xml:space="preserve">as 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The upper right (training data) and lower left (validation</w:t>
      </w:r>
      <w:r>
        <w:t xml:space="preserve"> </w:t>
      </w:r>
      <w:r>
        <w:t xml:space="preserve">data) plots in</w:t>
      </w:r>
      <w:r>
        <w:t xml:space="preserve"> </w:t>
      </w:r>
      <w:hyperlink w:anchor="fig-laplace">
        <w:r>
          <w:rPr>
            <w:rStyle w:val="Hyperlink"/>
          </w:rPr>
          <w:t xml:space="preserve">Figure 3</w:t>
        </w:r>
      </w:hyperlink>
      <w:r>
        <w:t xml:space="preserve"> </w:t>
      </w:r>
      <w:r>
        <w:t xml:space="preserve">show 5%-95% marginal flux measurement log likelihood</w:t>
      </w:r>
      <w:r>
        <w:t xml:space="preserve"> </w:t>
      </w:r>
      <w:r>
        <w:t xml:space="preserve">intervals for both methods; lower log likelihood values indicate that the</w:t>
      </w:r>
      <w:r>
        <w:t xml:space="preserve"> </w:t>
      </w:r>
      <w:r>
        <w:t xml:space="preserve">modelled and measured values are further away. The graph shows that the Laplace</w:t>
      </w:r>
      <w:r>
        <w:t xml:space="preserve"> </w:t>
      </w:r>
      <w:r>
        <w:t xml:space="preserve">approximation yielded significantly worse predictions than the true posterior,</w:t>
      </w:r>
      <w:r>
        <w:t xml:space="preserve"> </w:t>
      </w:r>
      <w:r>
        <w:t xml:space="preserve">even for the 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7" w:name="references"/>
    <w:p>
      <w:pPr>
        <w:pStyle w:val="Heading1"/>
      </w:pPr>
      <w:r>
        <w:t xml:space="preserve">6. References</w:t>
      </w:r>
    </w:p>
    <w:bookmarkStart w:id="146"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3">
        <w:r>
          <w:rPr>
            <w:rStyle w:val="Hyperlink"/>
          </w:rPr>
          <w:t xml:space="preserve">https://doi.org/10.1006/jtbi.2000.2035</w:t>
        </w:r>
      </w:hyperlink>
      <w:r>
        <w:t xml:space="preserve">.</w:t>
      </w:r>
    </w:p>
    <w:bookmarkEnd w:id="104"/>
    <w:bookmarkStart w:id="106"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5">
        <w:r>
          <w:rPr>
            <w:rStyle w:val="Hyperlink"/>
          </w:rPr>
          <w:t xml:space="preserve">https://doi.org/10.1093/bioadv/vbac066</w:t>
        </w:r>
      </w:hyperlink>
      <w:r>
        <w:t xml:space="preserve">.</w:t>
      </w:r>
    </w:p>
    <w:bookmarkEnd w:id="106"/>
    <w:bookmarkStart w:id="108"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7">
        <w:r>
          <w:rPr>
            <w:rStyle w:val="Hyperlink"/>
          </w:rPr>
          <w:t xml:space="preserve">https://doi.org/10.1016/S0022-2836(65)80285-6</w:t>
        </w:r>
      </w:hyperlink>
      <w:r>
        <w:t xml:space="preserve">.</w:t>
      </w:r>
    </w:p>
    <w:bookmarkEnd w:id="108"/>
    <w:bookmarkStart w:id="110"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9">
        <w:r>
          <w:rPr>
            <w:rStyle w:val="Hyperlink"/>
          </w:rPr>
          <w:t xml:space="preserve">https://doi.org/10.4161/epi.1.2.2677</w:t>
        </w:r>
      </w:hyperlink>
      <w:r>
        <w:t xml:space="preserve">.</w:t>
      </w:r>
    </w:p>
    <w:bookmarkEnd w:id="110"/>
    <w:bookmarkStart w:id="112"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1">
        <w:r>
          <w:rPr>
            <w:rStyle w:val="Hyperlink"/>
          </w:rPr>
          <w:t xml:space="preserve">https://doi.org/10.1016/j.febslet.2013.07.028</w:t>
        </w:r>
      </w:hyperlink>
      <w:r>
        <w:t xml:space="preserve">.</w:t>
      </w:r>
    </w:p>
    <w:bookmarkEnd w:id="112"/>
    <w:bookmarkStart w:id="114"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3">
        <w:r>
          <w:rPr>
            <w:rStyle w:val="Hyperlink"/>
          </w:rPr>
          <w:t xml:space="preserve">https://pypi.org/project/toml/</w:t>
        </w:r>
      </w:hyperlink>
      <w:r>
        <w:t xml:space="preserve">.</w:t>
      </w:r>
    </w:p>
    <w:bookmarkEnd w:id="114"/>
    <w:bookmarkStart w:id="116"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5">
        <w:r>
          <w:rPr>
            <w:rStyle w:val="Hyperlink"/>
          </w:rPr>
          <w:t xml:space="preserve">https://doi.org/10.1017/S0266466698144043</w:t>
        </w:r>
      </w:hyperlink>
      <w:r>
        <w:t xml:space="preserve">.</w:t>
      </w:r>
    </w:p>
    <w:bookmarkEnd w:id="116"/>
    <w:bookmarkStart w:id="118"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7">
        <w:r>
          <w:rPr>
            <w:rStyle w:val="Hyperlink"/>
          </w:rPr>
          <w:t xml:space="preserve">https://doi.org/10.1016/0014-5793(75)80034-2</w:t>
        </w:r>
      </w:hyperlink>
      <w:r>
        <w:t xml:space="preserve">.</w:t>
      </w:r>
    </w:p>
    <w:bookmarkEnd w:id="118"/>
    <w:bookmarkStart w:id="120"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9">
        <w:r>
          <w:rPr>
            <w:rStyle w:val="Hyperlink"/>
          </w:rPr>
          <w:t xml:space="preserve">https://www.ncbi.nlm.nih.gov/pubmed/156878</w:t>
        </w:r>
      </w:hyperlink>
      <w:r>
        <w:t xml:space="preserve">.</w:t>
      </w:r>
    </w:p>
    <w:bookmarkEnd w:id="120"/>
    <w:bookmarkStart w:id="122" w:name="ref-pydanticdevelopersPydantic2022"/>
    <w:p>
      <w:pPr>
        <w:pStyle w:val="Bibliography"/>
      </w:pPr>
      <w:r>
        <w:t xml:space="preserve">Pydantic developers. 2022.</w:t>
      </w:r>
      <w:r>
        <w:t xml:space="preserve"> </w:t>
      </w:r>
      <w:r>
        <w:t xml:space="preserve">“Pydantic.”</w:t>
      </w:r>
      <w:r>
        <w:t xml:space="preserve"> </w:t>
      </w:r>
      <w:hyperlink r:id="rId121">
        <w:r>
          <w:rPr>
            <w:rStyle w:val="Hyperlink"/>
          </w:rPr>
          <w:t xml:space="preserve">https://pypi.org/project/pydantic/</w:t>
        </w:r>
      </w:hyperlink>
      <w:r>
        <w:t xml:space="preserve">.</w:t>
      </w:r>
    </w:p>
    <w:bookmarkEnd w:id="122"/>
    <w:bookmarkStart w:id="124"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3">
        <w:r>
          <w:rPr>
            <w:rStyle w:val="Hyperlink"/>
          </w:rPr>
          <w:t xml:space="preserve">https://doi.org/10.1063/1.3528102</w:t>
        </w:r>
      </w:hyperlink>
      <w:r>
        <w:t xml:space="preserve">.</w:t>
      </w:r>
    </w:p>
    <w:bookmarkEnd w:id="124"/>
    <w:bookmarkStart w:id="126"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5">
        <w:r>
          <w:rPr>
            <w:rStyle w:val="Hyperlink"/>
          </w:rPr>
          <w:t xml:space="preserve">https://doi.org/10.1098/rsta.2011.0544</w:t>
        </w:r>
      </w:hyperlink>
      <w:r>
        <w:t xml:space="preserve">.</w:t>
      </w:r>
    </w:p>
    <w:bookmarkEnd w:id="126"/>
    <w:bookmarkStart w:id="128"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7">
        <w:r>
          <w:rPr>
            <w:rStyle w:val="Hyperlink"/>
          </w:rPr>
          <w:t xml:space="preserve">https://doi.org/10.1038/srep29635</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7">
        <w:r>
          <w:rPr>
            <w:rStyle w:val="Hyperlink"/>
          </w:rPr>
          <w:t xml:space="preserve">https://doi.org/10.48550/arXiv.2205.09059</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03" Target="https://doi.org/10.1006/jtbi.2000.2035" TargetMode="External" /><Relationship Type="http://schemas.openxmlformats.org/officeDocument/2006/relationships/hyperlink" Id="rId117" Target="https://doi.org/10.1016/0014-5793(75)80034-2" TargetMode="External" /><Relationship Type="http://schemas.openxmlformats.org/officeDocument/2006/relationships/hyperlink" Id="rId107"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11"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5"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7" Target="https://doi.org/10.1038/srep29635" TargetMode="External" /><Relationship Type="http://schemas.openxmlformats.org/officeDocument/2006/relationships/hyperlink" Id="rId123" Target="https://doi.org/10.1063/1.3528102" TargetMode="External" /><Relationship Type="http://schemas.openxmlformats.org/officeDocument/2006/relationships/hyperlink" Id="rId105"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5"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9" Target="https://doi.org/10.4161/epi.1.2.2677" TargetMode="External" /><Relationship Type="http://schemas.openxmlformats.org/officeDocument/2006/relationships/hyperlink" Id="rId137"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21" Target="https://pypi.org/project/pydantic/" TargetMode="External" /><Relationship Type="http://schemas.openxmlformats.org/officeDocument/2006/relationships/hyperlink" Id="rId113" Target="https://pypi.org/project/toml/" TargetMode="External" /><Relationship Type="http://schemas.openxmlformats.org/officeDocument/2006/relationships/hyperlink" Id="rId119"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2023-10-31T21:35:34Z</dcterms:created>
  <dcterms:modified xsi:type="dcterms:W3CDTF">2023-10-31T21:35:34Z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