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 equation</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 equation</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 equation</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w:t>
      </w:r>
      <w:r>
        <w:t xml:space="preserve"> </w:t>
      </w:r>
      <w:hyperlink w:anchor="sec-laplace">
        <w:r>
          <w:rPr>
            <w:rStyle w:val="Hyperlink"/>
          </w:rPr>
          <w:t xml:space="preserve">Section 2.2.2</w:t>
        </w:r>
      </w:hyperlink>
      <w:r>
        <w:t xml:space="preserve"> </w:t>
      </w:r>
      <w:r>
        <w:t xml:space="preserve">below, capturing this correlation structure is difficult outside</w:t>
      </w:r>
      <w:r>
        <w:t xml:space="preserve"> </w:t>
      </w:r>
      <w:r>
        <w:t xml:space="preserve">a 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have limited utility because they lack reliable diagnostic tools for</w:t>
      </w:r>
      <w:r>
        <w:t xml:space="preserve"> </w:t>
      </w:r>
      <w:r>
        <w:t xml:space="preserve">verifying that their results approximate the target posterior distribution.</w:t>
      </w:r>
      <w:r>
        <w:t xml:space="preserve"> </w:t>
      </w:r>
      <w:r>
        <w:t xml:space="preserve">This is a problem because realistic kinetic models tend to induce highly</w:t>
      </w:r>
      <w:r>
        <w:t xml:space="preserve"> </w:t>
      </w:r>
      <w:r>
        <w:t xml:space="preserve">correlated, non-Gaussian, joint 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split between training and validation conditions was selected to achieve a</w:t>
      </w:r>
      <w:r>
        <w:t xml:space="preserve"> </w:t>
      </w:r>
      <w:r>
        <w:t xml:space="preserve">large difference in fluxes between the two categories. The split was determined</w:t>
      </w:r>
      <w:r>
        <w:t xml:space="preserve"> </w:t>
      </w:r>
      <w:r>
        <w:t xml:space="preserve">as 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 figure</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 figure</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3</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w:t>
      </w:r>
      <w:r>
        <w:t xml:space="preserve"> </w:t>
      </w:r>
      <w:r>
        <w:t xml:space="preserve">insights we used the results of our case study to explain why the flux of</w:t>
      </w:r>
      <w:r>
        <w:t xml:space="preserve"> </w:t>
      </w:r>
      <w:r>
        <w:t xml:space="preserve">the enzyme</w:t>
      </w:r>
      <w:r>
        <w:t xml:space="preserve"> </w:t>
      </w:r>
      <m:oMath>
        <m:r>
          <m:t>G</m:t>
        </m:r>
        <m:r>
          <m:t>N</m:t>
        </m:r>
        <m:r>
          <m:t>M</m:t>
        </m:r>
        <m:r>
          <m:t>T</m:t>
        </m:r>
      </m:oMath>
      <w:r>
        <w:t xml:space="preserve"> </w:t>
      </w:r>
      <w:r>
        <w:t xml:space="preserve">is higher in dataset 1 than in dataset 12. GNMT is</w:t>
      </w:r>
      <w:r>
        <w:t xml:space="preserve"> </w:t>
      </w:r>
      <w:r>
        <w:t xml:space="preserve">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diverse regulation makes it the ideal</w:t>
      </w:r>
      <w:r>
        <w:t xml:space="preserve"> </w:t>
      </w:r>
      <w:r>
        <w:t xml:space="preserve">test case to elucidate 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3" w:name="references"/>
    <w:p>
      <w:pPr>
        <w:pStyle w:val="Heading1"/>
      </w:pPr>
      <w:r>
        <w:t xml:space="preserve">6. References</w:t>
      </w:r>
    </w:p>
    <w:bookmarkStart w:id="142"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3">
        <w:r>
          <w:rPr>
            <w:rStyle w:val="Hyperlink"/>
          </w:rPr>
          <w:t xml:space="preserve">https://doi.org/10.1093/bioadv/vbac066</w:t>
        </w:r>
      </w:hyperlink>
      <w:r>
        <w:t xml:space="preserve">.</w:t>
      </w:r>
    </w:p>
    <w:bookmarkEnd w:id="104"/>
    <w:bookmarkStart w:id="106"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5">
        <w:r>
          <w:rPr>
            <w:rStyle w:val="Hyperlink"/>
          </w:rPr>
          <w:t xml:space="preserve">https://doi.org/10.1016/S0022-2836(65)80285-6</w:t>
        </w:r>
      </w:hyperlink>
      <w:r>
        <w:t xml:space="preserve">.</w:t>
      </w:r>
    </w:p>
    <w:bookmarkEnd w:id="106"/>
    <w:bookmarkStart w:id="108"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7">
        <w:r>
          <w:rPr>
            <w:rStyle w:val="Hyperlink"/>
          </w:rPr>
          <w:t xml:space="preserve">https://doi.org/10.1016/j.febslet.2013.07.028</w:t>
        </w:r>
      </w:hyperlink>
      <w:r>
        <w:t xml:space="preserve">.</w:t>
      </w:r>
    </w:p>
    <w:bookmarkEnd w:id="108"/>
    <w:bookmarkStart w:id="110"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9">
        <w:r>
          <w:rPr>
            <w:rStyle w:val="Hyperlink"/>
          </w:rPr>
          <w:t xml:space="preserve">https://pypi.org/project/toml/</w:t>
        </w:r>
      </w:hyperlink>
      <w:r>
        <w:t xml:space="preserve">.</w:t>
      </w:r>
    </w:p>
    <w:bookmarkEnd w:id="110"/>
    <w:bookmarkStart w:id="112"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1">
        <w:r>
          <w:rPr>
            <w:rStyle w:val="Hyperlink"/>
          </w:rPr>
          <w:t xml:space="preserve">https://doi.org/10.1017/S0266466698144043</w:t>
        </w:r>
      </w:hyperlink>
      <w:r>
        <w:t xml:space="preserve">.</w:t>
      </w:r>
    </w:p>
    <w:bookmarkEnd w:id="112"/>
    <w:bookmarkStart w:id="114"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3">
        <w:r>
          <w:rPr>
            <w:rStyle w:val="Hyperlink"/>
          </w:rPr>
          <w:t xml:space="preserve">https://doi.org/10.1016/0014-5793(75)80034-2</w:t>
        </w:r>
      </w:hyperlink>
      <w:r>
        <w:t xml:space="preserve">.</w:t>
      </w:r>
    </w:p>
    <w:bookmarkEnd w:id="114"/>
    <w:bookmarkStart w:id="116"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5">
        <w:r>
          <w:rPr>
            <w:rStyle w:val="Hyperlink"/>
          </w:rPr>
          <w:t xml:space="preserve">https://www.ncbi.nlm.nih.gov/pubmed/156878</w:t>
        </w:r>
      </w:hyperlink>
      <w:r>
        <w:t xml:space="preserve">.</w:t>
      </w:r>
    </w:p>
    <w:bookmarkEnd w:id="116"/>
    <w:bookmarkStart w:id="118" w:name="ref-pydanticdevelopersPydantic2022"/>
    <w:p>
      <w:pPr>
        <w:pStyle w:val="Bibliography"/>
      </w:pPr>
      <w:r>
        <w:t xml:space="preserve">Pydantic developers. 2022.</w:t>
      </w:r>
      <w:r>
        <w:t xml:space="preserve"> </w:t>
      </w:r>
      <w:r>
        <w:t xml:space="preserve">“Pydantic.”</w:t>
      </w:r>
      <w:r>
        <w:t xml:space="preserve"> </w:t>
      </w:r>
      <w:hyperlink r:id="rId117">
        <w:r>
          <w:rPr>
            <w:rStyle w:val="Hyperlink"/>
          </w:rPr>
          <w:t xml:space="preserve">https://pypi.org/project/pydantic/</w:t>
        </w:r>
      </w:hyperlink>
      <w:r>
        <w:t xml:space="preserve">.</w:t>
      </w:r>
    </w:p>
    <w:bookmarkEnd w:id="118"/>
    <w:bookmarkStart w:id="120"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9">
        <w:r>
          <w:rPr>
            <w:rStyle w:val="Hyperlink"/>
          </w:rPr>
          <w:t xml:space="preserve">https://doi.org/10.1063/1.3528102</w:t>
        </w:r>
      </w:hyperlink>
      <w:r>
        <w:t xml:space="preserve">.</w:t>
      </w:r>
    </w:p>
    <w:bookmarkEnd w:id="120"/>
    <w:bookmarkStart w:id="122"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1">
        <w:r>
          <w:rPr>
            <w:rStyle w:val="Hyperlink"/>
          </w:rPr>
          <w:t xml:space="preserve">https://doi.org/10.1098/rsta.2011.0544</w:t>
        </w:r>
      </w:hyperlink>
      <w:r>
        <w:t xml:space="preserve">.</w:t>
      </w:r>
    </w:p>
    <w:bookmarkEnd w:id="122"/>
    <w:bookmarkStart w:id="124"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3">
        <w:r>
          <w:rPr>
            <w:rStyle w:val="Hyperlink"/>
          </w:rPr>
          <w:t xml:space="preserve">https://doi.org/10.1038/srep29635</w:t>
        </w:r>
      </w:hyperlink>
      <w:r>
        <w:t xml:space="preserve">.</w:t>
      </w:r>
    </w:p>
    <w:bookmarkEnd w:id="124"/>
    <w:bookmarkStart w:id="126"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5">
        <w:r>
          <w:rPr>
            <w:rStyle w:val="Hyperlink"/>
          </w:rPr>
          <w:t xml:space="preserve">https://doi.org/10.1115/DETC2005-85597</w:t>
        </w:r>
      </w:hyperlink>
      <w:r>
        <w:t xml:space="preserve">.</w:t>
      </w:r>
    </w:p>
    <w:bookmarkEnd w:id="126"/>
    <w:bookmarkStart w:id="128"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7">
        <w:r>
          <w:rPr>
            <w:rStyle w:val="Hyperlink"/>
          </w:rPr>
          <w:t xml:space="preserve">https://doi.org/10.1101/450163</w:t>
        </w:r>
      </w:hyperlink>
      <w:r>
        <w:t xml:space="preserve">.</w:t>
      </w:r>
    </w:p>
    <w:bookmarkEnd w:id="128"/>
    <w:bookmarkStart w:id="130"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29">
        <w:r>
          <w:rPr>
            <w:rStyle w:val="Hyperlink"/>
          </w:rPr>
          <w:t xml:space="preserve">https://github.com/stan-dev/cmdstanpy</w:t>
        </w:r>
      </w:hyperlink>
      <w:r>
        <w:t xml:space="preserve">.</w:t>
      </w:r>
    </w:p>
    <w:bookmarkEnd w:id="130"/>
    <w:bookmarkStart w:id="132"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1">
        <w:r>
          <w:rPr>
            <w:rStyle w:val="Hyperlink"/>
          </w:rPr>
          <w:t xml:space="preserve">https://doi.org/10.1093/bioinformatics/btx676</w:t>
        </w:r>
      </w:hyperlink>
      <w:r>
        <w:t xml:space="preserve">.</w:t>
      </w:r>
    </w:p>
    <w:bookmarkEnd w:id="132"/>
    <w:bookmarkStart w:id="134" w:name="X4b2652bd788d2cffe93c113d57ef4f847046aae"/>
    <w:p>
      <w:pPr>
        <w:pStyle w:val="Bibliography"/>
      </w:pPr>
      <w:r>
        <w:t xml:space="preserve">Timonen, Juho, Nikolas Siccha, Ben Bales, Harri Lähdesmäki,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3">
        <w:r>
          <w:rPr>
            <w:rStyle w:val="Hyperlink"/>
          </w:rPr>
          <w:t xml:space="preserve">https://doi.org/10.48550/arXiv.2205.09059</w:t>
        </w:r>
      </w:hyperlink>
      <w:r>
        <w:t xml:space="preserve">.</w:t>
      </w:r>
    </w:p>
    <w:bookmarkEnd w:id="134"/>
    <w:bookmarkStart w:id="135"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5"/>
    <w:bookmarkStart w:id="137"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6">
        <w:r>
          <w:rPr>
            <w:rStyle w:val="Hyperlink"/>
          </w:rPr>
          <w:t xml:space="preserve">https://doi.org/10.1214/20-BA1221</w:t>
        </w:r>
      </w:hyperlink>
      <w:r>
        <w:t xml:space="preserve">.</w:t>
      </w:r>
    </w:p>
    <w:bookmarkEnd w:id="137"/>
    <w:bookmarkStart w:id="139"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8">
        <w:r>
          <w:rPr>
            <w:rStyle w:val="Hyperlink"/>
          </w:rPr>
          <w:t xml:space="preserve">https://doi.org/10.1016/s1096-7176(03)00025-9</w:t>
        </w:r>
      </w:hyperlink>
      <w:r>
        <w:t xml:space="preserve">.</w:t>
      </w:r>
    </w:p>
    <w:bookmarkEnd w:id="139"/>
    <w:bookmarkStart w:id="141"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0">
        <w:r>
          <w:rPr>
            <w:rStyle w:val="Hyperlink"/>
          </w:rPr>
          <w:t xml:space="preserve">https://doi.org/10.1371/journal.pcbi.1005227</w:t>
        </w:r>
      </w:hyperlink>
      <w:r>
        <w:t xml:space="preserve">.</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3" Target="https://doi.org/10.1038/srep29635" TargetMode="External" /><Relationship Type="http://schemas.openxmlformats.org/officeDocument/2006/relationships/hyperlink" Id="rId119"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21"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33"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7"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5"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3" Target="https://doi.org/10.1038/srep29635" TargetMode="External" /><Relationship Type="http://schemas.openxmlformats.org/officeDocument/2006/relationships/hyperlink" Id="rId119"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21"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33"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7"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5"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2023-10-31T21:04:04Z</dcterms:created>
  <dcterms:modified xsi:type="dcterms:W3CDTF">2023-10-31T21:04:04Z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