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39.png" ContentType="image/png"/>
  <Override PartName="/word/media/rId21.png" ContentType="image/png"/>
  <Override PartName="/word/media/rId4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 inside</w:t>
      </w:r>
      <w:r>
        <w:t xml:space="preserve"> </w:t>
      </w:r>
      <w:r>
        <w:t xml:space="preserve">the cell, while another set of ODEs would be used to describe the external</w:t>
      </w:r>
      <w:r>
        <w:t xml:space="preserve"> </w:t>
      </w:r>
      <w:r>
        <w:t xml:space="preserve">substrate and product concentrations, which could act as boundary parameters</w:t>
      </w:r>
      <w:r>
        <w:t xml:space="preserve"> </w:t>
      </w:r>
      <w:r>
        <w:t xml:space="preserve">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 our case study below, capturing this correlation structure is difficult</w:t>
      </w:r>
      <w:r>
        <w:t xml:space="preserve"> </w:t>
      </w:r>
      <w:r>
        <w:t xml:space="preserve">outside a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 as in</w:t>
      </w:r>
      <w:r>
        <w:t xml:space="preserve"> </w:t>
      </w:r>
      <w:r>
        <w:t xml:space="preserve">St. John et al. (2018)</w:t>
      </w:r>
      <w:r>
        <w:t xml:space="preserve">, rejection</w:t>
      </w:r>
      <w:r>
        <w:t xml:space="preserve"> </w:t>
      </w:r>
      <w:r>
        <w:t xml:space="preserve">sampling and approximate Bayesian computation</w:t>
      </w:r>
      <w:r>
        <w:t xml:space="preserve"> </w:t>
      </w:r>
      <w:r>
        <w:t xml:space="preserve">Saa and Nielsen (2016)</w:t>
      </w:r>
      <w:r>
        <w:t xml:space="preserve"> </w:t>
      </w:r>
      <w:r>
        <w:t xml:space="preserve">and Laplace</w:t>
      </w:r>
      <w:r>
        <w:t xml:space="preserve"> </w:t>
      </w:r>
      <w:r>
        <w:t xml:space="preserve">approximation, in which the Fisher information matrix is used to calculate a</w:t>
      </w:r>
      <w:r>
        <w:t xml:space="preserve"> </w:t>
      </w:r>
      <w:r>
        <w:t xml:space="preserve">normal approximation around the maximum a posteriori parameter configuration</w:t>
      </w:r>
      <w:r>
        <w:t xml:space="preserve"> </w:t>
      </w:r>
      <w:r>
        <w:t xml:space="preserve">(Liebermeister and Noor 2021; Gopalakrishnan, Dash, and Maranas 2020; Stapor et al. 2018; Andreas Raue et al. 2013)</w:t>
      </w:r>
      <w:r>
        <w:t xml:space="preserve">. Non-MCMC-based Bayesian kinetic models have limited</w:t>
      </w:r>
      <w:r>
        <w:t xml:space="preserve"> </w:t>
      </w:r>
      <w:r>
        <w:t xml:space="preserve">utility because they lack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is the first Bayesian kinetic model to combine biologically</w:t>
      </w:r>
      <w:r>
        <w:t xml:space="preserve"> </w:t>
      </w:r>
      <w:r>
        <w:t xml:space="preserve">realistic mechanistic accuracy—including accurate rate laws, post-</w:t>
      </w:r>
      <w:r>
        <w:t xml:space="preserve"> </w:t>
      </w:r>
      <w:r>
        <w:t xml:space="preserve">translational modification and thermodynamics—with fast, robust MCMC sampling</w:t>
      </w:r>
      <w:r>
        <w:t xml:space="preserve"> </w:t>
      </w:r>
      <w:r>
        <w:t xml:space="preserve">using adaptive Hamiltonian Monte Carlo. Further, Maud is a general-purpose</w:t>
      </w:r>
      <w:r>
        <w:t xml:space="preserve"> </w:t>
      </w:r>
      <w:r>
        <w:t xml:space="preserve">application that can be used to fit a wide range of Bayesian kinetic models.</w:t>
      </w:r>
    </w:p>
    <w:bookmarkEnd w:id="20"/>
    <w:bookmarkStart w:id="55"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first used Maud</w:t>
      </w:r>
      <w:r>
        <w:t xml:space="preserve"> </w:t>
      </w:r>
      <w:r>
        <w:t xml:space="preserve">to generate simulated training and validation measurements based on plausible</w:t>
      </w:r>
      <w:r>
        <w:t xml:space="preserve"> </w:t>
      </w:r>
      <w:r>
        <w:t xml:space="preserve">parameter values, then performed posterior sampling. Next, we used Maud to</w:t>
      </w:r>
      <w:r>
        <w:t xml:space="preserve"> </w:t>
      </w:r>
      <w:r>
        <w:t xml:space="preserve">predict the validation data.</w:t>
      </w:r>
    </w:p>
    <w:p>
      <w:pPr>
        <w:pStyle w:val="BodyText"/>
      </w:pPr>
      <w:r>
        <w:t xml:space="preserve">To show that Maud is robust to missing measurements we compared the results</w:t>
      </w:r>
      <w:r>
        <w:t xml:space="preserve"> </w:t>
      </w:r>
      <w:r>
        <w:t xml:space="preserve">of fitting the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also fit our methionine</w:t>
      </w:r>
      <w:r>
        <w:t xml:space="preserve"> </w:t>
      </w:r>
      <w:r>
        <w:t xml:space="preserve">cycle model using the latter method and compared the results with MCMC sampling.</w:t>
      </w:r>
    </w:p>
    <w:p>
      <w:pPr>
        <w:pStyle w:val="BodyText"/>
      </w:pPr>
      <w:r>
        <w:t xml:space="preserve">Finally, we investigated our results to find out what our model learned about</w:t>
      </w:r>
      <w:r>
        <w:t xml:space="preserve"> </w:t>
      </w:r>
      <w:r>
        <w:t xml:space="preserve">the contributions of different regulatory factors to the flux through GNMT, an</w:t>
      </w:r>
      <w:r>
        <w:t xml:space="preserve"> </w:t>
      </w:r>
      <w:r>
        <w:t xml:space="preserve">important reaction. This analysis illustrates how Maud can be used to generate</w:t>
      </w:r>
      <w:r>
        <w:t xml:space="preserve"> </w:t>
      </w:r>
      <w:r>
        <w:t xml:space="preserve">actionable insights about metabolism without the need for further statistical</w:t>
      </w:r>
      <w:r>
        <w:t xml:space="preserve"> </w:t>
      </w:r>
      <w:r>
        <w:t xml:space="preserve">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(Martinov et al. 2000; Nijhout et al. 2006; Korendyaseva et al. 2008)</w:t>
      </w:r>
      <w:r>
        <w:t xml:space="preserv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1"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2.1.1 Measurement model</w:t>
      </w:r>
    </w:p>
    <w:p>
      <w:pPr>
        <w:pStyle w:val="FirstParagraph"/>
      </w:pPr>
      <w:r>
        <w:t xml:space="preserve">Generating an artificial dataset required a specification of the true</w:t>
      </w:r>
      <w:r>
        <w:t xml:space="preserve"> </w:t>
      </w:r>
      <w:r>
        <w:t xml:space="preserve">measurement error. For enzyme and metabolite concentration measurements</w:t>
      </w:r>
      <w:r>
        <w:t xml:space="preserve"> </w:t>
      </w:r>
      <w:r>
        <w:t xml:space="preserve">we specified a standard deviation of 0.1 on natural logarithmic scale,</w:t>
      </w:r>
      <w:r>
        <w:t xml:space="preserve"> </w:t>
      </w:r>
      <w:r>
        <w:t xml:space="preserve">corresponding to approximately 10% measurement error. For each reaction</w:t>
      </w:r>
      <w:r>
        <w:t xml:space="preserve"> </w:t>
      </w:r>
      <w:r>
        <w:t xml:space="preserve">measurement a measurement standard deviation of approximately 10% of the</w:t>
      </w:r>
      <w:r>
        <w:t xml:space="preserve"> </w:t>
      </w:r>
      <w:r>
        <w:t xml:space="preserve">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2.1.2 Training/validation split</w:t>
      </w:r>
    </w:p>
    <w:p>
      <w:pPr>
        <w:pStyle w:val="FirstParagraph"/>
      </w:pPr>
      <w:r>
        <w:t xml:space="preserve">The training testing split was selected to achieve a large difference between</w:t>
      </w:r>
      <w:r>
        <w:t xml:space="preserve"> </w:t>
      </w:r>
      <w:r>
        <w:t xml:space="preserve">the fluxes of the training and testing dataset. The split was determined as</w:t>
      </w:r>
      <w:r>
        <w:t xml:space="preserve"> </w:t>
      </w:r>
      <w:r>
        <w:t xml:space="preserve">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2.1.3 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2.1.4 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bookmarkEnd w:id="30"/>
    <w:bookmarkEnd w:id="31"/>
    <w:bookmarkStart w:id="54" w:name="findings"/>
    <w:p>
      <w:pPr>
        <w:pStyle w:val="Heading2"/>
      </w:pPr>
      <w:r>
        <w:t xml:space="preserve">2.2 Findings</w:t>
      </w:r>
    </w:p>
    <w:bookmarkStart w:id="36" w:name="posterior-inference"/>
    <w:p>
      <w:pPr>
        <w:pStyle w:val="Heading3"/>
      </w:pPr>
      <w:r>
        <w:t xml:space="preserve">2.2.1 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 figure</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 as</w:t>
      </w:r>
      <w:r>
        <w:t xml:space="preserve"> </w:t>
      </w:r>
      <w:r>
        <w:t xml:space="preserve">the one shown in the bottom left of figure</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This does not mean that the parameters were uncorrelated, but</w:t>
      </w:r>
      <w:r>
        <w:t xml:space="preserve"> </w:t>
      </w:r>
      <w:r>
        <w:t xml:space="preserve">rather that the correlations involve more than two parameters.</w:t>
      </w:r>
    </w:p>
    <w:p>
      <w:pPr>
        <w:pStyle w:val="BodyText"/>
      </w:pPr>
      <w:r>
        <w:t xml:space="preserve">Overall, our results show that Maud can fit a realistic pathway-sized dataset.</w:t>
      </w:r>
      <w:r>
        <w:t xml:space="preserve"> </w:t>
      </w:r>
      <w:r>
        <w:t xml:space="preserve">This was achieved without fixing the marginal values of kinetic parameters: the</w:t>
      </w:r>
      <w:r>
        <w:t xml:space="preserve"> </w:t>
      </w:r>
      <w:r>
        <w:t xml:space="preserve">information required to make good predictions was contained in the correlation</w:t>
      </w:r>
      <w:r>
        <w:t xml:space="preserve"> </w:t>
      </w:r>
      <w:r>
        <w:t xml:space="preserve">structure of the joint posterior distribution. This finding is consistent with</w:t>
      </w:r>
      <w:r>
        <w:t xml:space="preserve"> </w:t>
      </w:r>
      <w:r>
        <w:t xml:space="preserve">previous analyses of biological systems that found they are</w:t>
      </w:r>
      <w:r>
        <w:t xml:space="preserve"> </w:t>
      </w:r>
      <w:r>
        <w:t xml:space="preserve">“</w:t>
      </w:r>
      <w:r>
        <w:t xml:space="preserve">sloppy</w:t>
      </w:r>
      <w:r>
        <w:t xml:space="preserve">”</w:t>
      </w:r>
      <w:r>
        <w:t xml:space="preserve">, that is,</w:t>
      </w:r>
      <w:r>
        <w:t xml:space="preserve"> </w:t>
      </w:r>
      <w:r>
        <w:t xml:space="preserve">sensitive to parameter combinations rather than marginal parameter values, with</w:t>
      </w:r>
      <w:r>
        <w:t xml:space="preserve"> </w:t>
      </w:r>
      <w:r>
        <w:t xml:space="preserve">important combinations, scales and regions of sensitivity being difficult to</w:t>
      </w:r>
      <w:r>
        <w:t xml:space="preserve"> </w:t>
      </w:r>
      <w:r>
        <w:t xml:space="preserve">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w:t>
      </w:r>
      <w:r>
        <w:t xml:space="preserve"> </w:t>
      </w:r>
      <w:hyperlink w:anchor="sec-laplace">
        <w:r>
          <w:rPr>
            <w:rStyle w:val="Hyperlink"/>
          </w:rPr>
          <w:t xml:space="preserve">Section 2.2.2</w:t>
        </w:r>
      </w:hyperlink>
      <w:r>
        <w:t xml:space="preserve"> </w:t>
      </w:r>
      <w:r>
        <w:t xml:space="preserve">addresses whether Laplace</w:t>
      </w:r>
      <w:r>
        <w:t xml:space="preserve"> </w:t>
      </w:r>
      <w:r>
        <w:t xml:space="preserve">approximation is a suitable candidate.</w:t>
      </w:r>
    </w:p>
    <w:tbl>
      <w:tblPr>
        <w:tblStyle w:val="Table"/>
        <w:tblW w:type="pct" w:w="5000"/>
        <w:tblLook w:firstRow="0" w:lastRow="0" w:firstColumn="0" w:lastColumn="0" w:noHBand="0" w:noVBand="0" w:val="0000"/>
        <w:jc w:val="start"/>
      </w:tblPr>
      <w:tblGrid>
        <w:gridCol w:w="7920"/>
      </w:tblGrid>
      <w:tr>
        <w:tc>
          <w:tcPr/>
          <w:bookmarkStart w:id="35" w:name="fig-posterio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11805"/>
                        <wp:effectExtent b="0" l="0" r="0" t="0"/>
                        <wp:docPr descr="" title="" id="33" name="Picture"/>
                        <a:graphic>
                          <a:graphicData uri="http://schemas.openxmlformats.org/drawingml/2006/picture">
                            <pic:pic>
                              <pic:nvPicPr>
                                <pic:cNvPr descr="../figures/posterior.png" id="34" name="Picture"/>
                                <pic:cNvPicPr>
                                  <a:picLocks noChangeArrowheads="1" noChangeAspect="1"/>
                                </pic:cNvPicPr>
                              </pic:nvPicPr>
                              <pic:blipFill>
                                <a:blip r:embed="rId32"/>
                                <a:stretch>
                                  <a:fillRect/>
                                </a:stretch>
                              </pic:blipFill>
                              <pic:spPr bwMode="auto">
                                <a:xfrm>
                                  <a:off x="0" y="0"/>
                                  <a:ext cx="5334000" cy="541180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 a</w:t>
            </w:r>
            <w:r>
              <w:t xml:space="preserve"> </w:t>
            </w:r>
            <w:r>
              <w:t xml:space="preserve">good fit. (</w:t>
            </w:r>
            <w:r>
              <w:rPr>
                <w:bCs/>
                <w:b/>
              </w:rPr>
              <w:t xml:space="preserve">Bottom left</w:t>
            </w:r>
            <w:r>
              <w:t xml:space="preserve">) Pairwise marginal posterior distribution for two</w:t>
            </w:r>
            <w:r>
              <w:t xml:space="preserve"> </w:t>
            </w:r>
            <w:r>
              <w:t xml:space="preserve">uncorrelated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w:t>
            </w:r>
            <w:r>
              <w:t xml:space="preserve"> </w:t>
            </w:r>
            <w:r>
              <w:t xml:space="preserve">(</w:t>
            </w:r>
            <w:r>
              <w:rPr>
                <w:bCs/>
                <w:b/>
              </w:rPr>
              <w:t xml:space="preserve">Bottom right</w:t>
            </w:r>
            <w:r>
              <w:t xml:space="preserve">) Pairwise marginal posterior distribution for two correlated</w:t>
            </w:r>
            <w:r>
              <w:t xml:space="preserve"> </w:t>
            </w:r>
            <w:r>
              <w:t xml:space="preserve">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5"/>
        </w:tc>
      </w:tr>
    </w:tbl>
    <w:bookmarkEnd w:id="36"/>
    <w:bookmarkStart w:id="43" w:name="sec-laplace"/>
    <w:p>
      <w:pPr>
        <w:pStyle w:val="Heading3"/>
      </w:pPr>
      <w:r>
        <w:t xml:space="preserve">2.2.2 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Our overall strategy was to compare samples generated using MCMC, which we</w:t>
      </w:r>
      <w:r>
        <w:t xml:space="preserve"> </w:t>
      </w:r>
      <w:r>
        <w:t xml:space="preserve">were confident could be treated as draws from the true posterior distribution,</w:t>
      </w:r>
      <w:r>
        <w:t xml:space="preserve"> </w:t>
      </w:r>
      <w:r>
        <w:t xml:space="preserve">with approximate posterior samples generated using the Laplace method. We were</w:t>
      </w:r>
      <w:r>
        <w:t xml:space="preserve"> </w:t>
      </w:r>
      <w:r>
        <w:t xml:space="preserve">unable to generate approximate posterior samples for our main methionine cycle</w:t>
      </w:r>
      <w:r>
        <w:t xml:space="preserve"> </w:t>
      </w:r>
      <w:r>
        <w:t xml:space="preserve">case study using Laplace approximation, as the algorithm could not recover from</w:t>
      </w:r>
      <w:r>
        <w:t xml:space="preserve"> </w:t>
      </w:r>
      <w:r>
        <w:t xml:space="preserve">solver failures caused by unrealistic parameter configurations. We therefore</w:t>
      </w:r>
      <w:r>
        <w:t xml:space="preserve"> </w:t>
      </w:r>
      <w:r>
        <w:t xml:space="preserve">made a comparison for a simpler model. This input can be found at</w:t>
      </w:r>
      <w:r>
        <w:t xml:space="preserve"> </w:t>
      </w:r>
      <w:hyperlink r:id="rId37">
        <w:r>
          <w:rPr>
            <w:rStyle w:val="Hyperlink"/>
          </w:rPr>
          <w:t xml:space="preserve">https://github.com/biosustain/Methionine_model/tree/main/data/example_ode</w:t>
        </w:r>
      </w:hyperlink>
      <w:r>
        <w:t xml:space="preserve">.</w:t>
      </w:r>
    </w:p>
    <w:p>
      <w:pPr>
        <w:pStyle w:val="BodyText"/>
      </w:pPr>
      <w:r>
        <w:t xml:space="preserve">MCMC sampling for our comparison input yielded 800 samples in 625 minutes;</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8">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3</w:t>
        </w:r>
      </w:hyperlink>
      <w:r>
        <w:t xml:space="preserve"> </w:t>
      </w:r>
      <w:r>
        <w:t xml:space="preserve">summarises the results of comparing the samples generated using</w:t>
      </w:r>
      <w:r>
        <w:t xml:space="preserve"> </w:t>
      </w:r>
      <w:r>
        <w:t xml:space="preserve">each method. As can be seen from the top left plot, the Laplace method does not</w:t>
      </w:r>
      <w:r>
        <w:t xml:space="preserve"> </w:t>
      </w:r>
      <w:r>
        <w:t xml:space="preserve">provide a good approximation to the true posterior distribution in this case,</w:t>
      </w:r>
      <w:r>
        <w:t xml:space="preserve"> </w:t>
      </w:r>
      <w:r>
        <w:t xml:space="preserve">as the marginal distribution of the total log probability density is clearly</w:t>
      </w:r>
      <w:r>
        <w:t xml:space="preserve"> </w:t>
      </w:r>
      <w:r>
        <w:t xml:space="preserve">different. This impression was confirmed using the Kolmogorov-Smirnov test,</w:t>
      </w:r>
      <w:r>
        <w:t xml:space="preserve"> </w:t>
      </w:r>
      <w:r>
        <w:t xml:space="preserve">which is a test to differentiate two empirical univariate distributions. The</w:t>
      </w:r>
      <w:r>
        <w:t xml:space="preserve"> </w:t>
      </w:r>
      <w:r>
        <w:t xml:space="preserve">two distributions were significantly different with a p-value indistinguishable</w:t>
      </w:r>
      <w:r>
        <w:t xml:space="preserve"> </w:t>
      </w:r>
      <w:r>
        <w:t xml:space="preserve">from zero.</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Figure</w:t>
      </w:r>
      <w:r>
        <w:t xml:space="preserve"> </w:t>
      </w:r>
      <w:hyperlink w:anchor="fig-laplace">
        <w:r>
          <w:rPr>
            <w:rStyle w:val="Hyperlink"/>
          </w:rPr>
          <w:t xml:space="preserve">Figure 3</w:t>
        </w:r>
      </w:hyperlink>
      <w:r>
        <w:t xml:space="preserve"> </w:t>
      </w:r>
      <w:r>
        <w:t xml:space="preserve">frame B compares the 5%-95% interval</w:t>
      </w:r>
      <w:r>
        <w:t xml:space="preserve"> </w:t>
      </w:r>
      <w:r>
        <w:t xml:space="preserve">for flux measurement log likelihoods in the true posterior with the Laplace</w:t>
      </w:r>
      <w:r>
        <w:t xml:space="preserve"> </w:t>
      </w:r>
      <w:r>
        <w:t xml:space="preserve">approximation; lower log likelihood values indicate that the modelled and</w:t>
      </w:r>
      <w:r>
        <w:t xml:space="preserve"> </w:t>
      </w:r>
      <w:r>
        <w:t xml:space="preserve">measured values are further away. The graph shows that the Laplace approximation</w:t>
      </w:r>
      <w:r>
        <w:t xml:space="preserve"> </w:t>
      </w:r>
      <w:r>
        <w:t xml:space="preserve">yielded significantly worse predictions than the true posterior, even for the</w:t>
      </w:r>
      <w:r>
        <w:t xml:space="preserve"> </w:t>
      </w:r>
      <w:r>
        <w:t xml:space="preserve">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see the</w:t>
      </w:r>
      <w:r>
        <w:t xml:space="preserve"> </w:t>
      </w:r>
      <w:r>
        <w:t xml:space="preserve">bottom right cell of figure</w:t>
      </w:r>
      <w:r>
        <w:t xml:space="preserve"> </w:t>
      </w:r>
      <w:hyperlink w:anchor="fig-laplace">
        <w:r>
          <w:rPr>
            <w:rStyle w:val="Hyperlink"/>
          </w:rPr>
          <w:t xml:space="preserve">Figure 3</w:t>
        </w:r>
      </w:hyperlink>
      <w:r>
        <w:t xml:space="preserve">. This comparison demonstrates that</w:t>
      </w:r>
      <w:r>
        <w:t xml:space="preserve"> </w:t>
      </w:r>
      <w:r>
        <w:t xml:space="preserve">the Laplace method is not able to capture the correct relationships between</w:t>
      </w:r>
      <w:r>
        <w:t xml:space="preserve"> </w:t>
      </w:r>
      <w:r>
        <w:t xml:space="preserve">parameters’ 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the Laplace method will produce worse approximations the more complex the target</w:t>
      </w:r>
      <w:r>
        <w:t xml:space="preserve"> </w:t>
      </w:r>
      <w:r>
        <w:t xml:space="preserve">model. Since the approximation is already unacceptable for our simple test</w:t>
      </w:r>
      <w:r>
        <w:t xml:space="preserve"> </w:t>
      </w:r>
      <w:r>
        <w:t xml:space="preserve">model, we recommend that Maud users use MCMC sampling in preference to Laplace</w:t>
      </w:r>
      <w:r>
        <w:t xml:space="preserve"> </w:t>
      </w:r>
      <w:r>
        <w:t xml:space="preserve">approximation if 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42"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73980"/>
                        <wp:effectExtent b="0" l="0" r="0" t="0"/>
                        <wp:docPr descr="" title="" id="40" name="Picture"/>
                        <a:graphic>
                          <a:graphicData uri="http://schemas.openxmlformats.org/drawingml/2006/picture">
                            <pic:pic>
                              <pic:nvPicPr>
                                <pic:cNvPr descr="../figures/laplace.png" id="41" name="Picture"/>
                                <pic:cNvPicPr>
                                  <a:picLocks noChangeArrowheads="1" noChangeAspect="1"/>
                                </pic:cNvPicPr>
                              </pic:nvPicPr>
                              <pic:blipFill>
                                <a:blip r:embed="rId39"/>
                                <a:stretch>
                                  <a:fillRect/>
                                </a:stretch>
                              </pic:blipFill>
                              <pic:spPr bwMode="auto">
                                <a:xfrm>
                                  <a:off x="0" y="0"/>
                                  <a:ext cx="5334000" cy="5473980"/>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 values</w:t>
            </w:r>
            <w:r>
              <w:t xml:space="preserve"> </w:t>
            </w:r>
            <w:r>
              <w:t xml:space="preserve">for training data flux measurements shows that the Laplace method tended to</w:t>
            </w:r>
            <w:r>
              <w:t xml:space="preserve"> </w:t>
            </w:r>
            <w:r>
              <w:t xml:space="preserve">yield much worse predictions compared with the true model. (</w:t>
            </w:r>
            <w:r>
              <w:rPr>
                <w:bCs/>
                <w:b/>
              </w:rPr>
              <w:t xml:space="preserve">Bottom left</w:t>
            </w:r>
            <w:r>
              <w:t xml:space="preserve">)</w:t>
            </w:r>
            <w:r>
              <w:t xml:space="preserve"> </w:t>
            </w:r>
            <w:r>
              <w:t xml:space="preserve">The Laplace method also tended to produce worse flux predictions for held-back</w:t>
            </w:r>
            <w:r>
              <w:t xml:space="preserve"> </w:t>
            </w:r>
            <w:r>
              <w:t xml:space="preserve">test measurements. (</w:t>
            </w:r>
            <w:r>
              <w:rPr>
                <w:bCs/>
                <w:b/>
              </w:rPr>
              <w:t xml:space="preserve">Bottom right</w:t>
            </w:r>
            <w:r>
              <w:t xml:space="preserve">) The marginal joint distribution of two</w:t>
            </w:r>
            <w:r>
              <w:t xml:space="preserve"> </w:t>
            </w:r>
            <w:r>
              <w:t xml:space="preserve">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 Laplace method is not able</w:t>
            </w:r>
            <w:r>
              <w:t xml:space="preserve"> </w:t>
            </w:r>
            <w:r>
              <w:t xml:space="preserve">to track the correct joint distribution for this pair of parameters. This is</w:t>
            </w:r>
            <w:r>
              <w:t xml:space="preserve"> </w:t>
            </w:r>
            <w:r>
              <w:t xml:space="preserve">unsurprising given that the target distribution has position-dependent scales</w:t>
            </w:r>
            <w:r>
              <w:t xml:space="preserve"> </w:t>
            </w:r>
            <w:r>
              <w:t xml:space="preserve">which are difficult for a linear approximation to capture.</w:t>
            </w:r>
          </w:p>
          <w:bookmarkEnd w:id="42"/>
        </w:tc>
      </w:tr>
    </w:tbl>
    <w:bookmarkEnd w:id="43"/>
    <w:bookmarkStart w:id="48" w:name="X9aab18619bffaaee7010f39077c602781b7715d"/>
    <w:p>
      <w:pPr>
        <w:pStyle w:val="Heading3"/>
      </w:pPr>
      <w:r>
        <w:t xml:space="preserve">2.2.3 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4</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4</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7"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5" name="Picture"/>
                        <a:graphic>
                          <a:graphicData uri="http://schemas.openxmlformats.org/drawingml/2006/picture">
                            <pic:pic>
                              <pic:nvPicPr>
                                <pic:cNvPr descr="../figures/missing.png" id="46" name="Picture"/>
                                <pic:cNvPicPr>
                                  <a:picLocks noChangeArrowheads="1" noChangeAspect="1"/>
                                </pic:cNvPicPr>
                              </pic:nvPicPr>
                              <pic:blipFill>
                                <a:blip r:embed="rId44"/>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7"/>
        </w:tc>
      </w:tr>
    </w:tbl>
    <w:bookmarkEnd w:id="48"/>
    <w:bookmarkStart w:id="53" w:name="application-to-regulatory-understanding"/>
    <w:p>
      <w:pPr>
        <w:pStyle w:val="Heading3"/>
      </w:pPr>
      <w:r>
        <w:t xml:space="preserve">2.2.4 Application to regulatory understanding</w:t>
      </w:r>
    </w:p>
    <w:p>
      <w:pPr>
        <w:pStyle w:val="FirstParagraph"/>
      </w:pPr>
      <w:r>
        <w:t xml:space="preserve">To demonstrate how Maud’s output can be used to yield useful metabolic</w:t>
      </w:r>
      <w:r>
        <w:t xml:space="preserve"> </w:t>
      </w:r>
      <w:r>
        <w:t xml:space="preserve">insights we used the results of our case study to explain why the flux of</w:t>
      </w:r>
      <w:r>
        <w:t xml:space="preserve"> </w:t>
      </w:r>
      <w:r>
        <w:t xml:space="preserve">the enzyme</w:t>
      </w:r>
      <w:r>
        <w:t xml:space="preserve"> </w:t>
      </w:r>
      <m:oMath>
        <m:r>
          <m:t>G</m:t>
        </m:r>
        <m:r>
          <m:t>N</m:t>
        </m:r>
        <m:r>
          <m:t>M</m:t>
        </m:r>
        <m:r>
          <m:t>T</m:t>
        </m:r>
      </m:oMath>
      <w:r>
        <w:t xml:space="preserve"> </w:t>
      </w:r>
      <w:r>
        <w:t xml:space="preserve">is higher in dataset 1 than in dataset 12. GNMT is</w:t>
      </w:r>
      <w:r>
        <w:t xml:space="preserve"> </w:t>
      </w:r>
      <w:r>
        <w:t xml:space="preserve">an irreversible enzyme that is homotropically activated by its substrate,</w:t>
      </w:r>
      <w:r>
        <w:t xml:space="preserve"> </w:t>
      </w:r>
      <w:r>
        <w:t xml:space="preserve">competitively inhibited by its product and heterotropically inhibited by 5,10-</w:t>
      </w:r>
      <w:r>
        <w:t xml:space="preserve"> </w:t>
      </w:r>
      <w:r>
        <w:t xml:space="preserve">methylenetetrahydrofolate (mlthf). The diverse regulation makes it the ideal</w:t>
      </w:r>
      <w:r>
        <w:t xml:space="preserve"> </w:t>
      </w:r>
      <w:r>
        <w:t xml:space="preserve">test case to elucidate regulatory changes.</w:t>
      </w:r>
    </w:p>
    <w:p>
      <w:pPr>
        <w:pStyle w:val="BodyText"/>
      </w:pPr>
      <w:hyperlink w:anchor="fig-decomposition">
        <w:r>
          <w:rPr>
            <w:rStyle w:val="Hyperlink"/>
          </w:rPr>
          <w:t xml:space="preserve">Figure 5</w:t>
        </w:r>
      </w:hyperlink>
      <w:r>
        <w:t xml:space="preserve"> </w:t>
      </w:r>
      <w:r>
        <w:t xml:space="preserve">shows the regulatory description of GNMT, according to the</w:t>
      </w:r>
      <w:r>
        <w:t xml:space="preserve"> </w:t>
      </w:r>
      <w:r>
        <w:t xml:space="preserve">results our main case study analysis. Each curve shows the marginal posterior</w:t>
      </w:r>
      <w:r>
        <w:t xml:space="preserve"> </w:t>
      </w:r>
      <w:r>
        <w:t xml:space="preserve">distribution of the ratio of the corresponding regulatory component in dataset</w:t>
      </w:r>
      <w:r>
        <w:t xml:space="preserve"> </w:t>
      </w:r>
      <w:r>
        <w:t xml:space="preserve">1 compared with dataset 12.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0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 each</w:t>
      </w:r>
      <w:r>
        <w:t xml:space="preserve"> </w:t>
      </w:r>
      <w:r>
        <w:t xml:space="preserve">dataset. Our result shows that Maud could be used in this realistic case not</w:t>
      </w:r>
      <w:r>
        <w:t xml:space="preserve"> </w:t>
      </w:r>
      <w:r>
        <w:t xml:space="preserve">only to provide a user with an explanation for an observed difference in fluxes,</w:t>
      </w:r>
      <w:r>
        <w:t xml:space="preserve"> </w:t>
      </w:r>
      <w:r>
        <w:t xml:space="preserve">but also a reasonable judgement as to the explanation’s robustness.</w:t>
      </w:r>
    </w:p>
    <w:tbl>
      <w:tblPr>
        <w:tblStyle w:val="Table"/>
        <w:tblW w:type="pct" w:w="5000"/>
        <w:tblLook w:firstRow="0" w:lastRow="0" w:firstColumn="0" w:lastColumn="0" w:noHBand="0" w:noVBand="0" w:val="0000"/>
        <w:jc w:val="start"/>
      </w:tblPr>
      <w:tblGrid>
        <w:gridCol w:w="7920"/>
      </w:tblGrid>
      <w:tr>
        <w:tc>
          <w:tcPr/>
          <w:bookmarkStart w:id="52"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97746"/>
                        <wp:effectExtent b="0" l="0" r="0" t="0"/>
                        <wp:docPr descr="" title="" id="50" name="Picture"/>
                        <a:graphic>
                          <a:graphicData uri="http://schemas.openxmlformats.org/drawingml/2006/picture">
                            <pic:pic>
                              <pic:nvPicPr>
                                <pic:cNvPr descr="../figures/decomposition.png" id="51" name="Picture"/>
                                <pic:cNvPicPr>
                                  <a:picLocks noChangeArrowheads="1" noChangeAspect="1"/>
                                </pic:cNvPicPr>
                              </pic:nvPicPr>
                              <pic:blipFill>
                                <a:blip r:embed="rId49"/>
                                <a:stretch>
                                  <a:fillRect/>
                                </a:stretch>
                              </pic:blipFill>
                              <pic:spPr bwMode="auto">
                                <a:xfrm>
                                  <a:off x="0" y="0"/>
                                  <a:ext cx="5334000" cy="2597746"/>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52"/>
        </w:tc>
      </w:tr>
    </w:tbl>
    <w:bookmarkEnd w:id="53"/>
    <w:bookmarkEnd w:id="54"/>
    <w:bookmarkEnd w:id="55"/>
    <w:bookmarkStart w:id="64"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6">
        <w:r>
          <w:rPr>
            <w:rStyle w:val="Hyperlink"/>
          </w:rPr>
          <w:t xml:space="preserve">https://maud-metabolic-models.readthedocs.io</w:t>
        </w:r>
      </w:hyperlink>
      <w:r>
        <w:t xml:space="preserve"> </w:t>
      </w:r>
      <w:r>
        <w:t xml:space="preserve">and actively developed and maintained at</w:t>
      </w:r>
      <w:r>
        <w:t xml:space="preserve"> </w:t>
      </w:r>
      <w:hyperlink r:id="rId57">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equation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8" w:name="kinetic-model"/>
    <w:p>
      <w:pPr>
        <w:pStyle w:val="Heading2"/>
      </w:pPr>
      <w:r>
        <w:t xml:space="preserve">3.1 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8"/>
    <w:bookmarkStart w:id="61" w:name="statistical-model"/>
    <w:p>
      <w:pPr>
        <w:pStyle w:val="Heading2"/>
      </w:pPr>
      <w:r>
        <w:t xml:space="preserve">3.2 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9" w:name="prior-model"/>
    <w:p>
      <w:pPr>
        <w:pStyle w:val="Heading3"/>
      </w:pPr>
      <w:r>
        <w:t xml:space="preserve">3.2.1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supporting information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9"/>
    <w:bookmarkStart w:id="60" w:name="measurement-model"/>
    <w:p>
      <w:pPr>
        <w:pStyle w:val="Heading3"/>
      </w:pPr>
      <w:r>
        <w:t xml:space="preserve">3.2.2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60"/>
    <w:bookmarkEnd w:id="61"/>
    <w:bookmarkStart w:id="62"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62"/>
    <w:bookmarkStart w:id="63"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 equation</w:t>
      </w:r>
      <w:r>
        <w:t xml:space="preserve"> </w:t>
      </w:r>
      <w:r>
        <w:t xml:space="preserve"> </w:t>
      </w:r>
      <w:r>
        <w:t xml:space="preserve">and finding the</w:t>
      </w:r>
      <w:r>
        <w:t xml:space="preserve"> </w:t>
      </w:r>
      <w:r>
        <w:t xml:space="preserve">gradients of its solution with respect to all model parameters. This must be</w:t>
      </w:r>
      <w:r>
        <w:t xml:space="preserve"> </w:t>
      </w:r>
      <w:r>
        <w:t xml:space="preserve">done numerically as analytic solutions are not available for realistic kinetic</w:t>
      </w:r>
      <w:r>
        <w:t xml:space="preserve"> </w:t>
      </w:r>
      <w:r>
        <w:t xml:space="preserve">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 equation</w:t>
      </w:r>
      <w:r>
        <w:t xml:space="preserve"> </w:t>
      </w:r>
      <w:r>
        <w:t xml:space="preserve"> </w:t>
      </w:r>
      <w:r>
        <w:t xml:space="preserve">and find its gradients, Maud uses</w:t>
      </w:r>
      <w:r>
        <w:t xml:space="preserve"> </w:t>
      </w:r>
      <w:r>
        <w:t xml:space="preserve">a hybrid method involving two numerical solvers from the SUNDIALS</w:t>
      </w:r>
      <w:r>
        <w:t xml:space="preserve"> </w:t>
      </w:r>
      <w:r>
        <w:t xml:space="preserve">suite</w:t>
      </w:r>
      <w:r>
        <w:t xml:space="preserve"> </w:t>
      </w:r>
      <w:r>
        <w:t xml:space="preserve">(Serban and Hindmarsh 2005)</w:t>
      </w:r>
      <w:r>
        <w:t xml:space="preserve">: CVODES and IDAS via</w:t>
      </w:r>
      <w:r>
        <w:t xml:space="preserve"> </w:t>
      </w:r>
      <w:r>
        <w:t xml:space="preserve">their 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63"/>
    <w:bookmarkEnd w:id="64"/>
    <w:bookmarkStart w:id="66"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5">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1"/>
        </w:numPr>
        <w:pStyle w:val="Compact"/>
      </w:pPr>
      <w:r>
        <w:t xml:space="preserve">Description of Maud’s input format</w:t>
      </w:r>
    </w:p>
    <w:p>
      <w:pPr>
        <w:numPr>
          <w:ilvl w:val="0"/>
          <w:numId w:val="1001"/>
        </w:numPr>
        <w:pStyle w:val="Compact"/>
      </w:pPr>
      <w:r>
        <w:t xml:space="preserve">Description of Maud’s kinetic model including rate equations as well as</w:t>
      </w:r>
      <w:r>
        <w:t xml:space="preserve"> </w:t>
      </w:r>
      <w:r>
        <w:t xml:space="preserve">parameters and their dimensions.</w:t>
      </w:r>
    </w:p>
    <w:p>
      <w:pPr>
        <w:numPr>
          <w:ilvl w:val="0"/>
          <w:numId w:val="1001"/>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1"/>
        </w:numPr>
        <w:pStyle w:val="Compact"/>
      </w:pPr>
      <w:r>
        <w:t xml:space="preserve">Specification of the prior distribution used for the case studies.</w:t>
      </w:r>
    </w:p>
    <w:bookmarkEnd w:id="66"/>
    <w:bookmarkStart w:id="67" w:name="acknowledgements"/>
    <w:p>
      <w:pPr>
        <w:pStyle w:val="Heading1"/>
      </w:pPr>
      <w:r>
        <w:t xml:space="preserve">5. Acknowledgements</w:t>
      </w:r>
    </w:p>
    <w:p>
      <w:pPr>
        <w:pStyle w:val="FirstParagraph"/>
      </w:pPr>
      <w:r>
        <w:t xml:space="preserve">This research was funded by the Novo Nordisk foundation using grant number</w:t>
      </w:r>
      <w:r>
        <w:t xml:space="preserve"> </w:t>
      </w:r>
      <w:r>
        <w:t xml:space="preserve">NNF14OC0009473.</w:t>
      </w:r>
    </w:p>
    <w:bookmarkEnd w:id="67"/>
    <w:bookmarkStart w:id="147" w:name="references"/>
    <w:p>
      <w:pPr>
        <w:pStyle w:val="Heading1"/>
      </w:pPr>
      <w:r>
        <w:t xml:space="preserve">6. References</w:t>
      </w:r>
    </w:p>
    <w:bookmarkStart w:id="146" w:name="refs"/>
    <w:bookmarkStart w:id="69"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w:t>
      </w:r>
      <w:r>
        <w:t xml:space="preserve">, July.</w:t>
      </w:r>
      <w:r>
        <w:t xml:space="preserve"> </w:t>
      </w:r>
      <w:hyperlink r:id="rId68">
        <w:r>
          <w:rPr>
            <w:rStyle w:val="Hyperlink"/>
          </w:rPr>
          <w:t xml:space="preserve">http://arxiv.org/abs/1701.02434</w:t>
        </w:r>
      </w:hyperlink>
      <w:r>
        <w:t xml:space="preserve">.</w:t>
      </w:r>
    </w:p>
    <w:bookmarkEnd w:id="69"/>
    <w:bookmarkStart w:id="71"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70">
        <w:r>
          <w:rPr>
            <w:rStyle w:val="Hyperlink"/>
          </w:rPr>
          <w:t xml:space="preserve">https://doi.org/10.18637/jss.v076.i01</w:t>
        </w:r>
      </w:hyperlink>
      <w:r>
        <w:t xml:space="preserve">.</w:t>
      </w:r>
    </w:p>
    <w:bookmarkEnd w:id="71"/>
    <w:bookmarkStart w:id="73"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72">
        <w:r>
          <w:rPr>
            <w:rStyle w:val="Hyperlink"/>
          </w:rPr>
          <w:t xml:space="preserve">https://doi.org/10.1038/nrm3695</w:t>
        </w:r>
      </w:hyperlink>
      <w:r>
        <w:t xml:space="preserve">.</w:t>
      </w:r>
    </w:p>
    <w:bookmarkEnd w:id="73"/>
    <w:bookmarkStart w:id="75"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4">
        <w:r>
          <w:rPr>
            <w:rStyle w:val="Hyperlink"/>
          </w:rPr>
          <w:t xml:space="preserve">https://doi.org/10.1016/j.cels.2018.04.009</w:t>
        </w:r>
      </w:hyperlink>
      <w:r>
        <w:t xml:space="preserve">.</w:t>
      </w:r>
    </w:p>
    <w:bookmarkEnd w:id="75"/>
    <w:bookmarkStart w:id="77"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6">
        <w:r>
          <w:rPr>
            <w:rStyle w:val="Hyperlink"/>
          </w:rPr>
          <w:t xml:space="preserve">https://pypi.org/project/click/</w:t>
        </w:r>
      </w:hyperlink>
      <w:r>
        <w:t xml:space="preserve">.</w:t>
      </w:r>
    </w:p>
    <w:bookmarkEnd w:id="77"/>
    <w:bookmarkStart w:id="79"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8">
        <w:r>
          <w:rPr>
            <w:rStyle w:val="Hyperlink"/>
          </w:rPr>
          <w:t xml:space="preserve">https://doi.org/10.1016/j.ymben.2016.09.005</w:t>
        </w:r>
      </w:hyperlink>
      <w:r>
        <w:t xml:space="preserve">.</w:t>
      </w:r>
    </w:p>
    <w:bookmarkEnd w:id="79"/>
    <w:bookmarkStart w:id="81"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80">
        <w:r>
          <w:rPr>
            <w:rStyle w:val="Hyperlink"/>
          </w:rPr>
          <w:t xml:space="preserve">https://doi.org/10.1126/sciadv.1600200</w:t>
        </w:r>
      </w:hyperlink>
      <w:r>
        <w:t xml:space="preserve">.</w:t>
      </w:r>
    </w:p>
    <w:bookmarkEnd w:id="81"/>
    <w:bookmarkStart w:id="82"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82"/>
    <w:bookmarkStart w:id="84"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83">
        <w:r>
          <w:rPr>
            <w:rStyle w:val="Hyperlink"/>
          </w:rPr>
          <w:t xml:space="preserve">http://arxiv.org/abs/2011.01808</w:t>
        </w:r>
      </w:hyperlink>
      <w:r>
        <w:t xml:space="preserve">.</w:t>
      </w:r>
    </w:p>
    <w:bookmarkEnd w:id="84"/>
    <w:bookmarkStart w:id="86"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5">
        <w:r>
          <w:rPr>
            <w:rStyle w:val="Hyperlink"/>
          </w:rPr>
          <w:t xml:space="preserve">https://doi.org/10.1016/j.ymben.2020.03.001</w:t>
        </w:r>
      </w:hyperlink>
      <w:r>
        <w:t xml:space="preserve">.</w:t>
      </w:r>
    </w:p>
    <w:bookmarkEnd w:id="86"/>
    <w:bookmarkStart w:id="88"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7">
        <w:r>
          <w:rPr>
            <w:rStyle w:val="Hyperlink"/>
          </w:rPr>
          <w:t xml:space="preserve">https://doi.org/10.1371/journal.pcbi.0030189</w:t>
        </w:r>
      </w:hyperlink>
      <w:r>
        <w:t xml:space="preserve">.</w:t>
      </w:r>
    </w:p>
    <w:bookmarkEnd w:id="88"/>
    <w:bookmarkStart w:id="90" w:name="ref-kacser_control_1973"/>
    <w:p>
      <w:pPr>
        <w:pStyle w:val="Bibliography"/>
      </w:pPr>
      <w:r>
        <w:t xml:space="preserve">Kacser, H., and J. A. Burns. 1973.</w:t>
      </w:r>
      <w:r>
        <w:t xml:space="preserve"> </w:t>
      </w:r>
      <w:r>
        <w:t xml:space="preserve">“</w:t>
      </w:r>
      <w:hyperlink r:id="rId89">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90"/>
    <w:bookmarkStart w:id="92"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91">
        <w:r>
          <w:rPr>
            <w:rStyle w:val="Hyperlink"/>
          </w:rPr>
          <w:t xml:space="preserve">https://doi.org/10.1371/journal.pcbi.1000076</w:t>
        </w:r>
      </w:hyperlink>
      <w:r>
        <w:t xml:space="preserve">.</w:t>
      </w:r>
    </w:p>
    <w:bookmarkEnd w:id="92"/>
    <w:bookmarkStart w:id="94"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93">
        <w:r>
          <w:rPr>
            <w:rStyle w:val="Hyperlink"/>
          </w:rPr>
          <w:t xml:space="preserve">https://doi.org/10.21105/joss.01143</w:t>
        </w:r>
      </w:hyperlink>
      <w:r>
        <w:t xml:space="preserve">.</w:t>
      </w:r>
    </w:p>
    <w:bookmarkEnd w:id="94"/>
    <w:bookmarkStart w:id="96"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5">
        <w:r>
          <w:rPr>
            <w:rStyle w:val="Hyperlink"/>
          </w:rPr>
          <w:t xml:space="preserve">https://doi.org/10.1016/j.cmet.2017.08.017</w:t>
        </w:r>
      </w:hyperlink>
      <w:r>
        <w:t xml:space="preserve">.</w:t>
      </w:r>
    </w:p>
    <w:bookmarkEnd w:id="96"/>
    <w:bookmarkStart w:id="98"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7">
        <w:r>
          <w:rPr>
            <w:rStyle w:val="Hyperlink"/>
          </w:rPr>
          <w:t xml:space="preserve">https://doi.org/10.3390/metabo11110749</w:t>
        </w:r>
      </w:hyperlink>
      <w:r>
        <w:t xml:space="preserve">.</w:t>
      </w:r>
    </w:p>
    <w:bookmarkEnd w:id="98"/>
    <w:bookmarkStart w:id="100"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9">
        <w:r>
          <w:rPr>
            <w:rStyle w:val="Hyperlink"/>
          </w:rPr>
          <w:t xml:space="preserve">https://doi.org/10.1093/bioinformatics/btq141</w:t>
        </w:r>
      </w:hyperlink>
      <w:r>
        <w:t xml:space="preserve">.</w:t>
      </w:r>
    </w:p>
    <w:bookmarkEnd w:id="100"/>
    <w:bookmarkStart w:id="102"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101">
        <w:r>
          <w:rPr>
            <w:rStyle w:val="Hyperlink"/>
          </w:rPr>
          <w:t xml:space="preserve">https://doi.org/10.5281/zenodo.1284375</w:t>
        </w:r>
      </w:hyperlink>
      <w:r>
        <w:t xml:space="preserve">.</w:t>
      </w:r>
    </w:p>
    <w:bookmarkEnd w:id="102"/>
    <w:bookmarkStart w:id="104" w:name="ref-martinov2000"/>
    <w:p>
      <w:pPr>
        <w:pStyle w:val="Bibliography"/>
      </w:pPr>
      <w:r>
        <w:t xml:space="preserve">Martinov, Michael V, Victor M Vitvitsky, Eugene V Mosharov, Ruma Banerjee, and Fazoil I Ataullakhanov. 2000.</w:t>
      </w:r>
      <w:r>
        <w:t xml:space="preserve"> </w:t>
      </w:r>
      <w:r>
        <w:t xml:space="preserve">“A</w:t>
      </w:r>
      <w:r>
        <w:t xml:space="preserve"> </w:t>
      </w:r>
      <w:r>
        <w:t xml:space="preserve">Substrate Switch</w:t>
      </w:r>
      <w:r>
        <w:t xml:space="preserve">:</w:t>
      </w:r>
      <w:r>
        <w:t xml:space="preserve"> </w:t>
      </w:r>
      <w:r>
        <w:t xml:space="preserve">A New Mode</w:t>
      </w:r>
      <w:r>
        <w:t xml:space="preserve"> </w:t>
      </w:r>
      <w:r>
        <w:t xml:space="preserve">of</w:t>
      </w:r>
      <w:r>
        <w:t xml:space="preserve"> </w:t>
      </w:r>
      <w:r>
        <w:t xml:space="preserve">Regulation</w:t>
      </w:r>
      <w:r>
        <w:t xml:space="preserve"> </w:t>
      </w:r>
      <w:r>
        <w:t xml:space="preserve">in the</w:t>
      </w:r>
      <w:r>
        <w:t xml:space="preserve"> </w:t>
      </w:r>
      <w:r>
        <w:t xml:space="preserve"> </w:t>
      </w:r>
      <w:r>
        <w:t xml:space="preserve">Methionine Metabolic Pathway</w:t>
      </w:r>
      <w:r>
        <w:t xml:space="preserve">.”</w:t>
      </w:r>
      <w:r>
        <w:t xml:space="preserve"> </w:t>
      </w:r>
      <w:r>
        <w:rPr>
          <w:iCs/>
          <w:i/>
        </w:rPr>
        <w:t xml:space="preserve">Journal of Theoretical Biology</w:t>
      </w:r>
      <w:r>
        <w:t xml:space="preserve"> </w:t>
      </w:r>
      <w:r>
        <w:t xml:space="preserve">204 (4): 521–32.</w:t>
      </w:r>
      <w:r>
        <w:t xml:space="preserve"> </w:t>
      </w:r>
      <w:hyperlink r:id="rId103">
        <w:r>
          <w:rPr>
            <w:rStyle w:val="Hyperlink"/>
          </w:rPr>
          <w:t xml:space="preserve">https://doi.org/10.1006/jtbi.2000.2035</w:t>
        </w:r>
      </w:hyperlink>
      <w:r>
        <w:t xml:space="preserve">.</w:t>
      </w:r>
    </w:p>
    <w:bookmarkEnd w:id="104"/>
    <w:bookmarkStart w:id="106"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5">
        <w:r>
          <w:rPr>
            <w:rStyle w:val="Hyperlink"/>
          </w:rPr>
          <w:t xml:space="preserve">https://doi.org/10.1093/bioadv/vbac066</w:t>
        </w:r>
      </w:hyperlink>
      <w:r>
        <w:t xml:space="preserve">.</w:t>
      </w:r>
    </w:p>
    <w:bookmarkEnd w:id="106"/>
    <w:bookmarkStart w:id="108"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7">
        <w:r>
          <w:rPr>
            <w:rStyle w:val="Hyperlink"/>
          </w:rPr>
          <w:t xml:space="preserve">https://doi.org/10.1016/S0022-2836(65)80285-6</w:t>
        </w:r>
      </w:hyperlink>
      <w:r>
        <w:t xml:space="preserve">.</w:t>
      </w:r>
    </w:p>
    <w:bookmarkEnd w:id="108"/>
    <w:bookmarkStart w:id="110" w:name="ref-nijhout2006"/>
    <w:p>
      <w:pPr>
        <w:pStyle w:val="Bibliography"/>
      </w:pPr>
      <w:r>
        <w:t xml:space="preserve">Nijhout, H.Frederik, Michael C. Reed, David F. Anderson, Jonathan C. Mattingly, S. Jill James, and Cornelia M. Ulrich. 2006.</w:t>
      </w:r>
      <w:r>
        <w:t xml:space="preserve"> </w:t>
      </w:r>
      <w:r>
        <w:t xml:space="preserve">“Long-</w:t>
      </w:r>
      <w:r>
        <w:t xml:space="preserve">Range Allosteric Interactions</w:t>
      </w:r>
      <w:r>
        <w:t xml:space="preserve"> </w:t>
      </w:r>
      <w:r>
        <w:t xml:space="preserve">Between the</w:t>
      </w:r>
      <w:r>
        <w:t xml:space="preserve"> </w:t>
      </w:r>
      <w:r>
        <w:t xml:space="preserve">Folate</w:t>
      </w:r>
      <w:r>
        <w:t xml:space="preserve"> </w:t>
      </w:r>
      <w:r>
        <w:t xml:space="preserve">and</w:t>
      </w:r>
      <w:r>
        <w:t xml:space="preserve"> </w:t>
      </w:r>
      <w:r>
        <w:t xml:space="preserve">Methionine Cycles Stabilize DNA Methylation Reaction Rate</w:t>
      </w:r>
      <w:r>
        <w:t xml:space="preserve">.”</w:t>
      </w:r>
      <w:r>
        <w:t xml:space="preserve"> </w:t>
      </w:r>
      <w:r>
        <w:rPr>
          <w:iCs/>
          <w:i/>
        </w:rPr>
        <w:t xml:space="preserve">Epigenetics</w:t>
      </w:r>
      <w:r>
        <w:t xml:space="preserve"> </w:t>
      </w:r>
      <w:r>
        <w:t xml:space="preserve">1 (2): 81–87.</w:t>
      </w:r>
      <w:r>
        <w:t xml:space="preserve"> </w:t>
      </w:r>
      <w:hyperlink r:id="rId109">
        <w:r>
          <w:rPr>
            <w:rStyle w:val="Hyperlink"/>
          </w:rPr>
          <w:t xml:space="preserve">https://doi.org/10.4161/epi.1.2.2677</w:t>
        </w:r>
      </w:hyperlink>
      <w:r>
        <w:t xml:space="preserve">.</w:t>
      </w:r>
    </w:p>
    <w:bookmarkEnd w:id="110"/>
    <w:bookmarkStart w:id="112"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11">
        <w:r>
          <w:rPr>
            <w:rStyle w:val="Hyperlink"/>
          </w:rPr>
          <w:t xml:space="preserve">https://doi.org/10.1016/j.febslet.2013.07.028</w:t>
        </w:r>
      </w:hyperlink>
      <w:r>
        <w:t xml:space="preserve">.</w:t>
      </w:r>
    </w:p>
    <w:bookmarkEnd w:id="112"/>
    <w:bookmarkStart w:id="114"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13">
        <w:r>
          <w:rPr>
            <w:rStyle w:val="Hyperlink"/>
          </w:rPr>
          <w:t xml:space="preserve">https://pypi.org/project/toml/</w:t>
        </w:r>
      </w:hyperlink>
      <w:r>
        <w:t xml:space="preserve">.</w:t>
      </w:r>
    </w:p>
    <w:bookmarkEnd w:id="114"/>
    <w:bookmarkStart w:id="116"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5">
        <w:r>
          <w:rPr>
            <w:rStyle w:val="Hyperlink"/>
          </w:rPr>
          <w:t xml:space="preserve">https://doi.org/10.1017/S0266466698144043</w:t>
        </w:r>
      </w:hyperlink>
      <w:r>
        <w:t xml:space="preserve">.</w:t>
      </w:r>
    </w:p>
    <w:bookmarkEnd w:id="116"/>
    <w:bookmarkStart w:id="118"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17">
        <w:r>
          <w:rPr>
            <w:rStyle w:val="Hyperlink"/>
          </w:rPr>
          <w:t xml:space="preserve">https://doi.org/10.1016/0014-5793(75)80034-2</w:t>
        </w:r>
      </w:hyperlink>
      <w:r>
        <w:t xml:space="preserve">.</w:t>
      </w:r>
    </w:p>
    <w:bookmarkEnd w:id="118"/>
    <w:bookmarkStart w:id="120"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 </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9">
        <w:r>
          <w:rPr>
            <w:rStyle w:val="Hyperlink"/>
          </w:rPr>
          <w:t xml:space="preserve">https://www.ncbi.nlm.nih.gov/pubmed/156878</w:t>
        </w:r>
      </w:hyperlink>
      <w:r>
        <w:t xml:space="preserve">.</w:t>
      </w:r>
    </w:p>
    <w:bookmarkEnd w:id="120"/>
    <w:bookmarkStart w:id="122" w:name="ref-pydanticdevelopersPydantic2022"/>
    <w:p>
      <w:pPr>
        <w:pStyle w:val="Bibliography"/>
      </w:pPr>
      <w:r>
        <w:t xml:space="preserve">Pydantic developers. 2022.</w:t>
      </w:r>
      <w:r>
        <w:t xml:space="preserve"> </w:t>
      </w:r>
      <w:r>
        <w:t xml:space="preserve">“Pydantic.”</w:t>
      </w:r>
      <w:r>
        <w:t xml:space="preserve"> </w:t>
      </w:r>
      <w:hyperlink r:id="rId121">
        <w:r>
          <w:rPr>
            <w:rStyle w:val="Hyperlink"/>
          </w:rPr>
          <w:t xml:space="preserve">https://pypi.org/project/pydantic/</w:t>
        </w:r>
      </w:hyperlink>
      <w:r>
        <w:t xml:space="preserve">.</w:t>
      </w:r>
    </w:p>
    <w:bookmarkEnd w:id="122"/>
    <w:bookmarkStart w:id="124"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23">
        <w:r>
          <w:rPr>
            <w:rStyle w:val="Hyperlink"/>
          </w:rPr>
          <w:t xml:space="preserve">https://doi.org/10.1063/1.3528102</w:t>
        </w:r>
      </w:hyperlink>
      <w:r>
        <w:t xml:space="preserve">.</w:t>
      </w:r>
    </w:p>
    <w:bookmarkEnd w:id="124"/>
    <w:bookmarkStart w:id="126"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5">
        <w:r>
          <w:rPr>
            <w:rStyle w:val="Hyperlink"/>
          </w:rPr>
          <w:t xml:space="preserve">https://doi.org/10.1098/rsta.2011.0544</w:t>
        </w:r>
      </w:hyperlink>
      <w:r>
        <w:t xml:space="preserve">.</w:t>
      </w:r>
    </w:p>
    <w:bookmarkEnd w:id="126"/>
    <w:bookmarkStart w:id="128"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7">
        <w:r>
          <w:rPr>
            <w:rStyle w:val="Hyperlink"/>
          </w:rPr>
          <w:t xml:space="preserve">https://doi.org/10.1038/srep29635</w:t>
        </w:r>
      </w:hyperlink>
      <w:r>
        <w:t xml:space="preserve">.</w:t>
      </w:r>
    </w:p>
    <w:bookmarkEnd w:id="128"/>
    <w:bookmarkStart w:id="130"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9">
        <w:r>
          <w:rPr>
            <w:rStyle w:val="Hyperlink"/>
          </w:rPr>
          <w:t xml:space="preserve">https://doi.org/10.1115/DETC2005-85597</w:t>
        </w:r>
      </w:hyperlink>
      <w:r>
        <w:t xml:space="preserve">.</w:t>
      </w:r>
    </w:p>
    <w:bookmarkEnd w:id="130"/>
    <w:bookmarkStart w:id="132"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31">
        <w:r>
          <w:rPr>
            <w:rStyle w:val="Hyperlink"/>
          </w:rPr>
          <w:t xml:space="preserve">https://doi.org/10.1101/450163</w:t>
        </w:r>
      </w:hyperlink>
      <w:r>
        <w:t xml:space="preserve">.</w:t>
      </w:r>
    </w:p>
    <w:bookmarkEnd w:id="132"/>
    <w:bookmarkStart w:id="134"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3">
        <w:r>
          <w:rPr>
            <w:rStyle w:val="Hyperlink"/>
          </w:rPr>
          <w:t xml:space="preserve">https://github.com/stan-dev/cmdstanpy</w:t>
        </w:r>
      </w:hyperlink>
      <w:r>
        <w:t xml:space="preserve">.</w:t>
      </w:r>
    </w:p>
    <w:bookmarkEnd w:id="134"/>
    <w:bookmarkStart w:id="136"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5">
        <w:r>
          <w:rPr>
            <w:rStyle w:val="Hyperlink"/>
          </w:rPr>
          <w:t xml:space="preserve">https://doi.org/10.1093/bioinformatics/btx676</w:t>
        </w:r>
      </w:hyperlink>
      <w:r>
        <w:t xml:space="preserve">.</w:t>
      </w:r>
    </w:p>
    <w:bookmarkEnd w:id="136"/>
    <w:bookmarkStart w:id="138" w:name="X4b2652bd788d2cffe93c113d57ef4f847046aae"/>
    <w:p>
      <w:pPr>
        <w:pStyle w:val="Bibliography"/>
      </w:pPr>
      <w:r>
        <w:t xml:space="preserve">Timonen, Juho, Nikolas Siccha, Ben Bales, Harri Lähdesm 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arXiv</w:t>
      </w:r>
      <w:r>
        <w:t xml:space="preserve">.</w:t>
      </w:r>
      <w:r>
        <w:t xml:space="preserve"> </w:t>
      </w:r>
      <w:hyperlink r:id="rId137">
        <w:r>
          <w:rPr>
            <w:rStyle w:val="Hyperlink"/>
          </w:rPr>
          <w:t xml:space="preserve">https://doi.org/10.48550/arXiv.2205.09059</w:t>
        </w:r>
      </w:hyperlink>
      <w:r>
        <w:t xml:space="preserve">.</w:t>
      </w:r>
    </w:p>
    <w:bookmarkEnd w:id="138"/>
    <w:bookmarkStart w:id="139"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9"/>
    <w:bookmarkStart w:id="141"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40">
        <w:r>
          <w:rPr>
            <w:rStyle w:val="Hyperlink"/>
          </w:rPr>
          <w:t xml:space="preserve">https://doi.org/10.1214/20-BA1221</w:t>
        </w:r>
      </w:hyperlink>
      <w:r>
        <w:t xml:space="preserve">.</w:t>
      </w:r>
    </w:p>
    <w:bookmarkEnd w:id="141"/>
    <w:bookmarkStart w:id="143"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2">
        <w:r>
          <w:rPr>
            <w:rStyle w:val="Hyperlink"/>
          </w:rPr>
          <w:t xml:space="preserve">https://doi.org/10.1016/s1096-7176(03)00025-9</w:t>
        </w:r>
      </w:hyperlink>
      <w:r>
        <w:t xml:space="preserve">.</w:t>
      </w:r>
    </w:p>
    <w:bookmarkEnd w:id="143"/>
    <w:bookmarkStart w:id="145"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4">
        <w:r>
          <w:rPr>
            <w:rStyle w:val="Hyperlink"/>
          </w:rPr>
          <w:t xml:space="preserve">https://doi.org/10.1371/journal.pcbi.1005227</w:t>
        </w:r>
      </w:hyperlink>
      <w:r>
        <w:t xml:space="preserve">.</w:t>
      </w:r>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03" Target="https://doi.org/10.1006/jtbi.2000.2035" TargetMode="External" /><Relationship Type="http://schemas.openxmlformats.org/officeDocument/2006/relationships/hyperlink" Id="rId117" Target="https://doi.org/10.1016/0014-5793(75)80034-2" TargetMode="External" /><Relationship Type="http://schemas.openxmlformats.org/officeDocument/2006/relationships/hyperlink" Id="rId107"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11"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42" Target="https://doi.org/10.1016/s1096-7176(03)00025-9" TargetMode="External" /><Relationship Type="http://schemas.openxmlformats.org/officeDocument/2006/relationships/hyperlink" Id="rId115"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7" Target="https://doi.org/10.1038/srep29635" TargetMode="External" /><Relationship Type="http://schemas.openxmlformats.org/officeDocument/2006/relationships/hyperlink" Id="rId123" Target="https://doi.org/10.1063/1.3528102" TargetMode="External" /><Relationship Type="http://schemas.openxmlformats.org/officeDocument/2006/relationships/hyperlink" Id="rId105"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5" Target="https://doi.org/10.1098/rsta.2011.0544" TargetMode="External" /><Relationship Type="http://schemas.openxmlformats.org/officeDocument/2006/relationships/hyperlink" Id="rId131" Target="https://doi.org/10.1101/450163" TargetMode="External" /><Relationship Type="http://schemas.openxmlformats.org/officeDocument/2006/relationships/hyperlink" Id="rId129"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40"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4"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09" Target="https://doi.org/10.4161/epi.1.2.2677" TargetMode="External" /><Relationship Type="http://schemas.openxmlformats.org/officeDocument/2006/relationships/hyperlink" Id="rId137"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21" Target="https://pypi.org/project/pydantic/" TargetMode="External" /><Relationship Type="http://schemas.openxmlformats.org/officeDocument/2006/relationships/hyperlink" Id="rId113" Target="https://pypi.org/project/toml/" TargetMode="External" /><Relationship Type="http://schemas.openxmlformats.org/officeDocument/2006/relationships/hyperlink" Id="rId119" Target="https://www.ncbi.nlm.nih.gov/pubmed/156878" TargetMode="External" /><Relationship Type="http://schemas.openxmlformats.org/officeDocument/2006/relationships/hyperlink" Id="rId89"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03" Target="https://doi.org/10.1006/jtbi.2000.2035" TargetMode="External" /><Relationship Type="http://schemas.openxmlformats.org/officeDocument/2006/relationships/hyperlink" Id="rId117" Target="https://doi.org/10.1016/0014-5793(75)80034-2" TargetMode="External" /><Relationship Type="http://schemas.openxmlformats.org/officeDocument/2006/relationships/hyperlink" Id="rId107"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11"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42" Target="https://doi.org/10.1016/s1096-7176(03)00025-9" TargetMode="External" /><Relationship Type="http://schemas.openxmlformats.org/officeDocument/2006/relationships/hyperlink" Id="rId115"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7" Target="https://doi.org/10.1038/srep29635" TargetMode="External" /><Relationship Type="http://schemas.openxmlformats.org/officeDocument/2006/relationships/hyperlink" Id="rId123" Target="https://doi.org/10.1063/1.3528102" TargetMode="External" /><Relationship Type="http://schemas.openxmlformats.org/officeDocument/2006/relationships/hyperlink" Id="rId105"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5" Target="https://doi.org/10.1098/rsta.2011.0544" TargetMode="External" /><Relationship Type="http://schemas.openxmlformats.org/officeDocument/2006/relationships/hyperlink" Id="rId131" Target="https://doi.org/10.1101/450163" TargetMode="External" /><Relationship Type="http://schemas.openxmlformats.org/officeDocument/2006/relationships/hyperlink" Id="rId129"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40"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4"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09" Target="https://doi.org/10.4161/epi.1.2.2677" TargetMode="External" /><Relationship Type="http://schemas.openxmlformats.org/officeDocument/2006/relationships/hyperlink" Id="rId137"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21" Target="https://pypi.org/project/pydantic/" TargetMode="External" /><Relationship Type="http://schemas.openxmlformats.org/officeDocument/2006/relationships/hyperlink" Id="rId113" Target="https://pypi.org/project/toml/" TargetMode="External" /><Relationship Type="http://schemas.openxmlformats.org/officeDocument/2006/relationships/hyperlink" Id="rId119" Target="https://www.ncbi.nlm.nih.gov/pubmed/156878" TargetMode="External" /><Relationship Type="http://schemas.openxmlformats.org/officeDocument/2006/relationships/hyperlink" Id="rId89"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2023-10-31T21:07:44Z</dcterms:created>
  <dcterms:modified xsi:type="dcterms:W3CDTF">2023-10-31T21:07:44Z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