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60"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7" w:name="statistical-model"/>
    <w:p>
      <w:pPr>
        <w:pStyle w:val="Heading2"/>
      </w:pPr>
      <w:r>
        <w:t xml:space="preserve">3.2 Statistical model</w:t>
      </w:r>
    </w:p>
    <w:p>
      <w:pPr>
        <w:pStyle w:val="FirstParagraph"/>
      </w:pPr>
      <w:r>
        <w:t xml:space="preserve">Maud uses Markov Chain Monte Carlo to perform posterior inference on a Bayesian</w:t>
      </w:r>
      <w:r>
        <w:t xml:space="preserve"> </w:t>
      </w:r>
      <w:r>
        <w:t xml:space="preserve">statistical model. This section introduces these topics and then describes</w:t>
      </w:r>
      <w:r>
        <w:t xml:space="preserve"> </w:t>
      </w:r>
      <w:r>
        <w:t xml:space="preserve">exactly what kind of Bayesian statistical model Maud uses.</w:t>
      </w:r>
    </w:p>
    <w:bookmarkStart w:id="54" w:name="bayesian-inference"/>
    <w:p>
      <w:pPr>
        <w:pStyle w:val="Heading3"/>
      </w:pPr>
      <w:r>
        <w:t xml:space="preserve">3.2.1 Bayesian inference</w:t>
      </w:r>
    </w:p>
    <w:p>
      <w:pPr>
        <w:pStyle w:val="FirstParagraph"/>
      </w:pPr>
      <w:r>
        <w:t xml:space="preserve">Bayesian statistical inference analyses data by constructing a mathematical</w:t>
      </w:r>
      <w:r>
        <w:t xml:space="preserve"> </w:t>
      </w:r>
      <w:r>
        <w:t xml:space="preserve">model with the following three components:</w:t>
      </w:r>
    </w:p>
    <w:p>
      <w:pPr>
        <w:numPr>
          <w:ilvl w:val="0"/>
          <w:numId w:val="1001"/>
        </w:numPr>
      </w:pPr>
      <w:r>
        <w:t xml:space="preserve">A measurement model or</w:t>
      </w:r>
      <w:r>
        <w:t xml:space="preserve"> </w:t>
      </w:r>
      <w:r>
        <w:t xml:space="preserve">“</w:t>
      </w:r>
      <w:r>
        <w:t xml:space="preserve">likelihood</w:t>
      </w:r>
      <w:r>
        <w:t xml:space="preserve">”</w:t>
      </w:r>
      <w:r>
        <w:t xml:space="preserve"> </w:t>
      </w:r>
      <w:r>
        <w:t xml:space="preserve">that probabilistically describes</w:t>
      </w:r>
      <w:r>
        <w:t xml:space="preserve"> </w:t>
      </w:r>
      <w:r>
        <w:t xml:space="preserve">how likely any possible measurement set is given the true values</w:t>
      </w:r>
      <w:r>
        <w:t xml:space="preserve"> </w:t>
      </w:r>
      <w:r>
        <w:t xml:space="preserve">of the measured quantities, i.e. a probability density function</w:t>
      </w:r>
      <w:r>
        <w:t xml:space="preserve"> </w:t>
      </w:r>
      <m:oMath>
        <m:r>
          <m:t>l</m:t>
        </m:r>
        <m:r>
          <m:rPr>
            <m:sty m:val="p"/>
          </m:rPr>
          <m:t>:</m:t>
        </m:r>
        <m:r>
          <m:rPr>
            <m:sty m:val="p"/>
            <m:scr m:val="script"/>
          </m:rPr>
          <m:t>Y</m:t>
        </m:r>
        <m:r>
          <m:rPr>
            <m:sty m:val="p"/>
          </m:rPr>
          <m:t>×</m:t>
        </m:r>
        <m:acc>
          <m:accPr>
            <m:chr m:val="̂"/>
          </m:accPr>
          <m:e>
            <m:r>
              <m:rPr>
                <m:sty m:val="p"/>
                <m:scr m:val="script"/>
              </m:rPr>
              <m:t>Y</m:t>
            </m:r>
          </m:e>
        </m:acc>
        <m:r>
          <m:rPr>
            <m:sty m:val="p"/>
          </m:rPr>
          <m:t>→</m:t>
        </m:r>
        <m:d>
          <m:dPr>
            <m:begChr m:val="["/>
            <m:endChr m:val="]"/>
            <m:sepChr m:val=""/>
            <m:grow/>
          </m:dPr>
          <m:e>
            <m:r>
              <m:t>0</m:t>
            </m:r>
            <m:r>
              <m:rPr>
                <m:sty m:val="p"/>
              </m:rPr>
              <m:t>,</m:t>
            </m:r>
            <m:r>
              <m:t>1</m:t>
            </m:r>
          </m:e>
        </m:d>
      </m:oMath>
      <w:r>
        <w:t xml:space="preserve"> </w:t>
      </w:r>
      <w:r>
        <w:t xml:space="preserve">where</w:t>
      </w:r>
      <w:r>
        <w:t xml:space="preserve"> </w:t>
      </w:r>
      <m:oMath>
        <m:r>
          <m:rPr>
            <m:sty m:val="p"/>
            <m:scr m:val="script"/>
          </m:rPr>
          <m:t>Y</m:t>
        </m:r>
      </m:oMath>
      <w:r>
        <w:t xml:space="preserve"> </w:t>
      </w:r>
      <w:r>
        <w:t xml:space="preserve">is the set of all possible measurement sets and</w:t>
      </w:r>
      <w:r>
        <w:t xml:space="preserve"> </w:t>
      </w:r>
      <m:oMath>
        <m:acc>
          <m:accPr>
            <m:chr m:val="̂"/>
          </m:accPr>
          <m:e>
            <m:r>
              <m:rPr>
                <m:sty m:val="p"/>
                <m:scr m:val="script"/>
              </m:rPr>
              <m:t>Y</m:t>
            </m:r>
          </m:e>
        </m:acc>
      </m:oMath>
      <w:r>
        <w:t xml:space="preserve"> </w:t>
      </w:r>
      <w:r>
        <w:t xml:space="preserve">is the set</w:t>
      </w:r>
      <w:r>
        <w:t xml:space="preserve"> </w:t>
      </w:r>
      <w:r>
        <w:t xml:space="preserve">of all possible true measurable values.</w:t>
      </w:r>
    </w:p>
    <w:p>
      <w:pPr>
        <w:numPr>
          <w:ilvl w:val="0"/>
          <w:numId w:val="1001"/>
        </w:numPr>
      </w:pPr>
      <w:r>
        <w:t xml:space="preserve">A deterministic process model that describes the measured quantities in</w:t>
      </w:r>
      <w:r>
        <w:t xml:space="preserve"> </w:t>
      </w:r>
      <w:r>
        <w:t xml:space="preserve">terms of unknown, possibly unobserved parameters</w:t>
      </w:r>
      <w:r>
        <w:t xml:space="preserve"> </w:t>
      </w:r>
      <m:oMath>
        <m:r>
          <m:t>θ</m:t>
        </m:r>
      </m:oMath>
      <w:r>
        <w:t xml:space="preserve">, i.e. a function</w:t>
      </w:r>
      <w:r>
        <w:t xml:space="preserve"> </w:t>
      </w:r>
      <m:oMath>
        <m:r>
          <m:t>d</m:t>
        </m:r>
        <m:r>
          <m:rPr>
            <m:sty m:val="p"/>
          </m:rPr>
          <m:t>:</m:t>
        </m:r>
        <m:r>
          <m:rPr>
            <m:sty m:val="p"/>
            <m:scr m:val="script"/>
          </m:rPr>
          <m:t>θ</m:t>
        </m:r>
        <m:r>
          <m:rPr>
            <m:sty m:val="p"/>
          </m:rPr>
          <m:t>−</m:t>
        </m:r>
        <m:r>
          <m:rPr>
            <m:sty m:val="p"/>
          </m:rPr>
          <m:t>&gt;</m:t>
        </m:r>
        <m:acc>
          <m:accPr>
            <m:chr m:val="̂"/>
          </m:accPr>
          <m:e>
            <m:r>
              <m:rPr>
                <m:sty m:val="p"/>
                <m:scr m:val="script"/>
              </m:rPr>
              <m:t>Y</m:t>
            </m:r>
          </m:e>
        </m:acc>
      </m:oMath>
      <w:r>
        <w:t xml:space="preserve">.</w:t>
      </w:r>
    </w:p>
    <w:p>
      <w:pPr>
        <w:numPr>
          <w:ilvl w:val="0"/>
          <w:numId w:val="1001"/>
        </w:numPr>
      </w:pPr>
      <w:r>
        <w:t xml:space="preserve">A prior model that probabilistically describes how likely any possible set</w:t>
      </w:r>
      <w:r>
        <w:t xml:space="preserve"> </w:t>
      </w:r>
      <w:r>
        <w:t xml:space="preserve">of parameter values is, without considering any information included in the</w:t>
      </w:r>
      <w:r>
        <w:t xml:space="preserve"> </w:t>
      </w:r>
      <w:r>
        <w:t xml:space="preserve">measurement model, i.e. a probability density function</w:t>
      </w:r>
      <w:r>
        <w:t xml:space="preserve"> </w:t>
      </w:r>
      <m:oMath>
        <m:r>
          <m:t>π</m:t>
        </m:r>
        <m:r>
          <m:rPr>
            <m:sty m:val="p"/>
          </m:rPr>
          <m:t>:</m:t>
        </m:r>
        <m:r>
          <m:rPr>
            <m:sty m:val="p"/>
            <m:scr m:val="script"/>
          </m:rPr>
          <m:t>θ</m:t>
        </m:r>
        <m:r>
          <m:rPr>
            <m:sty m:val="p"/>
          </m:rPr>
          <m:t>→</m:t>
        </m:r>
        <m:d>
          <m:dPr>
            <m:begChr m:val="["/>
            <m:endChr m:val="]"/>
            <m:sepChr m:val=""/>
            <m:grow/>
          </m:dPr>
          <m:e>
            <m:r>
              <m:t>0</m:t>
            </m:r>
            <m:r>
              <m:rPr>
                <m:sty m:val="p"/>
              </m:rPr>
              <m:t>,</m:t>
            </m:r>
            <m:r>
              <m:t>1</m:t>
            </m:r>
          </m:e>
        </m:d>
      </m:oMath>
      <w:r>
        <w:t xml:space="preserve">.</w:t>
      </w:r>
    </w:p>
    <w:p>
      <w:pPr>
        <w:pStyle w:val="FirstParagraph"/>
      </w:pPr>
      <w:r>
        <w:t xml:space="preserve">Together these components determine a joint probability function</w:t>
      </w:r>
      <w:r>
        <w:t xml:space="preserve"> </w:t>
      </w:r>
      <w:r>
        <w:t xml:space="preserve">that encapsulates the Bayesian statistical model, i.e. a function</w:t>
      </w:r>
      <w:r>
        <w:t xml:space="preserve"> </w:t>
      </w:r>
      <m:oMath>
        <m:r>
          <m:t>p</m:t>
        </m:r>
        <m:r>
          <m:rPr>
            <m:sty m:val="p"/>
          </m:rPr>
          <m:t>:</m:t>
        </m:r>
        <m:r>
          <m:rPr>
            <m:sty m:val="p"/>
            <m:scr m:val="script"/>
          </m:rPr>
          <m:t>Y</m:t>
        </m:r>
        <m:r>
          <m:rPr>
            <m:sty m:val="p"/>
          </m:rPr>
          <m:t>×</m:t>
        </m:r>
        <m:r>
          <m:rPr>
            <m:sty m:val="p"/>
            <m:scr m:val="script"/>
          </m:rPr>
          <m:t>θ</m:t>
        </m:r>
        <m:r>
          <m:rPr>
            <m:sty m:val="p"/>
          </m:rPr>
          <m:t>→</m:t>
        </m:r>
        <m:d>
          <m:dPr>
            <m:begChr m:val="["/>
            <m:endChr m:val="]"/>
            <m:sepChr m:val=""/>
            <m:grow/>
          </m:dPr>
          <m:e>
            <m:r>
              <m:t>0</m:t>
            </m:r>
            <m:r>
              <m:rPr>
                <m:sty m:val="p"/>
              </m:rPr>
              <m:t>,</m:t>
            </m:r>
            <m:r>
              <m:t>1</m:t>
            </m:r>
          </m:e>
        </m:d>
      </m:oMath>
      <w:r>
        <w:t xml:space="preserve"> </w:t>
      </w:r>
      <w:r>
        <w:t xml:space="preserve">such that for any</w:t>
      </w:r>
      <w:r>
        <w:t xml:space="preserve"> </w:t>
      </w:r>
      <m:oMath>
        <m:r>
          <m:t>θ</m:t>
        </m:r>
      </m:oMath>
      <w:r>
        <w:t xml:space="preserve"> </w:t>
      </w:r>
      <w:r>
        <w:t xml:space="preserve">and</w:t>
      </w:r>
      <w:r>
        <w:t xml:space="preserve"> </w:t>
      </w:r>
      <m:oMath>
        <m:r>
          <m:t>y</m:t>
        </m:r>
      </m:oMath>
      <w:r>
        <w:t xml:space="preserve">,</w:t>
      </w:r>
      <w:r>
        <w:t xml:space="preserve"> </w:t>
      </w:r>
      <m:oMath>
        <m:r>
          <m:t>p</m:t>
        </m:r>
        <m:d>
          <m:dPr>
            <m:begChr m:val="("/>
            <m:endChr m:val=")"/>
            <m:sepChr m:val=""/>
            <m:grow/>
          </m:dPr>
          <m:e>
            <m:r>
              <m:t>θ</m:t>
            </m:r>
            <m:r>
              <m:rPr>
                <m:sty m:val="p"/>
              </m:rPr>
              <m:t>,</m:t>
            </m:r>
            <m:r>
              <m:t>y</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Substantive questions about</w:t>
      </w:r>
      <w:r>
        <w:t xml:space="preserve"> </w:t>
      </w:r>
      <w:r>
        <w:t xml:space="preserve">the implications of the assumptions implicit in the model components can be</w:t>
      </w:r>
      <w:r>
        <w:t xml:space="preserve"> </w:t>
      </w:r>
      <w:r>
        <w:t xml:space="preserve">formulated in terms of this joint density function.</w:t>
      </w:r>
    </w:p>
    <w:p>
      <w:pPr>
        <w:pStyle w:val="BodyText"/>
      </w:pPr>
      <w:r>
        <w:t xml:space="preserve">In particular, questions about what the model implies, given a particular</w:t>
      </w:r>
      <w:r>
        <w:t xml:space="preserve"> </w:t>
      </w:r>
      <w:r>
        <w:t xml:space="preserve">measurement set</w:t>
      </w:r>
      <w:r>
        <w:t xml:space="preserve"> </w:t>
      </w:r>
      <m:oMath>
        <m:r>
          <m:t>y</m:t>
        </m:r>
      </m:oMath>
      <w:r>
        <w:t xml:space="preserve"> </w:t>
      </w:r>
      <w:r>
        <w:t xml:space="preserve">can be formulated in terms of the conditional probability</w:t>
      </w:r>
      <w:r>
        <w:t xml:space="preserve"> </w:t>
      </w:r>
      <w:r>
        <w:t xml:space="preserve">density function</w:t>
      </w:r>
      <w:r>
        <w:t xml:space="preserve"> </w:t>
      </w:r>
      <m:oMath>
        <m:sSub>
          <m:e>
            <m:r>
              <m:t>p</m:t>
            </m:r>
          </m:e>
          <m:sub>
            <m:r>
              <m:rPr>
                <m:sty m:val="p"/>
              </m:rPr>
              <m:t>∣</m:t>
            </m:r>
            <m:r>
              <m:t>y</m:t>
            </m:r>
          </m:sub>
        </m:sSub>
        <m:r>
          <m:rPr>
            <m:sty m:val="p"/>
          </m:rPr>
          <m:t>:</m:t>
        </m:r>
        <m:r>
          <m:rPr>
            <m:sty m:val="p"/>
            <m:scr m:val="script"/>
          </m:rPr>
          <m:t>t</m:t>
        </m:r>
        <m:r>
          <m:rPr>
            <m:sty m:val="p"/>
            <m:scr m:val="script"/>
          </m:rPr>
          <m:t>h</m:t>
        </m:r>
        <m:r>
          <m:rPr>
            <m:sty m:val="p"/>
            <m:scr m:val="script"/>
          </m:rPr>
          <m:t>e</m:t>
        </m:r>
        <m:r>
          <m:rPr>
            <m:sty m:val="p"/>
            <m:scr m:val="script"/>
          </m:rPr>
          <m:t>t</m:t>
        </m:r>
        <m:r>
          <m:rPr>
            <m:sty m:val="p"/>
            <m:scr m:val="script"/>
          </m:rPr>
          <m:t>a</m:t>
        </m:r>
        <m:r>
          <m:rPr>
            <m:sty m:val="p"/>
          </m:rPr>
          <m:t>→</m:t>
        </m:r>
        <m:d>
          <m:dPr>
            <m:begChr m:val="["/>
            <m:endChr m:val="]"/>
            <m:sepChr m:val=""/>
            <m:grow/>
          </m:dPr>
          <m:e>
            <m:r>
              <m:t>0</m:t>
            </m:r>
            <m:r>
              <m:rPr>
                <m:sty m:val="p"/>
              </m:rPr>
              <m:t>,</m:t>
            </m:r>
            <m:r>
              <m:t>1</m:t>
            </m:r>
          </m:e>
        </m:d>
      </m:oMath>
      <w:r>
        <w:t xml:space="preserve">. Bayes’s</w:t>
      </w:r>
      <w:r>
        <w:t xml:space="preserve"> </w:t>
      </w:r>
      <w:r>
        <w:t xml:space="preserve">theorem guarantees that this conditional density is proportional to the</w:t>
      </w:r>
      <w:r>
        <w:t xml:space="preserve"> </w:t>
      </w:r>
      <w:r>
        <w:t xml:space="preserve">product of the prior and likelihood, i.e. </w:t>
      </w:r>
      <m:oMath>
        <m:sSub>
          <m:e>
            <m:r>
              <m:t>p</m:t>
            </m:r>
          </m:e>
          <m:sub>
            <m:r>
              <m:rPr>
                <m:sty m:val="p"/>
              </m:rPr>
              <m:t>∣</m:t>
            </m:r>
            <m:r>
              <m:t>y</m:t>
            </m:r>
          </m:sub>
        </m:sSub>
        <m:d>
          <m:dPr>
            <m:begChr m:val="("/>
            <m:endChr m:val=")"/>
            <m:sepChr m:val=""/>
            <m:grow/>
          </m:dPr>
          <m:e>
            <m:r>
              <m:t>θ</m:t>
            </m:r>
          </m:e>
        </m:d>
        <m:r>
          <m:rPr>
            <m:sty m:val="p"/>
          </m:rPr>
          <m:t>∝</m:t>
        </m:r>
        <m:r>
          <m:t>π</m:t>
        </m:r>
        <m:d>
          <m:dPr>
            <m:begChr m:val="("/>
            <m:endChr m:val=")"/>
            <m:sepChr m:val=""/>
            <m:grow/>
          </m:dPr>
          <m:e>
            <m:r>
              <m:t>θ</m:t>
            </m:r>
          </m:e>
        </m:d>
        <m:r>
          <m:t>l</m:t>
        </m:r>
        <m:d>
          <m:dPr>
            <m:begChr m:val="("/>
            <m:endChr m:val=")"/>
            <m:sepChr m:val=""/>
            <m:grow/>
          </m:dPr>
          <m:e>
            <m:r>
              <m:t>y</m:t>
            </m:r>
            <m:r>
              <m:rPr>
                <m:sty m:val="p"/>
              </m:rPr>
              <m:t>∣</m:t>
            </m:r>
            <m:r>
              <m:t>θ</m:t>
            </m:r>
          </m:e>
        </m:d>
      </m:oMath>
      <w:r>
        <w:t xml:space="preserve"> </w:t>
      </w:r>
      <w:r>
        <w:t xml:space="preserve">See</w:t>
      </w:r>
      <w:r>
        <w:t xml:space="preserve"> </w:t>
      </w:r>
      <w:r>
        <w:t xml:space="preserve">(Gelman, Carlin, et al. 2020, Ch 1)</w:t>
      </w:r>
      <w:r>
        <w:t xml:space="preserve"> </w:t>
      </w:r>
      <w:r>
        <w:t xml:space="preserve">for an</w:t>
      </w:r>
      <w:r>
        <w:t xml:space="preserve"> </w:t>
      </w:r>
      <w:r>
        <w:t xml:space="preserve">extended discussion of the theory of Bayesian statistical inference.</w:t>
      </w:r>
    </w:p>
    <w:p>
      <w:pPr>
        <w:pStyle w:val="BodyText"/>
      </w:pPr>
      <w:r>
        <w:t xml:space="preserve">The principal computational challenge for Bayesian statistical inference is to</w:t>
      </w:r>
      <w:r>
        <w:t xml:space="preserve"> </w:t>
      </w:r>
      <w:r>
        <w:t xml:space="preserve">approximate the values of integrals of the joint density function conditional</w:t>
      </w:r>
      <w:r>
        <w:t xml:space="preserve"> </w:t>
      </w:r>
      <w:r>
        <w:t xml:space="preserve">on a known measurement assignment</w:t>
      </w:r>
      <w:r>
        <w:t xml:space="preserve"> </w:t>
      </w:r>
      <m:oMath>
        <m:r>
          <m:t>y</m:t>
        </m:r>
      </m:oMath>
      <w:r>
        <w:t xml:space="preserve">, also known as the posterior distribution.</w:t>
      </w:r>
      <w:r>
        <w:t xml:space="preserve"> </w:t>
      </w:r>
      <w:r>
        <w:t xml:space="preserve">For most non-trivial statistical models the posterior distribution cannot be</w:t>
      </w:r>
      <w:r>
        <w:t xml:space="preserve"> </w:t>
      </w:r>
      <w:r>
        <w:t xml:space="preserve">integrated analytically, so numerical approximation is required. Markov Chain</w:t>
      </w:r>
      <w:r>
        <w:t xml:space="preserve"> </w:t>
      </w:r>
      <w:r>
        <w:t xml:space="preserve">Monte Carlo or</w:t>
      </w:r>
      <w:r>
        <w:t xml:space="preserve"> </w:t>
      </w:r>
      <w:r>
        <w:t xml:space="preserve">“</w:t>
      </w:r>
      <w:r>
        <w:t xml:space="preserve">MCMC</w:t>
      </w:r>
      <w:r>
        <w:t xml:space="preserve">”</w:t>
      </w:r>
      <w:r>
        <w:t xml:space="preserve"> </w:t>
      </w:r>
      <w:r>
        <w:t xml:space="preserve">is a popular method for addressing this problem that</w:t>
      </w:r>
      <w:r>
        <w:t xml:space="preserve"> </w:t>
      </w:r>
      <w:r>
        <w:t xml:space="preserve">uses a Markov chain with known properties to generate samples from a target</w:t>
      </w:r>
      <w:r>
        <w:t xml:space="preserve"> </w:t>
      </w:r>
      <w:r>
        <w:t xml:space="preserve">probability distribution that can be used to perform Monte Carlo integration.</w:t>
      </w:r>
      <w:r>
        <w:t xml:space="preserve"> </w:t>
      </w:r>
      <w:r>
        <w:t xml:space="preserve">Hamiltonian Monte Carlo makes it possible, given an appropriate choice of</w:t>
      </w:r>
      <w:r>
        <w:t xml:space="preserve"> </w:t>
      </w:r>
      <w:r>
        <w:t xml:space="preserve">hyperparameters, to efficiently generate samples from even a high dimensional</w:t>
      </w:r>
      <w:r>
        <w:t xml:space="preserve"> </w:t>
      </w:r>
      <w:r>
        <w:t xml:space="preserve">continuous posterior distribution, by calculating the gradients of the log-scale</w:t>
      </w:r>
      <w:r>
        <w:t xml:space="preserve"> </w:t>
      </w:r>
      <w:r>
        <w:t xml:space="preserve">joint density function. Adaptive Hamiltonian Monte Carlo, as used by Stan, uses</w:t>
      </w:r>
      <w:r>
        <w:t xml:space="preserve"> </w:t>
      </w:r>
      <w:r>
        <w:t xml:space="preserve">a range of well-tested methods to tune these hyperparameters, allowing efficient</w:t>
      </w:r>
      <w:r>
        <w:t xml:space="preserve"> </w:t>
      </w:r>
      <w:r>
        <w:t xml:space="preserve">MCMC for high dimensional posterior distributions with minimal user input.</w:t>
      </w:r>
    </w:p>
    <w:p>
      <w:pPr>
        <w:pStyle w:val="BodyText"/>
      </w:pPr>
      <w:r>
        <w:t xml:space="preserve">Alternatives to MCMC for numerically approximating integrals over posterior</w:t>
      </w:r>
      <w:r>
        <w:t xml:space="preserve"> </w:t>
      </w:r>
      <w:r>
        <w:t xml:space="preserve">distributions include grid sampling</w:t>
      </w:r>
      <w:r>
        <w:t xml:space="preserve"> </w:t>
      </w:r>
      <w:r>
        <w:t xml:space="preserve">(Gelman, Carlin, et al. 2020,</w:t>
      </w:r>
      <w:r>
        <w:t xml:space="preserve"> </w:t>
      </w:r>
      <w:r>
        <w:t xml:space="preserve">Ch. 10)</w:t>
      </w:r>
      <w:r>
        <w:t xml:space="preserve">, rejection sampling</w:t>
      </w:r>
      <w:r>
        <w:t xml:space="preserve"> </w:t>
      </w:r>
      <w:r>
        <w:t xml:space="preserve">(Gelman, Carlin, et al. 2020, Ch. 10)</w:t>
      </w:r>
      <w:r>
        <w:t xml:space="preserve">,</w:t>
      </w:r>
      <w:r>
        <w:t xml:space="preserve"> </w:t>
      </w:r>
      <w:r>
        <w:t xml:space="preserve">importance sampling</w:t>
      </w:r>
      <w:r>
        <w:t xml:space="preserve"> </w:t>
      </w:r>
      <w:r>
        <w:t xml:space="preserve">(Vehtari et al. 2022)</w:t>
      </w:r>
      <w:r>
        <w:t xml:space="preserve"> </w:t>
      </w:r>
      <w:r>
        <w:t xml:space="preserve">and distributional</w:t>
      </w:r>
      <w:r>
        <w:t xml:space="preserve"> </w:t>
      </w:r>
      <w:r>
        <w:t xml:space="preserve">approaches including variational inference and Laplace approximation</w:t>
      </w:r>
      <w:r>
        <w:t xml:space="preserve"> </w:t>
      </w:r>
      <w:r>
        <w:t xml:space="preserve">(Gelman, Carlin, et al. 2020, Ch. 13)</w:t>
      </w:r>
      <w:r>
        <w:t xml:space="preserve">.</w:t>
      </w:r>
    </w:p>
    <w:p>
      <w:pPr>
        <w:pStyle w:val="BodyText"/>
      </w:pPr>
      <w:r>
        <w:t xml:space="preserve">The Laplace approximation is of particular interest because, as mentioned above,</w:t>
      </w:r>
      <w:r>
        <w:t xml:space="preserve"> </w:t>
      </w:r>
      <w:r>
        <w:t xml:space="preserve">this has been used for approximate Bayesian inference in a similar context</w:t>
      </w:r>
      <w:r>
        <w:t xml:space="preserve"> </w:t>
      </w:r>
      <w:r>
        <w:t xml:space="preserve">to Maud. Laplace approximation of a posterior distribution works by first</w:t>
      </w:r>
      <w:r>
        <w:t xml:space="preserve"> </w:t>
      </w:r>
      <w:r>
        <w:t xml:space="preserve">finding the mode of the posterior distribution, i.e. the</w:t>
      </w:r>
      <w:r>
        <w:t xml:space="preserve"> </w:t>
      </w:r>
      <w:r>
        <w:t xml:space="preserve">‘</w:t>
      </w:r>
      <w:r>
        <w:t xml:space="preserve">maximum a posteriori</w:t>
      </w:r>
      <w:r>
        <w:t xml:space="preserve">’</w:t>
      </w:r>
      <w:r>
        <w:t xml:space="preserve"> </w:t>
      </w:r>
      <w:r>
        <w:t xml:space="preserve">parameter configuration with the highest posterior density. Next, the second</w:t>
      </w:r>
      <w:r>
        <w:t xml:space="preserve"> </w:t>
      </w:r>
      <w:r>
        <w:t xml:space="preserve">derivative of the posterior distribution at this point is found and used to</w:t>
      </w:r>
      <w:r>
        <w:t xml:space="preserve"> </w:t>
      </w:r>
      <w:r>
        <w:t xml:space="preserve">generate a normal distribution that either approximates the target distribution,</w:t>
      </w:r>
      <w:r>
        <w:t xml:space="preserve"> </w:t>
      </w:r>
      <w:r>
        <w:t xml:space="preserve">or can in turn be used to generate such an approximation.</w:t>
      </w:r>
    </w:p>
    <w:p>
      <w:pPr>
        <w:pStyle w:val="BodyText"/>
      </w:pPr>
      <w:r>
        <w:t xml:space="preserve">Maud employs adaptive Hamiltonian Monte Carlo to perform posterior inference</w:t>
      </w:r>
      <w:r>
        <w:t xml:space="preserve"> </w:t>
      </w:r>
      <w:r>
        <w:t xml:space="preserve">for a Bayesian statistical model where the process model is the kinetic model</w:t>
      </w:r>
      <w:r>
        <w:t xml:space="preserve"> </w:t>
      </w:r>
      <w:r>
        <w:t xml:space="preserve">described above. The next two subsections describe Maud’s prior and measurement</w:t>
      </w:r>
      <w:r>
        <w:t xml:space="preserve"> </w:t>
      </w:r>
      <w:r>
        <w:t xml:space="preserve">models.</w:t>
      </w:r>
    </w:p>
    <w:bookmarkEnd w:id="54"/>
    <w:bookmarkStart w:id="55" w:name="prior-model"/>
    <w:p>
      <w:pPr>
        <w:pStyle w:val="Heading3"/>
      </w:pPr>
      <w:r>
        <w:t xml:space="preserve">3.2.2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5"/>
    <w:bookmarkStart w:id="56" w:name="measurement-model"/>
    <w:p>
      <w:pPr>
        <w:pStyle w:val="Heading3"/>
      </w:pPr>
      <w:r>
        <w:t xml:space="preserve">3.2.3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6"/>
    <w:bookmarkEnd w:id="57"/>
    <w:bookmarkStart w:id="58"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8"/>
    <w:bookmarkStart w:id="59"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9"/>
    <w:bookmarkEnd w:id="60"/>
    <w:bookmarkStart w:id="62"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1">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2"/>
        </w:numPr>
        <w:pStyle w:val="Compact"/>
      </w:pPr>
      <w:r>
        <w:t xml:space="preserve">Description of Maud’s input format.</w:t>
      </w:r>
    </w:p>
    <w:p>
      <w:pPr>
        <w:numPr>
          <w:ilvl w:val="0"/>
          <w:numId w:val="1002"/>
        </w:numPr>
        <w:pStyle w:val="Compact"/>
      </w:pPr>
      <w:r>
        <w:t xml:space="preserve">Description of Maud’s kinetic model including rate equations as well as</w:t>
      </w:r>
      <w:r>
        <w:t xml:space="preserve"> </w:t>
      </w:r>
      <w:r>
        <w:t xml:space="preserve">parameters and their dimensions.</w:t>
      </w:r>
    </w:p>
    <w:p>
      <w:pPr>
        <w:numPr>
          <w:ilvl w:val="0"/>
          <w:numId w:val="1002"/>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2"/>
        </w:numPr>
        <w:pStyle w:val="Compact"/>
      </w:pPr>
      <w:r>
        <w:t xml:space="preserve">Specification of the prior distribution used for the case studies.</w:t>
      </w:r>
    </w:p>
    <w:bookmarkEnd w:id="62"/>
    <w:bookmarkStart w:id="63"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3"/>
    <w:bookmarkStart w:id="153" w:name="author-information"/>
    <w:p>
      <w:pPr>
        <w:pStyle w:val="Heading1"/>
      </w:pPr>
      <w:r>
        <w:t xml:space="preserve">6. Author information</w:t>
      </w:r>
    </w:p>
    <w:bookmarkStart w:id="64"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 # References</w:t>
      </w:r>
    </w:p>
    <w:bookmarkEnd w:id="64"/>
    <w:bookmarkStart w:id="152" w:name="conflict-of-interest"/>
    <w:p>
      <w:pPr>
        <w:pStyle w:val="Heading2"/>
      </w:pPr>
      <w:r>
        <w:t xml:space="preserve">6.2 Conflict of interest</w:t>
      </w:r>
    </w:p>
    <w:p>
      <w:pPr>
        <w:pStyle w:val="FirstParagraph"/>
      </w:pPr>
      <w:r>
        <w:t xml:space="preserve">The authors declare no competing financial interest</w:t>
      </w:r>
    </w:p>
    <w:bookmarkStart w:id="151" w:name="refs"/>
    <w:bookmarkStart w:id="66"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5">
        <w:r>
          <w:rPr>
            <w:rStyle w:val="Hyperlink"/>
          </w:rPr>
          <w:t xml:space="preserve">http://arxiv.org/abs/1701.02434</w:t>
        </w:r>
      </w:hyperlink>
      <w:r>
        <w:t xml:space="preserve">.</w:t>
      </w:r>
    </w:p>
    <w:bookmarkEnd w:id="66"/>
    <w:bookmarkStart w:id="68"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7">
        <w:r>
          <w:rPr>
            <w:rStyle w:val="Hyperlink"/>
          </w:rPr>
          <w:t xml:space="preserve">https://doi.org/10.18637/jss.v076.i01</w:t>
        </w:r>
      </w:hyperlink>
      <w:r>
        <w:t xml:space="preserve">.</w:t>
      </w:r>
    </w:p>
    <w:bookmarkEnd w:id="68"/>
    <w:bookmarkStart w:id="70"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9">
        <w:r>
          <w:rPr>
            <w:rStyle w:val="Hyperlink"/>
          </w:rPr>
          <w:t xml:space="preserve">https://doi.org/10.1038/nrm3695</w:t>
        </w:r>
      </w:hyperlink>
      <w:r>
        <w:t xml:space="preserve">.</w:t>
      </w:r>
    </w:p>
    <w:bookmarkEnd w:id="70"/>
    <w:bookmarkStart w:id="72"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1">
        <w:r>
          <w:rPr>
            <w:rStyle w:val="Hyperlink"/>
          </w:rPr>
          <w:t xml:space="preserve">https://doi.org/10.1016/j.cels.2018.04.009</w:t>
        </w:r>
      </w:hyperlink>
      <w:r>
        <w:t xml:space="preserve">.</w:t>
      </w:r>
    </w:p>
    <w:bookmarkEnd w:id="72"/>
    <w:bookmarkStart w:id="74"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3">
        <w:r>
          <w:rPr>
            <w:rStyle w:val="Hyperlink"/>
          </w:rPr>
          <w:t xml:space="preserve">https://pypi.org/project/click/</w:t>
        </w:r>
      </w:hyperlink>
      <w:r>
        <w:t xml:space="preserve">.</w:t>
      </w:r>
    </w:p>
    <w:bookmarkEnd w:id="74"/>
    <w:bookmarkStart w:id="76"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5">
        <w:r>
          <w:rPr>
            <w:rStyle w:val="Hyperlink"/>
          </w:rPr>
          <w:t xml:space="preserve">https://doi.org/10.1016/j.ymben.2016.09.005</w:t>
        </w:r>
      </w:hyperlink>
      <w:r>
        <w:t xml:space="preserve">.</w:t>
      </w:r>
    </w:p>
    <w:bookmarkEnd w:id="76"/>
    <w:bookmarkStart w:id="78"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7">
        <w:r>
          <w:rPr>
            <w:rStyle w:val="Hyperlink"/>
          </w:rPr>
          <w:t xml:space="preserve">https://doi.org/10.1126/sciadv.1600200</w:t>
        </w:r>
      </w:hyperlink>
      <w:r>
        <w:t xml:space="preserve">.</w:t>
      </w:r>
    </w:p>
    <w:bookmarkEnd w:id="78"/>
    <w:bookmarkStart w:id="79"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79"/>
    <w:bookmarkStart w:id="81"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80">
        <w:r>
          <w:rPr>
            <w:rStyle w:val="Hyperlink"/>
          </w:rPr>
          <w:t xml:space="preserve">http://arxiv.org/abs/2011.01808</w:t>
        </w:r>
      </w:hyperlink>
      <w:r>
        <w:t xml:space="preserve">.</w:t>
      </w:r>
    </w:p>
    <w:bookmarkEnd w:id="81"/>
    <w:bookmarkStart w:id="83"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2">
        <w:r>
          <w:rPr>
            <w:rStyle w:val="Hyperlink"/>
          </w:rPr>
          <w:t xml:space="preserve">https://doi.org/10.1016/j.ymben.2020.03.001</w:t>
        </w:r>
      </w:hyperlink>
      <w:r>
        <w:t xml:space="preserve">.</w:t>
      </w:r>
    </w:p>
    <w:bookmarkEnd w:id="83"/>
    <w:bookmarkStart w:id="85"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4">
        <w:r>
          <w:rPr>
            <w:rStyle w:val="Hyperlink"/>
          </w:rPr>
          <w:t xml:space="preserve">https://doi.org/10.1371/journal.pcbi.0030189</w:t>
        </w:r>
      </w:hyperlink>
      <w:r>
        <w:t xml:space="preserve">.</w:t>
      </w:r>
    </w:p>
    <w:bookmarkEnd w:id="85"/>
    <w:bookmarkStart w:id="87" w:name="ref-kacser_control_1973"/>
    <w:p>
      <w:pPr>
        <w:pStyle w:val="Bibliography"/>
      </w:pPr>
      <w:r>
        <w:t xml:space="preserve">Kacser, H., and J. A. Burns. 1973.</w:t>
      </w:r>
      <w:r>
        <w:t xml:space="preserve"> </w:t>
      </w:r>
      <w:r>
        <w:t xml:space="preserve">“</w:t>
      </w:r>
      <w:hyperlink r:id="rId86">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7"/>
    <w:bookmarkStart w:id="89"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8">
        <w:r>
          <w:rPr>
            <w:rStyle w:val="Hyperlink"/>
          </w:rPr>
          <w:t xml:space="preserve">https://doi.org/10.1371/journal.pcbi.1000076</w:t>
        </w:r>
      </w:hyperlink>
      <w:r>
        <w:t xml:space="preserve">.</w:t>
      </w:r>
    </w:p>
    <w:bookmarkEnd w:id="89"/>
    <w:bookmarkStart w:id="91"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0">
        <w:r>
          <w:rPr>
            <w:rStyle w:val="Hyperlink"/>
          </w:rPr>
          <w:t xml:space="preserve">https://doi.org/10.21105/joss.01143</w:t>
        </w:r>
      </w:hyperlink>
      <w:r>
        <w:t xml:space="preserve">.</w:t>
      </w:r>
    </w:p>
    <w:bookmarkEnd w:id="91"/>
    <w:bookmarkStart w:id="93"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2">
        <w:r>
          <w:rPr>
            <w:rStyle w:val="Hyperlink"/>
          </w:rPr>
          <w:t xml:space="preserve">https://doi.org/10.1016/j.cmet.2017.08.017</w:t>
        </w:r>
      </w:hyperlink>
      <w:r>
        <w:t xml:space="preserve">.</w:t>
      </w:r>
    </w:p>
    <w:bookmarkEnd w:id="93"/>
    <w:bookmarkStart w:id="95"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4">
        <w:r>
          <w:rPr>
            <w:rStyle w:val="Hyperlink"/>
          </w:rPr>
          <w:t xml:space="preserve">https://doi.org/10.3390/metabo11110749</w:t>
        </w:r>
      </w:hyperlink>
      <w:r>
        <w:t xml:space="preserve">.</w:t>
      </w:r>
    </w:p>
    <w:bookmarkEnd w:id="95"/>
    <w:bookmarkStart w:id="97"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6">
        <w:r>
          <w:rPr>
            <w:rStyle w:val="Hyperlink"/>
          </w:rPr>
          <w:t xml:space="preserve">https://doi.org/10.1093/bioinformatics/btq141</w:t>
        </w:r>
      </w:hyperlink>
      <w:r>
        <w:t xml:space="preserve">.</w:t>
      </w:r>
    </w:p>
    <w:bookmarkEnd w:id="97"/>
    <w:bookmarkStart w:id="99"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8">
        <w:r>
          <w:rPr>
            <w:rStyle w:val="Hyperlink"/>
          </w:rPr>
          <w:t xml:space="preserve">https://doi.org/10.1146/annurev-biochem-061516-044952</w:t>
        </w:r>
      </w:hyperlink>
      <w:r>
        <w:t xml:space="preserve">.</w:t>
      </w:r>
    </w:p>
    <w:bookmarkEnd w:id="99"/>
    <w:bookmarkStart w:id="101"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0">
        <w:r>
          <w:rPr>
            <w:rStyle w:val="Hyperlink"/>
          </w:rPr>
          <w:t xml:space="preserve">https://doi.org/10.5281/zenodo.1284375</w:t>
        </w:r>
      </w:hyperlink>
      <w:r>
        <w:t xml:space="preserve">.</w:t>
      </w:r>
    </w:p>
    <w:bookmarkEnd w:id="101"/>
    <w:bookmarkStart w:id="103"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2">
        <w:r>
          <w:rPr>
            <w:rStyle w:val="Hyperlink"/>
          </w:rPr>
          <w:t xml:space="preserve">https://doi.org/10.1006/jtbi.2000.2035</w:t>
        </w:r>
      </w:hyperlink>
      <w:r>
        <w:t xml:space="preserve">.</w:t>
      </w:r>
    </w:p>
    <w:bookmarkEnd w:id="103"/>
    <w:bookmarkStart w:id="105"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4">
        <w:r>
          <w:rPr>
            <w:rStyle w:val="Hyperlink"/>
          </w:rPr>
          <w:t xml:space="preserve">https://doi.org/10.1093/bioadv/vbac066</w:t>
        </w:r>
      </w:hyperlink>
      <w:r>
        <w:t xml:space="preserve">.</w:t>
      </w:r>
    </w:p>
    <w:bookmarkEnd w:id="105"/>
    <w:bookmarkStart w:id="107"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6">
        <w:r>
          <w:rPr>
            <w:rStyle w:val="Hyperlink"/>
          </w:rPr>
          <w:t xml:space="preserve">https://doi.org/10.1016/S0022-2836(65)80285-6</w:t>
        </w:r>
      </w:hyperlink>
      <w:r>
        <w:t xml:space="preserve">.</w:t>
      </w:r>
    </w:p>
    <w:bookmarkEnd w:id="107"/>
    <w:bookmarkStart w:id="109"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8">
        <w:r>
          <w:rPr>
            <w:rStyle w:val="Hyperlink"/>
          </w:rPr>
          <w:t xml:space="preserve">https://doi.org/10.4161/epi.1.2.2677</w:t>
        </w:r>
      </w:hyperlink>
      <w:r>
        <w:t xml:space="preserve">.</w:t>
      </w:r>
    </w:p>
    <w:bookmarkEnd w:id="109"/>
    <w:bookmarkStart w:id="111"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10">
        <w:r>
          <w:rPr>
            <w:rStyle w:val="Hyperlink"/>
          </w:rPr>
          <w:t xml:space="preserve">https://doi.org/10.1016/j.febslet.2013.07.028</w:t>
        </w:r>
      </w:hyperlink>
      <w:r>
        <w:t xml:space="preserve">.</w:t>
      </w:r>
    </w:p>
    <w:bookmarkEnd w:id="111"/>
    <w:bookmarkStart w:id="113"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2">
        <w:r>
          <w:rPr>
            <w:rStyle w:val="Hyperlink"/>
          </w:rPr>
          <w:t xml:space="preserve">https://pypi.org/project/toml/</w:t>
        </w:r>
      </w:hyperlink>
      <w:r>
        <w:t xml:space="preserve">.</w:t>
      </w:r>
    </w:p>
    <w:bookmarkEnd w:id="113"/>
    <w:bookmarkStart w:id="115"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4">
        <w:r>
          <w:rPr>
            <w:rStyle w:val="Hyperlink"/>
          </w:rPr>
          <w:t xml:space="preserve">https://doi.org/10.1017/S0266466698144043</w:t>
        </w:r>
      </w:hyperlink>
      <w:r>
        <w:t xml:space="preserve">.</w:t>
      </w:r>
    </w:p>
    <w:bookmarkEnd w:id="115"/>
    <w:bookmarkStart w:id="117"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6">
        <w:r>
          <w:rPr>
            <w:rStyle w:val="Hyperlink"/>
          </w:rPr>
          <w:t xml:space="preserve">https://doi.org/10.1016/0014-5793(75)80034-2</w:t>
        </w:r>
      </w:hyperlink>
      <w:r>
        <w:t xml:space="preserve">.</w:t>
      </w:r>
    </w:p>
    <w:bookmarkEnd w:id="117"/>
    <w:bookmarkStart w:id="119"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8">
        <w:r>
          <w:rPr>
            <w:rStyle w:val="Hyperlink"/>
          </w:rPr>
          <w:t xml:space="preserve">https://www.ncbi.nlm.nih.gov/pubmed/156878</w:t>
        </w:r>
      </w:hyperlink>
      <w:r>
        <w:t xml:space="preserve">.</w:t>
      </w:r>
    </w:p>
    <w:bookmarkEnd w:id="119"/>
    <w:bookmarkStart w:id="121" w:name="ref-pydanticdevelopersPydantic2022"/>
    <w:p>
      <w:pPr>
        <w:pStyle w:val="Bibliography"/>
      </w:pPr>
      <w:r>
        <w:t xml:space="preserve">Pydantic developers. 2022.</w:t>
      </w:r>
      <w:r>
        <w:t xml:space="preserve"> </w:t>
      </w:r>
      <w:r>
        <w:t xml:space="preserve">“Pydantic.”</w:t>
      </w:r>
      <w:r>
        <w:t xml:space="preserve"> </w:t>
      </w:r>
      <w:hyperlink r:id="rId120">
        <w:r>
          <w:rPr>
            <w:rStyle w:val="Hyperlink"/>
          </w:rPr>
          <w:t xml:space="preserve">https://pypi.org/project/pydantic/</w:t>
        </w:r>
      </w:hyperlink>
      <w:r>
        <w:t xml:space="preserve">.</w:t>
      </w:r>
    </w:p>
    <w:bookmarkEnd w:id="121"/>
    <w:bookmarkStart w:id="123"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2">
        <w:r>
          <w:rPr>
            <w:rStyle w:val="Hyperlink"/>
          </w:rPr>
          <w:t xml:space="preserve">https://doi.org/10.1063/1.3528102</w:t>
        </w:r>
      </w:hyperlink>
      <w:r>
        <w:t xml:space="preserve">.</w:t>
      </w:r>
    </w:p>
    <w:bookmarkEnd w:id="123"/>
    <w:bookmarkStart w:id="125"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4">
        <w:r>
          <w:rPr>
            <w:rStyle w:val="Hyperlink"/>
          </w:rPr>
          <w:t xml:space="preserve">https://doi.org/10.1098/rsta.2011.0544</w:t>
        </w:r>
      </w:hyperlink>
      <w:r>
        <w:t xml:space="preserve">.</w:t>
      </w:r>
    </w:p>
    <w:bookmarkEnd w:id="125"/>
    <w:bookmarkStart w:id="127"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6">
        <w:r>
          <w:rPr>
            <w:rStyle w:val="Hyperlink"/>
          </w:rPr>
          <w:t xml:space="preserve">https://doi.org/10.1038/srep29635</w:t>
        </w:r>
      </w:hyperlink>
      <w:r>
        <w:t xml:space="preserve">.</w:t>
      </w:r>
    </w:p>
    <w:bookmarkEnd w:id="127"/>
    <w:bookmarkStart w:id="129"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8">
        <w:r>
          <w:rPr>
            <w:rStyle w:val="Hyperlink"/>
          </w:rPr>
          <w:t xml:space="preserve">https://doi.org/10.1115/DETC2005-85597</w:t>
        </w:r>
      </w:hyperlink>
      <w:r>
        <w:t xml:space="preserve">.</w:t>
      </w:r>
    </w:p>
    <w:bookmarkEnd w:id="129"/>
    <w:bookmarkStart w:id="131"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30">
        <w:r>
          <w:rPr>
            <w:rStyle w:val="Hyperlink"/>
          </w:rPr>
          <w:t xml:space="preserve">https://doi.org/10.1021/acs.analchem.6b02930</w:t>
        </w:r>
      </w:hyperlink>
      <w:r>
        <w:t xml:space="preserve">.</w:t>
      </w:r>
    </w:p>
    <w:bookmarkEnd w:id="131"/>
    <w:bookmarkStart w:id="133"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2">
        <w:r>
          <w:rPr>
            <w:rStyle w:val="Hyperlink"/>
          </w:rPr>
          <w:t xml:space="preserve">https://doi.org/10.1371/journal.pcbi.1007424</w:t>
        </w:r>
      </w:hyperlink>
      <w:r>
        <w:t xml:space="preserve">.</w:t>
      </w:r>
    </w:p>
    <w:bookmarkEnd w:id="133"/>
    <w:bookmarkStart w:id="135"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4">
        <w:r>
          <w:rPr>
            <w:rStyle w:val="Hyperlink"/>
          </w:rPr>
          <w:t xml:space="preserve">https://github.com/stan-dev/cmdstanpy</w:t>
        </w:r>
      </w:hyperlink>
      <w:r>
        <w:t xml:space="preserve">.</w:t>
      </w:r>
    </w:p>
    <w:bookmarkEnd w:id="135"/>
    <w:bookmarkStart w:id="137"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6">
        <w:r>
          <w:rPr>
            <w:rStyle w:val="Hyperlink"/>
          </w:rPr>
          <w:t xml:space="preserve">https://doi.org/10.1093/bioinformatics/btx676</w:t>
        </w:r>
      </w:hyperlink>
      <w:r>
        <w:t xml:space="preserve">.</w:t>
      </w:r>
    </w:p>
    <w:bookmarkEnd w:id="137"/>
    <w:bookmarkStart w:id="139"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8">
        <w:r>
          <w:rPr>
            <w:rStyle w:val="Hyperlink"/>
          </w:rPr>
          <w:t xml:space="preserve">https://doi.org/10.1021/pr9006365</w:t>
        </w:r>
      </w:hyperlink>
      <w:r>
        <w:t xml:space="preserve">.</w:t>
      </w:r>
    </w:p>
    <w:bookmarkEnd w:id="139"/>
    <w:bookmarkStart w:id="141"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40">
        <w:r>
          <w:rPr>
            <w:rStyle w:val="Hyperlink"/>
          </w:rPr>
          <w:t xml:space="preserve">https://doi.org/10.48550/arXiv.2205.09059</w:t>
        </w:r>
      </w:hyperlink>
      <w:r>
        <w:t xml:space="preserve">.</w:t>
      </w:r>
    </w:p>
    <w:bookmarkEnd w:id="141"/>
    <w:bookmarkStart w:id="142"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2"/>
    <w:bookmarkStart w:id="144"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3">
        <w:r>
          <w:rPr>
            <w:rStyle w:val="Hyperlink"/>
          </w:rPr>
          <w:t xml:space="preserve">https://doi.org/10.1214/20-BA1221</w:t>
        </w:r>
      </w:hyperlink>
      <w:r>
        <w:t xml:space="preserve">.</w:t>
      </w:r>
    </w:p>
    <w:bookmarkEnd w:id="144"/>
    <w:bookmarkStart w:id="146" w:name="ref-vehtariParetoSmoothedImportance2022"/>
    <w:p>
      <w:pPr>
        <w:pStyle w:val="Bibliography"/>
      </w:pPr>
      <w:r>
        <w:t xml:space="preserve">Vehtari, Aki, Daniel Simpson, Andrew Gelman, Yuling Yao, and Jonah Gabry. 2022.</w:t>
      </w:r>
      <w:r>
        <w:t xml:space="preserve"> </w:t>
      </w:r>
      <w:r>
        <w:t xml:space="preserve">“Pareto</w:t>
      </w:r>
      <w:r>
        <w:t xml:space="preserve"> </w:t>
      </w:r>
      <w:r>
        <w:t xml:space="preserve">Smoothed Importance Sampling</w:t>
      </w:r>
      <w:r>
        <w:t xml:space="preserve">.”</w:t>
      </w:r>
      <w:r>
        <w:t xml:space="preserve"> </w:t>
      </w:r>
      <w:r>
        <w:t xml:space="preserve">arXiv</w:t>
      </w:r>
      <w:r>
        <w:t xml:space="preserve">.</w:t>
      </w:r>
      <w:r>
        <w:t xml:space="preserve"> </w:t>
      </w:r>
      <w:hyperlink r:id="rId145">
        <w:r>
          <w:rPr>
            <w:rStyle w:val="Hyperlink"/>
          </w:rPr>
          <w:t xml:space="preserve">http://arxiv.org/abs/1507.02646</w:t>
        </w:r>
      </w:hyperlink>
      <w:r>
        <w:t xml:space="preserve">.</w:t>
      </w:r>
    </w:p>
    <w:bookmarkEnd w:id="146"/>
    <w:bookmarkStart w:id="148"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7">
        <w:r>
          <w:rPr>
            <w:rStyle w:val="Hyperlink"/>
          </w:rPr>
          <w:t xml:space="preserve">https://doi.org/10.1016/s1096-7176(03)00025-9</w:t>
        </w:r>
      </w:hyperlink>
      <w:r>
        <w:t xml:space="preserve">.</w:t>
      </w:r>
    </w:p>
    <w:bookmarkEnd w:id="148"/>
    <w:bookmarkStart w:id="150"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9">
        <w:r>
          <w:rPr>
            <w:rStyle w:val="Hyperlink"/>
          </w:rPr>
          <w:t xml:space="preserve">https://doi.org/10.1371/journal.pcbi.1005227</w:t>
        </w:r>
      </w:hyperlink>
      <w:r>
        <w:t xml:space="preserve">.</w:t>
      </w:r>
    </w:p>
    <w:bookmarkEnd w:id="150"/>
    <w:bookmarkEnd w:id="151"/>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145" Target="http://arxiv.org/abs/1507.02646" TargetMode="External" /><Relationship Type="http://schemas.openxmlformats.org/officeDocument/2006/relationships/hyperlink" Id="rId65" Target="http://arxiv.org/abs/1701.02434" TargetMode="External" /><Relationship Type="http://schemas.openxmlformats.org/officeDocument/2006/relationships/hyperlink" Id="rId80"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2" Target="https://doi.org/10.1006/jtbi.2000.2035" TargetMode="External" /><Relationship Type="http://schemas.openxmlformats.org/officeDocument/2006/relationships/hyperlink" Id="rId116" Target="https://doi.org/10.1016/0014-5793(75)80034-2" TargetMode="External" /><Relationship Type="http://schemas.openxmlformats.org/officeDocument/2006/relationships/hyperlink" Id="rId106"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10"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47" Target="https://doi.org/10.1016/s1096-7176(03)00025-9" TargetMode="External" /><Relationship Type="http://schemas.openxmlformats.org/officeDocument/2006/relationships/hyperlink" Id="rId114" Target="https://doi.org/10.1017/S0266466698144043" TargetMode="External" /><Relationship Type="http://schemas.openxmlformats.org/officeDocument/2006/relationships/hyperlink" Id="rId130" Target="https://doi.org/10.1021/acs.analchem.6b02930" TargetMode="External" /><Relationship Type="http://schemas.openxmlformats.org/officeDocument/2006/relationships/hyperlink" Id="rId138" Target="https://doi.org/10.1021/pr9006365" TargetMode="External" /><Relationship Type="http://schemas.openxmlformats.org/officeDocument/2006/relationships/hyperlink" Id="rId69" Target="https://doi.org/10.1038/nrm3695" TargetMode="External" /><Relationship Type="http://schemas.openxmlformats.org/officeDocument/2006/relationships/hyperlink" Id="rId126" Target="https://doi.org/10.1038/srep29635" TargetMode="External" /><Relationship Type="http://schemas.openxmlformats.org/officeDocument/2006/relationships/hyperlink" Id="rId122" Target="https://doi.org/10.1063/1.3528102" TargetMode="External" /><Relationship Type="http://schemas.openxmlformats.org/officeDocument/2006/relationships/hyperlink" Id="rId104"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6" Target="https://doi.org/10.1093/bioinformatics/btx676" TargetMode="External" /><Relationship Type="http://schemas.openxmlformats.org/officeDocument/2006/relationships/hyperlink" Id="rId124" Target="https://doi.org/10.1098/rsta.2011.0544" TargetMode="External" /><Relationship Type="http://schemas.openxmlformats.org/officeDocument/2006/relationships/hyperlink" Id="rId128"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98" Target="https://doi.org/10.1146/annurev-biochem-061516-044952" TargetMode="External" /><Relationship Type="http://schemas.openxmlformats.org/officeDocument/2006/relationships/hyperlink" Id="rId143"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9" Target="https://doi.org/10.1371/journal.pcbi.1005227" TargetMode="External" /><Relationship Type="http://schemas.openxmlformats.org/officeDocument/2006/relationships/hyperlink" Id="rId132" Target="https://doi.org/10.1371/journal.pcbi.1007424"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108" Target="https://doi.org/10.4161/epi.1.2.2677" TargetMode="External" /><Relationship Type="http://schemas.openxmlformats.org/officeDocument/2006/relationships/hyperlink" Id="rId140" Target="https://doi.org/10.48550/arXiv.2205.09059" TargetMode="External" /><Relationship Type="http://schemas.openxmlformats.org/officeDocument/2006/relationships/hyperlink" Id="rId100"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4"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20" Target="https://pypi.org/project/pydantic/" TargetMode="External" /><Relationship Type="http://schemas.openxmlformats.org/officeDocument/2006/relationships/hyperlink" Id="rId112" Target="https://pypi.org/project/toml/" TargetMode="External" /><Relationship Type="http://schemas.openxmlformats.org/officeDocument/2006/relationships/hyperlink" Id="rId118" Target="https://www.ncbi.nlm.nih.gov/pubmed/156878" TargetMode="External" /><Relationship Type="http://schemas.openxmlformats.org/officeDocument/2006/relationships/hyperlink" Id="rId86"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145" Target="http://arxiv.org/abs/1507.02646" TargetMode="External" /><Relationship Type="http://schemas.openxmlformats.org/officeDocument/2006/relationships/hyperlink" Id="rId65" Target="http://arxiv.org/abs/1701.02434" TargetMode="External" /><Relationship Type="http://schemas.openxmlformats.org/officeDocument/2006/relationships/hyperlink" Id="rId80" Target="http://arxiv.org/abs/2011.01808" TargetMode="External" /><Relationship Type="http://schemas.openxmlformats.org/officeDocument/2006/relationships/hyperlink" Id="rId61" Target="https://biosustain/Methionine_model" TargetMode="External" /><Relationship Type="http://schemas.openxmlformats.org/officeDocument/2006/relationships/hyperlink" Id="rId102" Target="https://doi.org/10.1006/jtbi.2000.2035" TargetMode="External" /><Relationship Type="http://schemas.openxmlformats.org/officeDocument/2006/relationships/hyperlink" Id="rId116" Target="https://doi.org/10.1016/0014-5793(75)80034-2" TargetMode="External" /><Relationship Type="http://schemas.openxmlformats.org/officeDocument/2006/relationships/hyperlink" Id="rId106" Target="https://doi.org/10.1016/S0022-2836(65)80285-6" TargetMode="External" /><Relationship Type="http://schemas.openxmlformats.org/officeDocument/2006/relationships/hyperlink" Id="rId71" Target="https://doi.org/10.1016/j.cels.2018.04.009" TargetMode="External" /><Relationship Type="http://schemas.openxmlformats.org/officeDocument/2006/relationships/hyperlink" Id="rId92" Target="https://doi.org/10.1016/j.cmet.2017.08.017" TargetMode="External" /><Relationship Type="http://schemas.openxmlformats.org/officeDocument/2006/relationships/hyperlink" Id="rId110" Target="https://doi.org/10.1016/j.febslet.2013.07.028" TargetMode="External" /><Relationship Type="http://schemas.openxmlformats.org/officeDocument/2006/relationships/hyperlink" Id="rId75" Target="https://doi.org/10.1016/j.ymben.2016.09.005" TargetMode="External" /><Relationship Type="http://schemas.openxmlformats.org/officeDocument/2006/relationships/hyperlink" Id="rId82" Target="https://doi.org/10.1016/j.ymben.2020.03.001" TargetMode="External" /><Relationship Type="http://schemas.openxmlformats.org/officeDocument/2006/relationships/hyperlink" Id="rId147" Target="https://doi.org/10.1016/s1096-7176(03)00025-9" TargetMode="External" /><Relationship Type="http://schemas.openxmlformats.org/officeDocument/2006/relationships/hyperlink" Id="rId114" Target="https://doi.org/10.1017/S0266466698144043" TargetMode="External" /><Relationship Type="http://schemas.openxmlformats.org/officeDocument/2006/relationships/hyperlink" Id="rId130" Target="https://doi.org/10.1021/acs.analchem.6b02930" TargetMode="External" /><Relationship Type="http://schemas.openxmlformats.org/officeDocument/2006/relationships/hyperlink" Id="rId138" Target="https://doi.org/10.1021/pr9006365" TargetMode="External" /><Relationship Type="http://schemas.openxmlformats.org/officeDocument/2006/relationships/hyperlink" Id="rId69" Target="https://doi.org/10.1038/nrm3695" TargetMode="External" /><Relationship Type="http://schemas.openxmlformats.org/officeDocument/2006/relationships/hyperlink" Id="rId126" Target="https://doi.org/10.1038/srep29635" TargetMode="External" /><Relationship Type="http://schemas.openxmlformats.org/officeDocument/2006/relationships/hyperlink" Id="rId122" Target="https://doi.org/10.1063/1.3528102" TargetMode="External" /><Relationship Type="http://schemas.openxmlformats.org/officeDocument/2006/relationships/hyperlink" Id="rId104" Target="https://doi.org/10.1093/bioadv/vbac066" TargetMode="External" /><Relationship Type="http://schemas.openxmlformats.org/officeDocument/2006/relationships/hyperlink" Id="rId96" Target="https://doi.org/10.1093/bioinformatics/btq141" TargetMode="External" /><Relationship Type="http://schemas.openxmlformats.org/officeDocument/2006/relationships/hyperlink" Id="rId136" Target="https://doi.org/10.1093/bioinformatics/btx676" TargetMode="External" /><Relationship Type="http://schemas.openxmlformats.org/officeDocument/2006/relationships/hyperlink" Id="rId124" Target="https://doi.org/10.1098/rsta.2011.0544" TargetMode="External" /><Relationship Type="http://schemas.openxmlformats.org/officeDocument/2006/relationships/hyperlink" Id="rId128" Target="https://doi.org/10.1115/DETC2005-85597" TargetMode="External" /><Relationship Type="http://schemas.openxmlformats.org/officeDocument/2006/relationships/hyperlink" Id="rId77" Target="https://doi.org/10.1126/sciadv.1600200" TargetMode="External" /><Relationship Type="http://schemas.openxmlformats.org/officeDocument/2006/relationships/hyperlink" Id="rId98" Target="https://doi.org/10.1146/annurev-biochem-061516-044952" TargetMode="External" /><Relationship Type="http://schemas.openxmlformats.org/officeDocument/2006/relationships/hyperlink" Id="rId143" Target="https://doi.org/10.1214/20-BA1221" TargetMode="External" /><Relationship Type="http://schemas.openxmlformats.org/officeDocument/2006/relationships/hyperlink" Id="rId84" Target="https://doi.org/10.1371/journal.pcbi.0030189" TargetMode="External" /><Relationship Type="http://schemas.openxmlformats.org/officeDocument/2006/relationships/hyperlink" Id="rId88" Target="https://doi.org/10.1371/journal.pcbi.1000076" TargetMode="External" /><Relationship Type="http://schemas.openxmlformats.org/officeDocument/2006/relationships/hyperlink" Id="rId149" Target="https://doi.org/10.1371/journal.pcbi.1005227" TargetMode="External" /><Relationship Type="http://schemas.openxmlformats.org/officeDocument/2006/relationships/hyperlink" Id="rId132" Target="https://doi.org/10.1371/journal.pcbi.1007424" TargetMode="External" /><Relationship Type="http://schemas.openxmlformats.org/officeDocument/2006/relationships/hyperlink" Id="rId67" Target="https://doi.org/10.18637/jss.v076.i01" TargetMode="External" /><Relationship Type="http://schemas.openxmlformats.org/officeDocument/2006/relationships/hyperlink" Id="rId90" Target="https://doi.org/10.21105/joss.01143" TargetMode="External" /><Relationship Type="http://schemas.openxmlformats.org/officeDocument/2006/relationships/hyperlink" Id="rId94" Target="https://doi.org/10.3390/metabo11110749" TargetMode="External" /><Relationship Type="http://schemas.openxmlformats.org/officeDocument/2006/relationships/hyperlink" Id="rId108" Target="https://doi.org/10.4161/epi.1.2.2677" TargetMode="External" /><Relationship Type="http://schemas.openxmlformats.org/officeDocument/2006/relationships/hyperlink" Id="rId140" Target="https://doi.org/10.48550/arXiv.2205.09059" TargetMode="External" /><Relationship Type="http://schemas.openxmlformats.org/officeDocument/2006/relationships/hyperlink" Id="rId100"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4"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3" Target="https://pypi.org/project/click/" TargetMode="External" /><Relationship Type="http://schemas.openxmlformats.org/officeDocument/2006/relationships/hyperlink" Id="rId120" Target="https://pypi.org/project/pydantic/" TargetMode="External" /><Relationship Type="http://schemas.openxmlformats.org/officeDocument/2006/relationships/hyperlink" Id="rId112" Target="https://pypi.org/project/toml/" TargetMode="External" /><Relationship Type="http://schemas.openxmlformats.org/officeDocument/2006/relationships/hyperlink" Id="rId118" Target="https://www.ncbi.nlm.nih.gov/pubmed/156878" TargetMode="External" /><Relationship Type="http://schemas.openxmlformats.org/officeDocument/2006/relationships/hyperlink" Id="rId86"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2024-01-12T16:41:11Z</dcterms:created>
  <dcterms:modified xsi:type="dcterms:W3CDTF">2024-01-12T16:41:11Z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