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we specified a standard deviation of 0.1 on logarithmic</w:t>
      </w:r>
      <w:r>
        <w:t xml:space="preserve"> </w:t>
      </w:r>
      <w:r>
        <w:t xml:space="preserve">scale for enzyme and metabolite concentration measurements, corresponding to</w:t>
      </w:r>
      <w:r>
        <w:t xml:space="preserve"> </w:t>
      </w:r>
      <w:r>
        <w:t xml:space="preserve">approximately 10% measurement error and a standard deviation for each reaction</w:t>
      </w:r>
      <w:r>
        <w:t xml:space="preserve"> </w:t>
      </w:r>
      <w:r>
        <w:t xml:space="preserve">measurement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31"/>
    <w:bookmarkEnd w:id="32"/>
    <w:bookmarkStart w:id="50"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w:t>
      </w:r>
      <w:r>
        <w:t xml:space="preserve"> </w:t>
      </w:r>
      <w:r>
        <w:t xml:space="preserve">for example, genome-scale kinetic models. To fit larger models, faster steady</w:t>
      </w:r>
      <w:r>
        <w:t xml:space="preserve"> </w:t>
      </w:r>
      <w:r>
        <w:t xml:space="preserve">state solving methods or alternative inference algorithms will be required.</w:t>
      </w:r>
      <w:r>
        <w:t xml:space="preserve"> </w:t>
      </w:r>
      <w:hyperlink w:anchor="sec-laplace">
        <w:r>
          <w:rPr>
            <w:rStyle w:val="Hyperlink"/>
          </w:rPr>
          <w:t xml:space="preserve">Section 2.2.2</w:t>
        </w:r>
      </w:hyperlink>
      <w:r>
        <w:t xml:space="preserve"> </w:t>
      </w:r>
      <w:r>
        <w:t xml:space="preserve">addresses whether Laplace approximation is a suitable candidate.</w:t>
      </w:r>
    </w:p>
    <w:bookmarkEnd w:id="33"/>
    <w:bookmarkStart w:id="39"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0.</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8"/>
        </w:tc>
      </w:tr>
    </w:tbl>
    <w:bookmarkEnd w:id="39"/>
    <w:bookmarkStart w:id="44"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As we can see in the</w:t>
      </w:r>
      <w:r>
        <w:t xml:space="preserve"> </w:t>
      </w:r>
      <w:hyperlink w:anchor="fig-missing">
        <w:r>
          <w:rPr>
            <w:rStyle w:val="Hyperlink"/>
          </w:rPr>
          <w:t xml:space="preserve">#lower left plot of 3</w:t>
        </w:r>
      </w:hyperlink>
      <w:r>
        <w:t xml:space="preserve">, the model</w:t>
      </w:r>
      <w:r>
        <w:t xml:space="preserve"> </w:t>
      </w:r>
      <w:r>
        <w:t xml:space="preserve">with full metabolomics learned the true value for the displayed dissociation</w:t>
      </w:r>
      <w:r>
        <w:t xml:space="preserve"> </w:t>
      </w:r>
      <w:r>
        <w:t xml:space="preserve">constant, despite this value being far from the mean of the corresponding</w:t>
      </w:r>
      <w:r>
        <w:t xml:space="preserve"> </w:t>
      </w:r>
      <w:r>
        <w:t xml:space="preserve">marginal prior distribution, whereas the model with the missing measurements</w:t>
      </w:r>
      <w:r>
        <w:t xml:space="preserve"> </w:t>
      </w:r>
      <w:r>
        <w:t xml:space="preserve">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Application to regulatory understanding</w:t>
      </w:r>
    </w:p>
    <w:p>
      <w:pPr>
        <w:pStyle w:val="FirstParagraph"/>
      </w:pPr>
      <w:r>
        <w:t xml:space="preserve">To investigate how the flux of GNMT between conditions [X] and [Y] changes</w:t>
      </w:r>
      <w:r>
        <w:t xml:space="preserve"> </w:t>
      </w:r>
      <w:r>
        <w:t xml:space="preserve">we compared the regulatory contributions in the posterior distribution.</w:t>
      </w:r>
      <w:r>
        <w:t xml:space="preserve"> </w:t>
      </w:r>
      <w:r>
        <w:t xml:space="preserve">Presented in</w:t>
      </w:r>
      <w:r>
        <w:t xml:space="preserve"> </w:t>
      </w:r>
      <w:hyperlink w:anchor="fig-decomposition">
        <w:r>
          <w:rPr>
            <w:rStyle w:val="Hyperlink"/>
          </w:rPr>
          <w:t xml:space="preserve">Figure 4</w:t>
        </w:r>
      </w:hyperlink>
      <w:r>
        <w:t xml:space="preserve"> </w:t>
      </w:r>
      <w:r>
        <w:t xml:space="preserve">is the regulatory description of</w:t>
      </w:r>
      <w:r>
        <w:t xml:space="preserve"> </w:t>
      </w:r>
      <w:r>
        <w:t xml:space="preserve">GNMT, an irreversible enzyme that is homotropically activated by its substrate,</w:t>
      </w:r>
      <w:r>
        <w:t xml:space="preserve"> </w:t>
      </w:r>
      <w:r>
        <w:t xml:space="preserve">competitively inhibited by its product and heterotropically inhibited. The</w:t>
      </w:r>
      <w:r>
        <w:t xml:space="preserve"> </w:t>
      </w:r>
      <w:r>
        <w:t xml:space="preserve">diverse regulation makes it the ideal test case to elucidate regulatory changes.</w:t>
      </w:r>
    </w:p>
    <w:p>
      <w:pPr>
        <w:pStyle w:val="BodyText"/>
      </w:pPr>
      <w:r>
        <w:t xml:space="preserve">Here we found that saturation and allosteric effects were the main drivers</w:t>
      </w:r>
      <w:r>
        <w:t xml:space="preserve"> </w:t>
      </w:r>
      <w:r>
        <w:t xml:space="preserve">of regulation between the two conditions.</w:t>
      </w:r>
      <w:r>
        <w:t xml:space="preserve"> </w:t>
      </w:r>
      <w:hyperlink w:anchor="fig-decomposition">
        <w:r>
          <w:rPr>
            <w:rStyle w:val="Hyperlink"/>
          </w:rPr>
          <w:t xml:space="preserve">Figure 4</w:t>
        </w:r>
      </w:hyperlink>
      <w:r>
        <w:t xml:space="preserve"> </w:t>
      </w:r>
      <w:r>
        <w:t xml:space="preserve">shows the distributions</w:t>
      </w:r>
      <w:r>
        <w:t xml:space="preserve"> </w:t>
      </w:r>
      <w:r>
        <w:t xml:space="preserve">of the regulatory components as the log-ratio of each component with [X] in</w:t>
      </w:r>
      <w:r>
        <w:t xml:space="preserve"> </w:t>
      </w:r>
      <w:r>
        <w:t xml:space="preserve">the numerator and [Y] in the denominator, positive values suggest that this</w:t>
      </w:r>
      <w:r>
        <w:t xml:space="preserve"> </w:t>
      </w:r>
      <w:r>
        <w:t xml:space="preserve">component was increased in experiment [X] relative to [Y], with 0 indicating no</w:t>
      </w:r>
      <w:r>
        <w:t xml:space="preserve"> </w:t>
      </w:r>
      <w:r>
        <w:t xml:space="preserve">difference. Naturally, this presents the ideal statistical test when evaluating</w:t>
      </w:r>
      <w:r>
        <w:t xml:space="preserve"> </w:t>
      </w:r>
      <w:r>
        <w:t xml:space="preserve">the regulation, with the probability of regulation given by the relative</w:t>
      </w:r>
      <w:r>
        <w:t xml:space="preserve"> </w:t>
      </w:r>
      <w:r>
        <w:t xml:space="preserve">proportion of samples above and below the 0 point.</w:t>
      </w:r>
    </w:p>
    <w:p>
      <w:pPr>
        <w:pStyle w:val="BodyText"/>
      </w:pPr>
      <w:r>
        <w:t xml:space="preserve">We demonstrate that Maud can accurately reproduce the regulatory effect between</w:t>
      </w:r>
      <w:r>
        <w:t xml:space="preserve"> </w:t>
      </w:r>
      <w:r>
        <w:t xml:space="preserve">the two conditions by comparing it to the ground truth. As the true values are</w:t>
      </w:r>
      <w:r>
        <w:t xml:space="preserve"> </w:t>
      </w:r>
      <w:r>
        <w:t xml:space="preserve">well within our probability mass of the posterior we can say that Maud is able</w:t>
      </w:r>
      <w:r>
        <w:t xml:space="preserve"> </w:t>
      </w:r>
      <w:r>
        <w:t xml:space="preserve">to accurately reproduce the regulatory behaviour of metabolic networks and also</w:t>
      </w:r>
      <w:r>
        <w:t xml:space="preserve"> </w:t>
      </w:r>
      <w:r>
        <w:t xml:space="preserve">provides a tool for statistical inference of the regulatory behaviour.</w:t>
      </w:r>
    </w:p>
    <w:p>
      <w:pPr>
        <w:pStyle w:val="BodyText"/>
      </w:pPr>
      <w:r>
        <w:t xml:space="preserve">Here we have demonstrated a key feature in Maud, that is, direct inference on</w:t>
      </w:r>
      <w:r>
        <w:t xml:space="preserve"> </w:t>
      </w:r>
      <w:r>
        <w:t xml:space="preserve">any parameter that arises from the data generating process. More succinctly,</w:t>
      </w:r>
      <w:r>
        <w:t xml:space="preserve"> </w:t>
      </w:r>
      <w:r>
        <w:t xml:space="preserve">we show the benefit of error propagation that Bayesian inference provides as</w:t>
      </w:r>
      <w:r>
        <w:t xml:space="preserve"> </w:t>
      </w:r>
      <w:r>
        <w:t xml:space="preserve">researchers can directly use quantiles for hypothesis testing.</w:t>
      </w:r>
    </w:p>
    <w:p>
      <w:pPr>
        <w:pStyle w:val="BodyText"/>
      </w:pPr>
      <w:r>
        <w:t xml:space="preserve">Our tool allows inference directly on the joint posterior distribution rather</w:t>
      </w:r>
      <w:r>
        <w:t xml:space="preserve"> </w:t>
      </w:r>
      <w:r>
        <w:t xml:space="preserve">than the marginal parameter. The implication is that inference will be better</w:t>
      </w:r>
      <w:r>
        <w:t xml:space="preserve"> </w:t>
      </w:r>
      <w:r>
        <w:t xml:space="preserve">than that of the marginal distributions due to correlated parameter values, if</w:t>
      </w:r>
      <w:r>
        <w:t xml:space="preserve"> </w:t>
      </w:r>
      <w:r>
        <w:t xml:space="preserve">the data generating process can be directly modelled.</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acknowledgements"/>
    <w:p>
      <w:pPr>
        <w:pStyle w:val="Heading1"/>
      </w:pPr>
      <w:r>
        <w:t xml:space="preserve">Acknowledgements</w:t>
      </w:r>
    </w:p>
    <w:bookmarkEnd w:id="64"/>
    <w:bookmarkStart w:id="146" w:name="references"/>
    <w:p>
      <w:pPr>
        <w:pStyle w:val="Heading1"/>
      </w:pPr>
      <w:r>
        <w:t xml:space="preserve">References</w:t>
      </w:r>
    </w:p>
    <w:bookmarkStart w:id="145" w:name="refs"/>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4">
        <w:r>
          <w:rPr>
            <w:rStyle w:val="Hyperlink"/>
          </w:rPr>
          <w:t xml:space="preserve">https://doi.org/10.15252/msb.20199110</w:t>
        </w:r>
      </w:hyperlink>
      <w:r>
        <w:t xml:space="preserve">.</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6">
        <w:r>
          <w:rPr>
            <w:rStyle w:val="Hyperlink"/>
          </w:rPr>
          <w:t xml:space="preserve">https://doi.org/10.5281/zenodo.1284375</w:t>
        </w:r>
      </w:hyperlink>
      <w:r>
        <w:t xml:space="preserve">.</w:t>
      </w:r>
    </w:p>
    <w:bookmarkEnd w:id="97"/>
    <w:bookmarkStart w:id="99"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8">
        <w:r>
          <w:rPr>
            <w:rStyle w:val="Hyperlink"/>
          </w:rPr>
          <w:t xml:space="preserve">https://doi.org/10.1093/bioadv/vbac066</w:t>
        </w:r>
      </w:hyperlink>
      <w:r>
        <w:t xml:space="preserve">.</w:t>
      </w:r>
    </w:p>
    <w:bookmarkEnd w:id="99"/>
    <w:bookmarkStart w:id="101"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0">
        <w:r>
          <w:rPr>
            <w:rStyle w:val="Hyperlink"/>
          </w:rPr>
          <w:t xml:space="preserve">https://doi.org/10.1016/S0022-2836(65)80285-6</w:t>
        </w:r>
      </w:hyperlink>
      <w:r>
        <w:t xml:space="preserve">.</w:t>
      </w:r>
    </w:p>
    <w:bookmarkEnd w:id="101"/>
    <w:bookmarkStart w:id="10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2">
        <w:r>
          <w:rPr>
            <w:rStyle w:val="Hyperlink"/>
          </w:rPr>
          <w:t xml:space="preserve">https://doi.org/10.1016/j.febslet.2013.07.028</w:t>
        </w:r>
      </w:hyperlink>
      <w:r>
        <w:t xml:space="preserve">.</w:t>
      </w:r>
    </w:p>
    <w:bookmarkEnd w:id="103"/>
    <w:bookmarkStart w:id="10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4">
        <w:r>
          <w:rPr>
            <w:rStyle w:val="Hyperlink"/>
          </w:rPr>
          <w:t xml:space="preserve">https://pypi.org/project/toml/</w:t>
        </w:r>
      </w:hyperlink>
      <w:r>
        <w:t xml:space="preserve">.</w:t>
      </w:r>
    </w:p>
    <w:bookmarkEnd w:id="105"/>
    <w:bookmarkStart w:id="10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6">
        <w:r>
          <w:rPr>
            <w:rStyle w:val="Hyperlink"/>
          </w:rPr>
          <w:t xml:space="preserve">https://doi.org/10.1017/S0266466698144043</w:t>
        </w:r>
      </w:hyperlink>
      <w:r>
        <w:t xml:space="preserve">.</w:t>
      </w:r>
    </w:p>
    <w:bookmarkEnd w:id="107"/>
    <w:bookmarkStart w:id="10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8">
        <w:r>
          <w:rPr>
            <w:rStyle w:val="Hyperlink"/>
          </w:rPr>
          <w:t xml:space="preserve">https://doi.org/10.1016/0014-5793(75)80034-2</w:t>
        </w:r>
      </w:hyperlink>
      <w:r>
        <w:t xml:space="preserve">.</w:t>
      </w:r>
    </w:p>
    <w:bookmarkEnd w:id="109"/>
    <w:bookmarkStart w:id="11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0">
        <w:r>
          <w:rPr>
            <w:rStyle w:val="Hyperlink"/>
          </w:rPr>
          <w:t xml:space="preserve">https://www.ncbi.nlm.nih.gov/pubmed/156878</w:t>
        </w:r>
      </w:hyperlink>
      <w:r>
        <w:t xml:space="preserve">.</w:t>
      </w:r>
    </w:p>
    <w:bookmarkEnd w:id="111"/>
    <w:bookmarkStart w:id="113"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2">
        <w:r>
          <w:rPr>
            <w:rStyle w:val="Hyperlink"/>
          </w:rPr>
          <w:t xml:space="preserve">https://toml.io/en/v1.0.0-rc.1/</w:t>
        </w:r>
      </w:hyperlink>
      <w:r>
        <w:t xml:space="preserve">.</w:t>
      </w:r>
    </w:p>
    <w:bookmarkEnd w:id="113"/>
    <w:bookmarkStart w:id="115" w:name="ref-pydanticdevelopersPydantic2022"/>
    <w:p>
      <w:pPr>
        <w:pStyle w:val="Bibliography"/>
      </w:pPr>
      <w:r>
        <w:t xml:space="preserve">Pydantic developers. 2022.</w:t>
      </w:r>
      <w:r>
        <w:t xml:space="preserve"> </w:t>
      </w:r>
      <w:r>
        <w:t xml:space="preserve">“Pydantic.”</w:t>
      </w:r>
      <w:r>
        <w:t xml:space="preserve"> </w:t>
      </w:r>
      <w:hyperlink r:id="rId114">
        <w:r>
          <w:rPr>
            <w:rStyle w:val="Hyperlink"/>
          </w:rPr>
          <w:t xml:space="preserve">https://pypi.org/project/pydantic/</w:t>
        </w:r>
      </w:hyperlink>
      <w:r>
        <w:t xml:space="preserve">.</w:t>
      </w:r>
    </w:p>
    <w:bookmarkEnd w:id="115"/>
    <w:bookmarkStart w:id="117"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6">
        <w:r>
          <w:rPr>
            <w:rStyle w:val="Hyperlink"/>
          </w:rPr>
          <w:t xml:space="preserve">https://doi.org/10.1063/1.3528102</w:t>
        </w:r>
      </w:hyperlink>
      <w:r>
        <w:t xml:space="preserve">.</w:t>
      </w:r>
    </w:p>
    <w:bookmarkEnd w:id="117"/>
    <w:bookmarkStart w:id="119"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8">
        <w:r>
          <w:rPr>
            <w:rStyle w:val="Hyperlink"/>
          </w:rPr>
          <w:t xml:space="preserve">https://doi.org/10.1098/rsta.2011.0544</w:t>
        </w:r>
      </w:hyperlink>
      <w:r>
        <w:t xml:space="preserve">.</w:t>
      </w:r>
    </w:p>
    <w:bookmarkEnd w:id="119"/>
    <w:bookmarkStart w:id="121"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0">
        <w:r>
          <w:rPr>
            <w:rStyle w:val="Hyperlink"/>
          </w:rPr>
          <w:t xml:space="preserve">https://doi.org/10.1038/srep29635</w:t>
        </w:r>
      </w:hyperlink>
      <w:r>
        <w:t xml:space="preserve">.</w:t>
      </w:r>
    </w:p>
    <w:bookmarkEnd w:id="121"/>
    <w:bookmarkStart w:id="123"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2">
        <w:r>
          <w:rPr>
            <w:rStyle w:val="Hyperlink"/>
          </w:rPr>
          <w:t xml:space="preserve">https://doi.org/10.1371/journal.pcbi.1004195</w:t>
        </w:r>
      </w:hyperlink>
      <w:r>
        <w:t xml:space="preserve">.</w:t>
      </w:r>
    </w:p>
    <w:bookmarkEnd w:id="123"/>
    <w:bookmarkStart w:id="125"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4">
        <w:r>
          <w:rPr>
            <w:rStyle w:val="Hyperlink"/>
          </w:rPr>
          <w:t xml:space="preserve">https://doi.org/10.1371/journal.pcbi.1008646</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8">
        <w:r>
          <w:rPr>
            <w:rStyle w:val="Hyperlink"/>
          </w:rPr>
          <w:t xml:space="preserve">https://doi.org/10.1101/450163</w:t>
        </w:r>
      </w:hyperlink>
      <w:r>
        <w:t xml:space="preserve">.</w:t>
      </w:r>
    </w:p>
    <w:bookmarkEnd w:id="129"/>
    <w:bookmarkStart w:id="131"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0">
        <w:r>
          <w:rPr>
            <w:rStyle w:val="Hyperlink"/>
          </w:rPr>
          <w:t xml:space="preserve">https://github.com/stan-dev/cmdstanpy</w:t>
        </w:r>
      </w:hyperlink>
      <w:r>
        <w:t xml:space="preserve">.</w:t>
      </w:r>
    </w:p>
    <w:bookmarkEnd w:id="131"/>
    <w:bookmarkStart w:id="133"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2">
        <w:r>
          <w:rPr>
            <w:rStyle w:val="Hyperlink"/>
          </w:rPr>
          <w:t xml:space="preserve">https://doi.org/10.1093/bioinformatics/btx676</w:t>
        </w:r>
      </w:hyperlink>
      <w:r>
        <w:t xml:space="preserve">.</w:t>
      </w:r>
    </w:p>
    <w:bookmarkEnd w:id="133"/>
    <w:bookmarkStart w:id="135"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4">
        <w:r>
          <w:rPr>
            <w:rStyle w:val="Hyperlink"/>
          </w:rPr>
          <w:t xml:space="preserve">http://arxiv.org/abs/1804.06788</w:t>
        </w:r>
      </w:hyperlink>
      <w:r>
        <w:t xml:space="preserve">.</w:t>
      </w:r>
    </w:p>
    <w:bookmarkEnd w:id="135"/>
    <w:bookmarkStart w:id="136"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6"/>
    <w:bookmarkStart w:id="13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7">
        <w:r>
          <w:rPr>
            <w:rStyle w:val="Hyperlink"/>
          </w:rPr>
          <w:t xml:space="preserve">https://doi.org/10.1214/20-BA1221</w:t>
        </w:r>
      </w:hyperlink>
      <w:r>
        <w:t xml:space="preserve">.</w:t>
      </w:r>
    </w:p>
    <w:bookmarkEnd w:id="138"/>
    <w:bookmarkStart w:id="14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9">
        <w:r>
          <w:rPr>
            <w:rStyle w:val="Hyperlink"/>
          </w:rPr>
          <w:t xml:space="preserve">https://doi.org/10.1016/s1096-7176(03)00025-9</w:t>
        </w:r>
      </w:hyperlink>
      <w:r>
        <w:t xml:space="preserve">.</w:t>
      </w:r>
    </w:p>
    <w:bookmarkEnd w:id="140"/>
    <w:bookmarkStart w:id="14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1">
        <w:r>
          <w:rPr>
            <w:rStyle w:val="Hyperlink"/>
          </w:rPr>
          <w:t xml:space="preserve">https://doi.org/10.1371/journal.pcbi.1005227</w:t>
        </w:r>
      </w:hyperlink>
      <w:r>
        <w:t xml:space="preserve">.</w:t>
      </w:r>
    </w:p>
    <w:bookmarkEnd w:id="142"/>
    <w:bookmarkStart w:id="144"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3">
        <w:r>
          <w:rPr>
            <w:rStyle w:val="Hyperlink"/>
          </w:rPr>
          <w:t xml:space="preserve">https://doi.org/10.1002/btpr.284</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2023-10-27T12:08:10Z</dcterms:created>
  <dcterms:modified xsi:type="dcterms:W3CDTF">2023-10-27T12:08:10Z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