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5.png" ContentType="image/png"/>
  <Override PartName="/word/media/rId21.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1"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End w:id="31"/>
    <w:bookmarkStart w:id="50" w:name="findings"/>
    <w:p>
      <w:pPr>
        <w:pStyle w:val="Heading2"/>
      </w:pPr>
      <w:r>
        <w:t xml:space="preserve">2.2 Findings</w:t>
      </w:r>
    </w:p>
    <w:bookmarkStart w:id="32"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bookmarkEnd w:id="32"/>
    <w:bookmarkStart w:id="39"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3">
        <w:r>
          <w:rPr>
            <w:rStyle w:val="Hyperlink"/>
          </w:rPr>
          <w:t xml:space="preserve">https://github.com/biosustain/Methionine_model/tree/main/data/example_ode</w:t>
        </w:r>
      </w:hyperlink>
      <w:r>
        <w:t xml:space="preserve">.</w:t>
      </w:r>
    </w:p>
    <w:p>
      <w:pPr>
        <w:pStyle w:val="BodyText"/>
      </w:pPr>
      <w:r>
        <w:t xml:space="preserve">MCMC sampling for our comparison input yielded 200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4">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2</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2</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2</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8"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36" name="Picture"/>
                        <a:graphic>
                          <a:graphicData uri="http://schemas.openxmlformats.org/drawingml/2006/picture">
                            <pic:pic>
                              <pic:nvPicPr>
                                <pic:cNvPr descr="../figures/laplace.png" id="37" name="Picture"/>
                                <pic:cNvPicPr>
                                  <a:picLocks noChangeArrowheads="1" noChangeAspect="1"/>
                                </pic:cNvPicPr>
                              </pic:nvPicPr>
                              <pic:blipFill>
                                <a:blip r:embed="rId35"/>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38"/>
        </w:tc>
      </w:tr>
    </w:tbl>
    <w:bookmarkEnd w:id="39"/>
    <w:bookmarkStart w:id="44"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3</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m:oMath>
        <m:r>
          <m:t>G</m:t>
        </m:r>
        <m:r>
          <m:t>N</m:t>
        </m:r>
        <m:r>
          <m:t>M</m:t>
        </m:r>
        <m:r>
          <m:t>T</m:t>
        </m:r>
      </m:oMath>
      <w:r>
        <w:t xml:space="preserve"> </w:t>
      </w:r>
      <w:r>
        <w:t xml:space="preserve">is higher in condition 1 than in condition 2. GNMT is an irreversible</w:t>
      </w:r>
      <w:r>
        <w:t xml:space="preserve"> </w:t>
      </w:r>
      <w:r>
        <w:t xml:space="preserve">enzyme that is homotropically activated by its substrate, competitively</w:t>
      </w:r>
      <w:r>
        <w:t xml:space="preserve"> </w:t>
      </w:r>
      <w:r>
        <w:t xml:space="preserve">inhibited by its product and heterotropically inhibited. The diverse regulation</w:t>
      </w:r>
      <w:r>
        <w:t xml:space="preserve"> </w:t>
      </w:r>
      <w:r>
        <w:t xml:space="preserve">makes it the ideal test case to elucidate regulatory changes.</w:t>
      </w:r>
    </w:p>
    <w:p>
      <w:pPr>
        <w:pStyle w:val="BodyText"/>
      </w:pPr>
      <w:hyperlink w:anchor="fig-decomposition">
        <w:r>
          <w:rPr>
            <w:rStyle w:val="Hyperlink"/>
          </w:rPr>
          <w:t xml:space="preserve">Figure 4</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condition</w:t>
      </w:r>
      <w:r>
        <w:t xml:space="preserve"> </w:t>
      </w:r>
      <w:r>
        <w:t xml:space="preserve">1 compared with condition 2. A positive value indicates that the component</w:t>
      </w:r>
      <w:r>
        <w:t xml:space="preserve"> </w:t>
      </w:r>
      <w:r>
        <w:t xml:space="preserve">was increased in condition 1 relative to condition 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conditions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true values of the flux in each</w:t>
      </w:r>
      <w:r>
        <w:t xml:space="preserve"> </w:t>
      </w:r>
      <w:r>
        <w:t xml:space="preserve">condition, and propagates this uncertainty into the final conclusion. Our result</w:t>
      </w:r>
      <w:r>
        <w:t xml:space="preserve"> </w:t>
      </w:r>
      <w:r>
        <w:t xml:space="preserve">shows that Maud could be used in this realistic case not only to provide a user</w:t>
      </w:r>
      <w:r>
        <w:t xml:space="preserve"> </w:t>
      </w:r>
      <w:r>
        <w:t xml:space="preserve">with an explanation for an observed difference in fluxes, but also a reasonable</w:t>
      </w:r>
      <w:r>
        <w:t xml:space="preserve"> </w:t>
      </w:r>
      <w:r>
        <w:t xml:space="preserve">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conditions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conditions.</w:t>
            </w:r>
            <w:r>
              <w:t xml:space="preserve"> </w:t>
            </w:r>
            <w:r>
              <w:t xml:space="preserve">These plots identify why flux in condition 2 is higher than in condition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End w:id="51"/>
    <w:bookmarkStart w:id="63" w:name="methods"/>
    <w:p>
      <w:pPr>
        <w:pStyle w:val="Heading1"/>
      </w:pPr>
      <w:r>
        <w:t xml:space="preserve">3. 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2">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3">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5" w:name="input-format"/>
    <w:p>
      <w:pPr>
        <w:pStyle w:val="Heading2"/>
      </w:pPr>
      <w:r>
        <w:t xml:space="preserve">3.1 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4">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5"/>
    <w:bookmarkStart w:id="56" w:name="kinetic-model"/>
    <w:p>
      <w:pPr>
        <w:pStyle w:val="Heading2"/>
      </w:pPr>
      <w:r>
        <w:t xml:space="preserve">3.2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6"/>
    <w:bookmarkStart w:id="59" w:name="statistical-model"/>
    <w:p>
      <w:pPr>
        <w:pStyle w:val="Heading2"/>
      </w:pPr>
      <w:r>
        <w:t xml:space="preserve">3.3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7" w:name="prior-model"/>
    <w:p>
      <w:pPr>
        <w:pStyle w:val="Heading3"/>
      </w:pPr>
      <w:r>
        <w:t xml:space="preserve">3.3.1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7"/>
    <w:bookmarkStart w:id="58" w:name="measurement-model"/>
    <w:p>
      <w:pPr>
        <w:pStyle w:val="Heading3"/>
      </w:pPr>
      <w:r>
        <w:t xml:space="preserve">3.3.2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8"/>
    <w:bookmarkEnd w:id="59"/>
    <w:bookmarkStart w:id="62" w:name="implementation"/>
    <w:p>
      <w:pPr>
        <w:pStyle w:val="Heading2"/>
      </w:pPr>
      <w:r>
        <w:t xml:space="preserve">3.4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0" w:name="posterior-sampling"/>
    <w:p>
      <w:pPr>
        <w:pStyle w:val="Heading3"/>
      </w:pPr>
      <w:r>
        <w:t xml:space="preserve">3.4.1 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0"/>
    <w:bookmarkStart w:id="61" w:name="solving-the-steady-state-problem"/>
    <w:p>
      <w:pPr>
        <w:pStyle w:val="Heading3"/>
      </w:pPr>
      <w:r>
        <w:t xml:space="preserve">3.4.2 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1"/>
    <w:bookmarkEnd w:id="62"/>
    <w:bookmarkEnd w:id="63"/>
    <w:bookmarkStart w:id="64" w:name="supporting-information"/>
    <w:p>
      <w:pPr>
        <w:pStyle w:val="Heading1"/>
      </w:pPr>
      <w:r>
        <w:t xml:space="preserve">4. Supporting information</w:t>
      </w:r>
    </w:p>
    <w:p>
      <w:pPr>
        <w:pStyle w:val="FirstParagraph"/>
      </w:pPr>
      <w:r>
        <w:t xml:space="preserve">The document</w:t>
      </w:r>
      <w:r>
        <w:t xml:space="preserve"> </w:t>
      </w:r>
      <w:r>
        <w:rPr>
          <w:rStyle w:val="VerbatimChar"/>
        </w:rPr>
        <w:t xml:space="preserve">supplementary.pdf</w:t>
      </w:r>
      <w:r>
        <w:t xml:space="preserve"> </w:t>
      </w:r>
      <w:r>
        <w:t xml:space="preserve">contains the following information:</w:t>
      </w:r>
    </w:p>
    <w:p>
      <w:pPr>
        <w:numPr>
          <w:ilvl w:val="0"/>
          <w:numId w:val="1001"/>
        </w:numPr>
        <w:pStyle w:val="Compact"/>
      </w:pPr>
      <w:r>
        <w:t xml:space="preserve">Description of Maud’s kinetic model including parameter dimensions and rate</w:t>
      </w:r>
      <w:r>
        <w:t xml:space="preserve"> </w:t>
      </w:r>
      <w:r>
        <w:t xml:space="preserve">equations.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4"/>
    <w:bookmarkStart w:id="65"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5"/>
    <w:bookmarkStart w:id="145" w:name="references"/>
    <w:p>
      <w:pPr>
        <w:pStyle w:val="Heading1"/>
      </w:pPr>
      <w:r>
        <w:t xml:space="preserve">6. References</w:t>
      </w:r>
    </w:p>
    <w:bookmarkStart w:id="144" w:name="refs"/>
    <w:bookmarkStart w:id="67"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6">
        <w:r>
          <w:rPr>
            <w:rStyle w:val="Hyperlink"/>
          </w:rPr>
          <w:t xml:space="preserve">https://doi.org/10.18637/jss.v076.i01</w:t>
        </w:r>
      </w:hyperlink>
      <w:r>
        <w:t xml:space="preserve">.</w:t>
      </w:r>
    </w:p>
    <w:bookmarkEnd w:id="67"/>
    <w:bookmarkStart w:id="69"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8">
        <w:r>
          <w:rPr>
            <w:rStyle w:val="Hyperlink"/>
          </w:rPr>
          <w:t xml:space="preserve">https://doi.org/10.1038/nrm3695</w:t>
        </w:r>
      </w:hyperlink>
      <w:r>
        <w:t xml:space="preserve">.</w:t>
      </w:r>
    </w:p>
    <w:bookmarkEnd w:id="69"/>
    <w:bookmarkStart w:id="71"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0">
        <w:r>
          <w:rPr>
            <w:rStyle w:val="Hyperlink"/>
          </w:rPr>
          <w:t xml:space="preserve">https://doi.org/10.1016/j.cels.2018.04.009</w:t>
        </w:r>
      </w:hyperlink>
      <w:r>
        <w:t xml:space="preserve">.</w:t>
      </w:r>
    </w:p>
    <w:bookmarkEnd w:id="71"/>
    <w:bookmarkStart w:id="73"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2">
        <w:r>
          <w:rPr>
            <w:rStyle w:val="Hyperlink"/>
          </w:rPr>
          <w:t xml:space="preserve">https://pypi.org/project/click/</w:t>
        </w:r>
      </w:hyperlink>
      <w:r>
        <w:t xml:space="preserve">.</w:t>
      </w:r>
    </w:p>
    <w:bookmarkEnd w:id="73"/>
    <w:bookmarkStart w:id="75"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4">
        <w:r>
          <w:rPr>
            <w:rStyle w:val="Hyperlink"/>
          </w:rPr>
          <w:t xml:space="preserve">https://doi.org/10.1016/j.ymben.2016.09.005</w:t>
        </w:r>
      </w:hyperlink>
      <w:r>
        <w:t xml:space="preserve">.</w:t>
      </w:r>
    </w:p>
    <w:bookmarkEnd w:id="75"/>
    <w:bookmarkStart w:id="77"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6">
        <w:r>
          <w:rPr>
            <w:rStyle w:val="Hyperlink"/>
          </w:rPr>
          <w:t xml:space="preserve">https://doi.org/10.1126/sciadv.1600200</w:t>
        </w:r>
      </w:hyperlink>
      <w:r>
        <w:t xml:space="preserve">.</w:t>
      </w:r>
    </w:p>
    <w:bookmarkEnd w:id="77"/>
    <w:bookmarkStart w:id="78"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8"/>
    <w:bookmarkStart w:id="80"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9">
        <w:r>
          <w:rPr>
            <w:rStyle w:val="Hyperlink"/>
          </w:rPr>
          <w:t xml:space="preserve">http://arxiv.org/abs/2011.01808</w:t>
        </w:r>
      </w:hyperlink>
      <w:r>
        <w:t xml:space="preserve">.</w:t>
      </w:r>
    </w:p>
    <w:bookmarkEnd w:id="80"/>
    <w:bookmarkStart w:id="82"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1">
        <w:r>
          <w:rPr>
            <w:rStyle w:val="Hyperlink"/>
          </w:rPr>
          <w:t xml:space="preserve">https://doi.org/10.1016/j.ymben.2020.03.001</w:t>
        </w:r>
      </w:hyperlink>
      <w:r>
        <w:t xml:space="preserve">.</w:t>
      </w:r>
    </w:p>
    <w:bookmarkEnd w:id="82"/>
    <w:bookmarkStart w:id="84"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3">
        <w:r>
          <w:rPr>
            <w:rStyle w:val="Hyperlink"/>
          </w:rPr>
          <w:t xml:space="preserve">https://doi.org/10.1371/journal.pcbi.0030189</w:t>
        </w:r>
      </w:hyperlink>
      <w:r>
        <w:t xml:space="preserve">.</w:t>
      </w:r>
    </w:p>
    <w:bookmarkEnd w:id="84"/>
    <w:bookmarkStart w:id="86"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5">
        <w:r>
          <w:rPr>
            <w:rStyle w:val="Hyperlink"/>
          </w:rPr>
          <w:t xml:space="preserve">https://doi.org/10.15252/msb.20199110</w:t>
        </w:r>
      </w:hyperlink>
      <w:r>
        <w:t xml:space="preserve">.</w:t>
      </w:r>
    </w:p>
    <w:bookmarkEnd w:id="86"/>
    <w:bookmarkStart w:id="88"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7">
        <w:r>
          <w:rPr>
            <w:rStyle w:val="Hyperlink"/>
          </w:rPr>
          <w:t xml:space="preserve">https://doi.org/10.1371/journal.pcbi.1000076</w:t>
        </w:r>
      </w:hyperlink>
      <w:r>
        <w:t xml:space="preserve">.</w:t>
      </w:r>
    </w:p>
    <w:bookmarkEnd w:id="88"/>
    <w:bookmarkStart w:id="90"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9">
        <w:r>
          <w:rPr>
            <w:rStyle w:val="Hyperlink"/>
          </w:rPr>
          <w:t xml:space="preserve">https://doi.org/10.21105/joss.01143</w:t>
        </w:r>
      </w:hyperlink>
      <w:r>
        <w:t xml:space="preserve">.</w:t>
      </w:r>
    </w:p>
    <w:bookmarkEnd w:id="90"/>
    <w:bookmarkStart w:id="92"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1">
        <w:r>
          <w:rPr>
            <w:rStyle w:val="Hyperlink"/>
          </w:rPr>
          <w:t xml:space="preserve">https://doi.org/10.1016/j.cmet.2017.08.017</w:t>
        </w:r>
      </w:hyperlink>
      <w:r>
        <w:t xml:space="preserve">.</w:t>
      </w:r>
    </w:p>
    <w:bookmarkEnd w:id="92"/>
    <w:bookmarkStart w:id="94"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3">
        <w:r>
          <w:rPr>
            <w:rStyle w:val="Hyperlink"/>
          </w:rPr>
          <w:t xml:space="preserve">https://doi.org/10.3390/metabo11110749</w:t>
        </w:r>
      </w:hyperlink>
      <w:r>
        <w:t xml:space="preserve">.</w:t>
      </w:r>
    </w:p>
    <w:bookmarkEnd w:id="94"/>
    <w:bookmarkStart w:id="96"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5">
        <w:r>
          <w:rPr>
            <w:rStyle w:val="Hyperlink"/>
          </w:rPr>
          <w:t xml:space="preserve">https://doi.org/10.1093/bioinformatics/btq141</w:t>
        </w:r>
      </w:hyperlink>
      <w:r>
        <w:t xml:space="preserve">.</w:t>
      </w:r>
    </w:p>
    <w:bookmarkEnd w:id="96"/>
    <w:bookmarkStart w:id="98"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7">
        <w:r>
          <w:rPr>
            <w:rStyle w:val="Hyperlink"/>
          </w:rPr>
          <w:t xml:space="preserve">https://doi.org/10.5281/zenodo.1284375</w:t>
        </w:r>
      </w:hyperlink>
      <w:r>
        <w:t xml:space="preserve">.</w:t>
      </w:r>
    </w:p>
    <w:bookmarkEnd w:id="98"/>
    <w:bookmarkStart w:id="100"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99">
        <w:r>
          <w:rPr>
            <w:rStyle w:val="Hyperlink"/>
          </w:rPr>
          <w:t xml:space="preserve">https://doi.org/10.1093/bioadv/vbac066</w:t>
        </w:r>
      </w:hyperlink>
      <w:r>
        <w:t xml:space="preserve">.</w:t>
      </w:r>
    </w:p>
    <w:bookmarkEnd w:id="100"/>
    <w:bookmarkStart w:id="102"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1">
        <w:r>
          <w:rPr>
            <w:rStyle w:val="Hyperlink"/>
          </w:rPr>
          <w:t xml:space="preserve">https://doi.org/10.1016/S0022-2836(65)80285-6</w:t>
        </w:r>
      </w:hyperlink>
      <w:r>
        <w:t xml:space="preserve">.</w:t>
      </w:r>
    </w:p>
    <w:bookmarkEnd w:id="102"/>
    <w:bookmarkStart w:id="104"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3">
        <w:r>
          <w:rPr>
            <w:rStyle w:val="Hyperlink"/>
          </w:rPr>
          <w:t xml:space="preserve">https://doi.org/10.1016/j.febslet.2013.07.028</w:t>
        </w:r>
      </w:hyperlink>
      <w:r>
        <w:t xml:space="preserve">.</w:t>
      </w:r>
    </w:p>
    <w:bookmarkEnd w:id="104"/>
    <w:bookmarkStart w:id="106"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5">
        <w:r>
          <w:rPr>
            <w:rStyle w:val="Hyperlink"/>
          </w:rPr>
          <w:t xml:space="preserve">https://pypi.org/project/toml/</w:t>
        </w:r>
      </w:hyperlink>
      <w:r>
        <w:t xml:space="preserve">.</w:t>
      </w:r>
    </w:p>
    <w:bookmarkEnd w:id="106"/>
    <w:bookmarkStart w:id="108"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07">
        <w:r>
          <w:rPr>
            <w:rStyle w:val="Hyperlink"/>
          </w:rPr>
          <w:t xml:space="preserve">https://doi.org/10.1017/S0266466698144043</w:t>
        </w:r>
      </w:hyperlink>
      <w:r>
        <w:t xml:space="preserve">.</w:t>
      </w:r>
    </w:p>
    <w:bookmarkEnd w:id="108"/>
    <w:bookmarkStart w:id="110"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09">
        <w:r>
          <w:rPr>
            <w:rStyle w:val="Hyperlink"/>
          </w:rPr>
          <w:t xml:space="preserve">https://doi.org/10.1016/0014-5793(75)80034-2</w:t>
        </w:r>
      </w:hyperlink>
      <w:r>
        <w:t xml:space="preserve">.</w:t>
      </w:r>
    </w:p>
    <w:bookmarkEnd w:id="110"/>
    <w:bookmarkStart w:id="112"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1">
        <w:r>
          <w:rPr>
            <w:rStyle w:val="Hyperlink"/>
          </w:rPr>
          <w:t xml:space="preserve">https://www.ncbi.nlm.nih.gov/pubmed/156878</w:t>
        </w:r>
      </w:hyperlink>
      <w:r>
        <w:t xml:space="preserve">.</w:t>
      </w:r>
    </w:p>
    <w:bookmarkEnd w:id="112"/>
    <w:bookmarkStart w:id="114"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3">
        <w:r>
          <w:rPr>
            <w:rStyle w:val="Hyperlink"/>
          </w:rPr>
          <w:t xml:space="preserve">https://toml.io/en/v1.0.0-rc.1/</w:t>
        </w:r>
      </w:hyperlink>
      <w:r>
        <w:t xml:space="preserve">.</w:t>
      </w:r>
    </w:p>
    <w:bookmarkEnd w:id="114"/>
    <w:bookmarkStart w:id="116" w:name="ref-pydanticdevelopersPydantic2022"/>
    <w:p>
      <w:pPr>
        <w:pStyle w:val="Bibliography"/>
      </w:pPr>
      <w:r>
        <w:t xml:space="preserve">Pydantic developers. 2022.</w:t>
      </w:r>
      <w:r>
        <w:t xml:space="preserve"> </w:t>
      </w:r>
      <w:r>
        <w:t xml:space="preserve">“Pydantic.”</w:t>
      </w:r>
      <w:r>
        <w:t xml:space="preserve"> </w:t>
      </w:r>
      <w:hyperlink r:id="rId115">
        <w:r>
          <w:rPr>
            <w:rStyle w:val="Hyperlink"/>
          </w:rPr>
          <w:t xml:space="preserve">https://pypi.org/project/pydantic/</w:t>
        </w:r>
      </w:hyperlink>
      <w:r>
        <w:t xml:space="preserve">.</w:t>
      </w:r>
    </w:p>
    <w:bookmarkEnd w:id="116"/>
    <w:bookmarkStart w:id="118"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7">
        <w:r>
          <w:rPr>
            <w:rStyle w:val="Hyperlink"/>
          </w:rPr>
          <w:t xml:space="preserve">https://doi.org/10.1063/1.3528102</w:t>
        </w:r>
      </w:hyperlink>
      <w:r>
        <w:t xml:space="preserve">.</w:t>
      </w:r>
    </w:p>
    <w:bookmarkEnd w:id="118"/>
    <w:bookmarkStart w:id="120"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19">
        <w:r>
          <w:rPr>
            <w:rStyle w:val="Hyperlink"/>
          </w:rPr>
          <w:t xml:space="preserve">https://doi.org/10.1098/rsta.2011.0544</w:t>
        </w:r>
      </w:hyperlink>
      <w:r>
        <w:t xml:space="preserve">.</w:t>
      </w:r>
    </w:p>
    <w:bookmarkEnd w:id="120"/>
    <w:bookmarkStart w:id="122"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1">
        <w:r>
          <w:rPr>
            <w:rStyle w:val="Hyperlink"/>
          </w:rPr>
          <w:t xml:space="preserve">https://doi.org/10.1038/srep29635</w:t>
        </w:r>
      </w:hyperlink>
      <w:r>
        <w:t xml:space="preserve">.</w:t>
      </w:r>
    </w:p>
    <w:bookmarkEnd w:id="122"/>
    <w:bookmarkStart w:id="124"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3">
        <w:r>
          <w:rPr>
            <w:rStyle w:val="Hyperlink"/>
          </w:rPr>
          <w:t xml:space="preserve">https://doi.org/10.1371/journal.pcbi.1008646</w:t>
        </w:r>
      </w:hyperlink>
      <w:r>
        <w:t xml:space="preserve">.</w:t>
      </w:r>
    </w:p>
    <w:bookmarkEnd w:id="124"/>
    <w:bookmarkStart w:id="126"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5">
        <w:r>
          <w:rPr>
            <w:rStyle w:val="Hyperlink"/>
          </w:rPr>
          <w:t xml:space="preserve">https://doi.org/10.1115/DETC2005-85597</w:t>
        </w:r>
      </w:hyperlink>
      <w:r>
        <w:t xml:space="preserve">.</w:t>
      </w:r>
    </w:p>
    <w:bookmarkEnd w:id="126"/>
    <w:bookmarkStart w:id="128"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7">
        <w:r>
          <w:rPr>
            <w:rStyle w:val="Hyperlink"/>
          </w:rPr>
          <w:t xml:space="preserve">https://doi.org/10.1101/450163</w:t>
        </w:r>
      </w:hyperlink>
      <w:r>
        <w:t xml:space="preserve">.</w:t>
      </w:r>
    </w:p>
    <w:bookmarkEnd w:id="128"/>
    <w:bookmarkStart w:id="130"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29">
        <w:r>
          <w:rPr>
            <w:rStyle w:val="Hyperlink"/>
          </w:rPr>
          <w:t xml:space="preserve">https://github.com/stan-dev/cmdstanpy</w:t>
        </w:r>
      </w:hyperlink>
      <w:r>
        <w:t xml:space="preserve">.</w:t>
      </w:r>
    </w:p>
    <w:bookmarkEnd w:id="130"/>
    <w:bookmarkStart w:id="132"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1">
        <w:r>
          <w:rPr>
            <w:rStyle w:val="Hyperlink"/>
          </w:rPr>
          <w:t xml:space="preserve">https://doi.org/10.1093/bioinformatics/btx676</w:t>
        </w:r>
      </w:hyperlink>
      <w:r>
        <w:t xml:space="preserve">.</w:t>
      </w:r>
    </w:p>
    <w:bookmarkEnd w:id="132"/>
    <w:bookmarkStart w:id="134"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3">
        <w:r>
          <w:rPr>
            <w:rStyle w:val="Hyperlink"/>
          </w:rPr>
          <w:t xml:space="preserve">http://arxiv.org/abs/1804.06788</w:t>
        </w:r>
      </w:hyperlink>
      <w:r>
        <w:t xml:space="preserve">.</w:t>
      </w:r>
    </w:p>
    <w:bookmarkEnd w:id="134"/>
    <w:bookmarkStart w:id="135"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5"/>
    <w:bookmarkStart w:id="137"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6">
        <w:r>
          <w:rPr>
            <w:rStyle w:val="Hyperlink"/>
          </w:rPr>
          <w:t xml:space="preserve">https://doi.org/10.1214/20-BA1221</w:t>
        </w:r>
      </w:hyperlink>
      <w:r>
        <w:t xml:space="preserve">.</w:t>
      </w:r>
    </w:p>
    <w:bookmarkEnd w:id="137"/>
    <w:bookmarkStart w:id="139"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8">
        <w:r>
          <w:rPr>
            <w:rStyle w:val="Hyperlink"/>
          </w:rPr>
          <w:t xml:space="preserve">https://doi.org/10.1016/s1096-7176(03)00025-9</w:t>
        </w:r>
      </w:hyperlink>
      <w:r>
        <w:t xml:space="preserve">.</w:t>
      </w:r>
    </w:p>
    <w:bookmarkEnd w:id="139"/>
    <w:bookmarkStart w:id="141"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0">
        <w:r>
          <w:rPr>
            <w:rStyle w:val="Hyperlink"/>
          </w:rPr>
          <w:t xml:space="preserve">https://doi.org/10.1371/journal.pcbi.1005227</w:t>
        </w:r>
      </w:hyperlink>
      <w:r>
        <w:t xml:space="preserve">.</w:t>
      </w:r>
    </w:p>
    <w:bookmarkEnd w:id="141"/>
    <w:bookmarkStart w:id="143"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2">
        <w:r>
          <w:rPr>
            <w:rStyle w:val="Hyperlink"/>
          </w:rPr>
          <w:t xml:space="preserve">https://doi.org/10.1002/btpr.284</w:t>
        </w:r>
      </w:hyperlink>
      <w:r>
        <w:t xml:space="preserve">.</w:t>
      </w:r>
    </w:p>
    <w:bookmarkEnd w:id="143"/>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hyperlink" Id="rId133" Target="http://arxiv.org/abs/1804.06788" TargetMode="External" /><Relationship Type="http://schemas.openxmlformats.org/officeDocument/2006/relationships/hyperlink" Id="rId79" Target="http://arxiv.org/abs/2011.01808" TargetMode="External" /><Relationship Type="http://schemas.openxmlformats.org/officeDocument/2006/relationships/hyperlink" Id="rId142" Target="https://doi.org/10.1002/btpr.284" TargetMode="External" /><Relationship Type="http://schemas.openxmlformats.org/officeDocument/2006/relationships/hyperlink" Id="rId109" Target="https://doi.org/10.1016/0014-5793(75)80034-2" TargetMode="External" /><Relationship Type="http://schemas.openxmlformats.org/officeDocument/2006/relationships/hyperlink" Id="rId101"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3"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07" Target="https://doi.org/10.1017/S0266466698144043" TargetMode="External" /><Relationship Type="http://schemas.openxmlformats.org/officeDocument/2006/relationships/hyperlink" Id="rId68" Target="https://doi.org/10.1038/nrm3695" TargetMode="External" /><Relationship Type="http://schemas.openxmlformats.org/officeDocument/2006/relationships/hyperlink" Id="rId121" Target="https://doi.org/10.1038/srep29635" TargetMode="External" /><Relationship Type="http://schemas.openxmlformats.org/officeDocument/2006/relationships/hyperlink" Id="rId117" Target="https://doi.org/10.1063/1.3528102" TargetMode="External" /><Relationship Type="http://schemas.openxmlformats.org/officeDocument/2006/relationships/hyperlink" Id="rId99"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19"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123" Target="https://doi.org/10.1371/journal.pcbi.1008646" TargetMode="External" /><Relationship Type="http://schemas.openxmlformats.org/officeDocument/2006/relationships/hyperlink" Id="rId85" Target="https://doi.org/10.15252/msb.20199110"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97"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3"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5" Target="https://pypi.org/project/pydantic/" TargetMode="External" /><Relationship Type="http://schemas.openxmlformats.org/officeDocument/2006/relationships/hyperlink" Id="rId105" Target="https://pypi.org/project/toml/" TargetMode="External" /><Relationship Type="http://schemas.openxmlformats.org/officeDocument/2006/relationships/hyperlink" Id="rId113" Target="https://toml.io/en/v1.0.0-rc.1/" TargetMode="External" /><Relationship Type="http://schemas.openxmlformats.org/officeDocument/2006/relationships/hyperlink" Id="rId111"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3" Target="http://arxiv.org/abs/1804.06788" TargetMode="External" /><Relationship Type="http://schemas.openxmlformats.org/officeDocument/2006/relationships/hyperlink" Id="rId79" Target="http://arxiv.org/abs/2011.01808" TargetMode="External" /><Relationship Type="http://schemas.openxmlformats.org/officeDocument/2006/relationships/hyperlink" Id="rId142" Target="https://doi.org/10.1002/btpr.284" TargetMode="External" /><Relationship Type="http://schemas.openxmlformats.org/officeDocument/2006/relationships/hyperlink" Id="rId109" Target="https://doi.org/10.1016/0014-5793(75)80034-2" TargetMode="External" /><Relationship Type="http://schemas.openxmlformats.org/officeDocument/2006/relationships/hyperlink" Id="rId101"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3"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07" Target="https://doi.org/10.1017/S0266466698144043" TargetMode="External" /><Relationship Type="http://schemas.openxmlformats.org/officeDocument/2006/relationships/hyperlink" Id="rId68" Target="https://doi.org/10.1038/nrm3695" TargetMode="External" /><Relationship Type="http://schemas.openxmlformats.org/officeDocument/2006/relationships/hyperlink" Id="rId121" Target="https://doi.org/10.1038/srep29635" TargetMode="External" /><Relationship Type="http://schemas.openxmlformats.org/officeDocument/2006/relationships/hyperlink" Id="rId117" Target="https://doi.org/10.1063/1.3528102" TargetMode="External" /><Relationship Type="http://schemas.openxmlformats.org/officeDocument/2006/relationships/hyperlink" Id="rId99"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19"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123" Target="https://doi.org/10.1371/journal.pcbi.1008646" TargetMode="External" /><Relationship Type="http://schemas.openxmlformats.org/officeDocument/2006/relationships/hyperlink" Id="rId85" Target="https://doi.org/10.15252/msb.20199110"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97"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3"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5" Target="https://pypi.org/project/pydantic/" TargetMode="External" /><Relationship Type="http://schemas.openxmlformats.org/officeDocument/2006/relationships/hyperlink" Id="rId105" Target="https://pypi.org/project/toml/" TargetMode="External" /><Relationship Type="http://schemas.openxmlformats.org/officeDocument/2006/relationships/hyperlink" Id="rId113" Target="https://toml.io/en/v1.0.0-rc.1/" TargetMode="External" /><Relationship Type="http://schemas.openxmlformats.org/officeDocument/2006/relationships/hyperlink" Id="rId111"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2023-10-30T15:25:20Z</dcterms:created>
  <dcterms:modified xsi:type="dcterms:W3CDTF">2023-10-30T15:25:20Z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