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34.png" ContentType="image/png"/>
  <Override PartName="/word/media/rId21.png" ContentType="image/png"/>
  <Override PartName="/word/media/rId40.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Title"/>
      </w:pPr>
      <w:r>
        <w:t xml:space="preserve">Abstract</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w:t>
      </w:r>
      <w:r>
        <w:t xml:space="preserve"> </w:t>
      </w:r>
      <w:r>
        <w:t xml:space="preserve">(Siskos et al. 2017; Tabb et al. 2010; Lu et al. 2017)</w:t>
      </w:r>
      <w:r>
        <w:t xml:space="preserve">.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where C represents a vector of metabolite concentrations,</w:t>
      </w:r>
      <w:r>
        <w:t xml:space="preserve"> </w:t>
      </w:r>
      <m:oMath>
        <m:r>
          <m:t>v</m:t>
        </m:r>
      </m:oMath>
      <w:r>
        <w:t xml:space="preserve"> </w:t>
      </w:r>
      <w:r>
        <w:t xml:space="preserve">is a vector of</w:t>
      </w:r>
      <w:r>
        <w:t xml:space="preserve"> </w:t>
      </w:r>
      <w:r>
        <w:t xml:space="preserve">reaction rates, and</w:t>
      </w:r>
      <w:r>
        <w:t xml:space="preserve"> </w:t>
      </w:r>
      <m:oMath>
        <m:r>
          <m:t>μ</m:t>
        </m:r>
      </m:oMath>
      <w:r>
        <w:t xml:space="preserve"> </w:t>
      </w:r>
      <w:r>
        <w:t xml:space="preserve">is the growth rate. The second term represents the</w:t>
      </w:r>
      <w:r>
        <w:t xml:space="preserve"> </w:t>
      </w:r>
      <w:r>
        <w:t xml:space="preserve">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details about Bayesian inference</w:t>
      </w:r>
      <w:r>
        <w:t xml:space="preserve"> </w:t>
      </w:r>
      <w:r>
        <w:t xml:space="preserve">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parameter models in which</w:t>
      </w:r>
      <w:r>
        <w:t xml:space="preserve"> </w:t>
      </w:r>
      <w:r>
        <w:t xml:space="preserve">measurable quantities are sensitive to combinations of parameters but not to</w:t>
      </w:r>
      <w:r>
        <w:t xml:space="preserve"> </w:t>
      </w:r>
      <w:r>
        <w:t xml:space="preserve">individual marginal parameter values are ubiquitous in models of biological</w:t>
      </w:r>
      <w:r>
        <w:t xml:space="preserve"> </w:t>
      </w:r>
      <w:r>
        <w:t xml:space="preserve">systems</w:t>
      </w:r>
      <w:r>
        <w:t xml:space="preserve"> </w:t>
      </w:r>
      <w:r>
        <w:t xml:space="preserve">(Gutenkunst et al. 2007; White et al. 2016)</w:t>
      </w:r>
      <w:r>
        <w:t xml:space="preserve">. The parameter correlation structure</w:t>
      </w:r>
      <w:r>
        <w:t xml:space="preserve"> </w:t>
      </w:r>
      <w:r>
        <w:t xml:space="preserve">represents the set of potential models that describe the observed data. As we</w:t>
      </w:r>
      <w:r>
        <w:t xml:space="preserve"> </w:t>
      </w:r>
      <w:r>
        <w:t xml:space="preserve">demonstrate later, capturing this correlation structure is difficult outside a</w:t>
      </w:r>
      <w:r>
        <w:t xml:space="preserve"> </w:t>
      </w:r>
      <w:r>
        <w:t xml:space="preserve">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 Markov</w:t>
      </w:r>
      <w:r>
        <w:t xml:space="preserve"> </w:t>
      </w:r>
      <w:r>
        <w:t xml:space="preserve">Chain Monte Carlo (MCMC). Modern MCMC algorithms enable exploration of</w:t>
      </w:r>
      <w:r>
        <w:t xml:space="preserve"> </w:t>
      </w:r>
      <w:r>
        <w:t xml:space="preserve">high-dimensional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(2019)</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2019)</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suffer from a lack of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provides a Bayesian kinetic model that combines</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0"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bookmarkStart w:id="24" w:name="fig-methionine-reactions"/>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bookmarkStart w:id="27"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w:t>
      </w:r>
    </w:p>
    <w:p>
      <w:pPr>
        <w:pStyle w:val="BodyText"/>
      </w:pPr>
      <w:r>
        <w:t xml:space="preserve">For enzyme and metabolite concentration measurements we specified a standard</w:t>
      </w:r>
      <w:r>
        <w:t xml:space="preserve"> </w:t>
      </w:r>
      <w:r>
        <w:t xml:space="preserve">deviation of 0.1 on natural logarithmic scale, corresponding to approximately</w:t>
      </w:r>
      <w:r>
        <w:t xml:space="preserve"> </w:t>
      </w:r>
      <w:r>
        <w:t xml:space="preserve">10% measurement error. For each reaction measurement a measurement standard</w:t>
      </w:r>
      <w:r>
        <w:t xml:space="preserve"> </w:t>
      </w:r>
      <w:r>
        <w:t xml:space="preserve">deviation of approximately 10% of the 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free fluxes.</w:t>
      </w:r>
    </w:p>
    <w:p>
      <w:pPr>
        <w:pStyle w:val="BodyText"/>
      </w:pPr>
      <w:r>
        <w:t xml:space="preserve">The simulated experiments and measurements were split into a training and a</w:t>
      </w:r>
      <w:r>
        <w:t xml:space="preserve"> </w:t>
      </w:r>
      <w:r>
        <w:t xml:space="preserve">validation dataset in a way that achieved a large difference in flux between the</w:t>
      </w:r>
      <w:r>
        <w:t xml:space="preserve"> </w:t>
      </w:r>
      <w:r>
        <w:t xml:space="preserve">two categories. This was done to evaluate whether the fitted model is able to</w:t>
      </w:r>
      <w:r>
        <w:t xml:space="preserve"> </w:t>
      </w:r>
      <w:r>
        <w:t xml:space="preserve">extrapolate to conditions well outside the training dataset rather than merely</w:t>
      </w:r>
      <w:r>
        <w:t xml:space="preserve"> </w:t>
      </w:r>
      <w:r>
        <w:t xml:space="preserve">interpolating between the training data without necessarily learning the system.</w:t>
      </w:r>
    </w:p>
    <w:p>
      <w:pPr>
        <w:pStyle w:val="BodyText"/>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6">
        <w:r>
          <w:rPr>
            <w:rStyle w:val="Hyperlink"/>
          </w:rPr>
          <w:t xml:space="preserve">https://github.com/biosustain/Methionine_model/tree/main/data</w:t>
        </w:r>
      </w:hyperlink>
      <w:r>
        <w:t xml:space="preserve">.</w:t>
      </w:r>
    </w:p>
    <w:bookmarkEnd w:id="27"/>
    <w:bookmarkStart w:id="39" w:name="posterior-inference"/>
    <w:p>
      <w:pPr>
        <w:pStyle w:val="Heading2"/>
      </w:pPr>
      <w:r>
        <w:t xml:space="preserve">2.2 Posterior inference</w:t>
      </w:r>
    </w:p>
    <w:p>
      <w:pPr>
        <w:pStyle w:val="FirstParagraph"/>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p>
      <w:pPr>
        <w:pStyle w:val="BodyText"/>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w:t>
      </w:r>
      <w:r>
        <w:t xml:space="preserve"> </w:t>
      </w:r>
      <w:r>
        <w:t xml:space="preserve">that these are highly correlated. The marginal posterior distributions</w:t>
      </w:r>
      <w:r>
        <w:t xml:space="preserve"> </w:t>
      </w:r>
      <w:r>
        <w:t xml:space="preserve">for most kinetic parameters did not shrink significantly compared to the</w:t>
      </w:r>
      <w:r>
        <w:t xml:space="preserve"> </w:t>
      </w:r>
      <w:r>
        <w:t xml:space="preserve">corresponding marginal prior distributions, even though these parameters’</w:t>
      </w:r>
      <w:r>
        <w:t xml:space="preserve"> </w:t>
      </w:r>
      <w:r>
        <w:t xml:space="preserve">joint posterior distribution contained enough information to make accurate out</w:t>
      </w:r>
      <w:r>
        <w:t xml:space="preserve"> </w:t>
      </w:r>
      <w:r>
        <w:t xml:space="preserve">of sample predictions. In some cases, there were two-dimensional correlations</w:t>
      </w:r>
      <w:r>
        <w:t xml:space="preserve"> </w:t>
      </w:r>
      <w:r>
        <w:t xml:space="preserve">such as the one shown in the bottom left of</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which shows two marginally independent parameters.</w:t>
      </w:r>
    </w:p>
    <w:p>
      <w:pPr>
        <w:pStyle w:val="BodyText"/>
      </w:pPr>
      <w:r>
        <w:t xml:space="preserve">These results show that Maud can achieve an adequate fit to a realistic</w:t>
      </w:r>
      <w:r>
        <w:t xml:space="preserve"> </w:t>
      </w:r>
      <w:r>
        <w:t xml:space="preserve">pathway-sized dataset. This was achieved without fixing the marginal values</w:t>
      </w:r>
      <w:r>
        <w:t xml:space="preserve"> </w:t>
      </w:r>
      <w:r>
        <w:t xml:space="preserve">of kinetic parameters: the information required to make good predictions was</w:t>
      </w:r>
      <w:r>
        <w:t xml:space="preserve"> </w:t>
      </w:r>
      <w:r>
        <w:t xml:space="preserve">contained in the correlation structure of the joint posterior distribution.</w:t>
      </w:r>
      <w:r>
        <w:t xml:space="preserve"> </w:t>
      </w:r>
      <w:r>
        <w:t xml:space="preserve">This finding is consistent with previous analyses of biological systems that</w:t>
      </w:r>
      <w:r>
        <w:t xml:space="preserve"> </w:t>
      </w:r>
      <w:r>
        <w:t xml:space="preserve">found they are</w:t>
      </w:r>
      <w:r>
        <w:t xml:space="preserve"> </w:t>
      </w:r>
      <w:r>
        <w:t xml:space="preserve">“</w:t>
      </w:r>
      <w:r>
        <w:t xml:space="preserve">sloppy</w:t>
      </w:r>
      <w:r>
        <w:t xml:space="preserve">”</w:t>
      </w:r>
      <w:r>
        <w:t xml:space="preserve">, that is, sensitive to parameter combinations rather</w:t>
      </w:r>
      <w:r>
        <w:t xml:space="preserve"> </w:t>
      </w:r>
      <w:r>
        <w:t xml:space="preserve">than marginal parameter values, with important combinations, scales and regions</w:t>
      </w:r>
      <w:r>
        <w:t xml:space="preserve"> </w:t>
      </w:r>
      <w:r>
        <w:t xml:space="preserve">of sensitivity being difficult to 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in the next section.</w:t>
      </w:r>
    </w:p>
    <w:bookmarkStart w:id="31" w:name="fig-posterior"/>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5411805"/>
                  <wp:effectExtent b="0" l="0" r="0" t="0"/>
                  <wp:docPr descr="" title="" id="29" name="Picture"/>
                  <a:graphic>
                    <a:graphicData uri="http://schemas.openxmlformats.org/drawingml/2006/picture">
                      <pic:pic>
                        <pic:nvPicPr>
                          <pic:cNvPr descr="./figures/posterior.png" id="30" name="Picture"/>
                          <pic:cNvPicPr>
                            <a:picLocks noChangeArrowheads="1" noChangeAspect="1"/>
                          </pic:cNvPicPr>
                        </pic:nvPicPr>
                        <pic:blipFill>
                          <a:blip r:embed="rId28"/>
                          <a:stretch>
                            <a:fillRect/>
                          </a:stretch>
                        </pic:blipFill>
                        <pic:spPr bwMode="auto">
                          <a:xfrm>
                            <a:off x="0" y="0"/>
                            <a:ext cx="5334000" cy="5411805"/>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w:t>
      </w:r>
      <w:r>
        <w:t xml:space="preserve"> </w:t>
      </w:r>
      <w:r>
        <w:t xml:space="preserve">a good fit. (</w:t>
      </w:r>
      <w:r>
        <w:rPr>
          <w:bCs/>
          <w:b/>
        </w:rPr>
        <w:t xml:space="preserve">Bottom left</w:t>
      </w:r>
      <w:r>
        <w:t xml:space="preserve">) Pairwise marginal posterior distribution</w:t>
      </w:r>
      <w:r>
        <w:t xml:space="preserve"> </w:t>
      </w:r>
      <w:r>
        <w:t xml:space="preserve">for two 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 (</w:t>
      </w:r>
      <w:r>
        <w:rPr>
          <w:bCs/>
          <w:b/>
        </w:rPr>
        <w:t xml:space="preserve">Bottom right</w:t>
      </w:r>
      <w:r>
        <w:t xml:space="preserve">) Pairwise marginal posterior distribution</w:t>
      </w:r>
      <w:r>
        <w:t xml:space="preserve"> </w:t>
      </w:r>
      <w:r>
        <w:t xml:space="preserve">for two uncorrelated 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1"/>
    <w:bookmarkStart w:id="38" w:name="sec-laplace"/>
    <w:p>
      <w:pPr>
        <w:pStyle w:val="Heading3"/>
      </w:pPr>
      <w:r>
        <w:t xml:space="preserve">2.2.1 Comparison with Laplace approximation</w:t>
      </w:r>
    </w:p>
    <w:p>
      <w:pPr>
        <w:pStyle w:val="FirstParagraph"/>
      </w:pPr>
      <w:r>
        <w:t xml:space="preserve">This current case study illustrates the type of kinetic model and dataset that</w:t>
      </w:r>
      <w:r>
        <w:t xml:space="preserve"> </w:t>
      </w:r>
      <w:r>
        <w:t xml:space="preserve">Maud 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 The Laplace approximation, in which the</w:t>
      </w:r>
      <w:r>
        <w:t xml:space="preserve"> </w:t>
      </w:r>
      <w:r>
        <w:t xml:space="preserve">Fisher information matrix is used to calculate a normal approximation around</w:t>
      </w:r>
      <w:r>
        <w:t xml:space="preserve"> </w:t>
      </w:r>
      <w:r>
        <w:t xml:space="preserve">the maximum a posteriori parameter configuration, is a popular strategy for</w:t>
      </w:r>
      <w:r>
        <w:t xml:space="preserve"> </w:t>
      </w:r>
      <w:r>
        <w:t xml:space="preserve">generating approximate posterior samples while avoiding a full MCMC approach.</w:t>
      </w:r>
    </w:p>
    <w:p>
      <w:pPr>
        <w:pStyle w:val="BodyText"/>
      </w:pPr>
      <w:r>
        <w:t xml:space="preserve">Using the recently implemented Laplace approximation in Stan, we were unable to</w:t>
      </w:r>
      <w:r>
        <w:t xml:space="preserve"> </w:t>
      </w:r>
      <w:r>
        <w:t xml:space="preserve">generate approximate posterior samples for our main methionine cycle case study</w:t>
      </w:r>
      <w:r>
        <w:t xml:space="preserve"> </w:t>
      </w:r>
      <w:r>
        <w:t xml:space="preserve">using Laplace approximation, as the algorithm could not recover from solver</w:t>
      </w:r>
      <w:r>
        <w:t xml:space="preserve"> </w:t>
      </w:r>
      <w:r>
        <w:t xml:space="preserve">failures caused by unrealistic parameter configurations. This is not an inherent</w:t>
      </w:r>
      <w:r>
        <w:t xml:space="preserve"> </w:t>
      </w:r>
      <w:r>
        <w:t xml:space="preserve">issue of the Laplace transformation but highlights some of the challenges around</w:t>
      </w:r>
      <w:r>
        <w:t xml:space="preserve"> </w:t>
      </w:r>
      <w:r>
        <w:t xml:space="preserve">solving</w:t>
      </w:r>
      <w:r>
        <w:t xml:space="preserve"> </w:t>
      </w:r>
      <w:r>
        <w:t xml:space="preserve"> </w:t>
      </w:r>
      <w:r>
        <w:t xml:space="preserve">for real problems.</w:t>
      </w:r>
    </w:p>
    <w:p>
      <w:pPr>
        <w:pStyle w:val="BodyText"/>
      </w:pPr>
      <w:r>
        <w:t xml:space="preserve">In order still to assess the potential use of the Laplace approximation, we made</w:t>
      </w:r>
      <w:r>
        <w:t xml:space="preserve"> </w:t>
      </w:r>
      <w:r>
        <w:t xml:space="preserve">a comparison for a simpler model. This input can be found at</w:t>
      </w:r>
      <w:r>
        <w:t xml:space="preserve"> </w:t>
      </w:r>
      <w:hyperlink r:id="rId32">
        <w:r>
          <w:rPr>
            <w:rStyle w:val="Hyperlink"/>
          </w:rPr>
          <w:t xml:space="preserve">https://github.com/biosustain/Methionine_model/tree/main/data/example_ode</w:t>
        </w:r>
      </w:hyperlink>
      <w:r>
        <w:t xml:space="preserve">.</w:t>
      </w:r>
      <w:r>
        <w:t xml:space="preserve"> </w:t>
      </w:r>
      <w:r>
        <w:t xml:space="preserve">MCMC sampling for this simpler model yielded 800 samples in 625 minutes, while</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3">
        <w:r>
          <w:rPr>
            <w:rStyle w:val="Hyperlink"/>
          </w:rPr>
          <w:t xml:space="preserve">https://github.com/biosustain/Methionine_model/tree/main/results</w:t>
        </w:r>
      </w:hyperlink>
      <w:r>
        <w:t xml:space="preserve">.</w:t>
      </w:r>
    </w:p>
    <w:p>
      <w:pPr>
        <w:pStyle w:val="BodyText"/>
      </w:pPr>
      <w:r>
        <w:t xml:space="preserve">Comparing the samples generated using each method shows that the Laplace</w:t>
      </w:r>
      <w:r>
        <w:t xml:space="preserve"> </w:t>
      </w:r>
      <w:r>
        <w:t xml:space="preserve">approximation does not provide a good approximation to the true posterior</w:t>
      </w:r>
      <w:r>
        <w:t xml:space="preserve"> </w:t>
      </w:r>
      <w:r>
        <w:t xml:space="preserve">distribution in this case (</w:t>
      </w:r>
      <w:hyperlink w:anchor="fig-laplace">
        <w:r>
          <w:rPr>
            <w:rStyle w:val="Hyperlink"/>
          </w:rPr>
          <w:t xml:space="preserve">Figure 3</w:t>
        </w:r>
      </w:hyperlink>
      <w:r>
        <w:t xml:space="preserve">). As can be seen from the top left</w:t>
      </w:r>
      <w:r>
        <w:t xml:space="preserve"> </w:t>
      </w:r>
      <w:r>
        <w:t xml:space="preserve">plot, the total log probability density is clearly different and this was</w:t>
      </w:r>
      <w:r>
        <w:t xml:space="preserve"> </w:t>
      </w:r>
      <w:r>
        <w:t xml:space="preserve">confirmed by a test of the equality of two empirical univariate distributions</w:t>
      </w:r>
      <w:r>
        <w:t xml:space="preserve"> </w:t>
      </w:r>
      <w:r>
        <w:t xml:space="preserve">(Kolmogorov-Smirnov,</w:t>
      </w:r>
      <w:r>
        <w:t xml:space="preserve"> </w:t>
      </w:r>
      <m:oMath>
        <m:r>
          <m:t>p</m:t>
        </m:r>
        <m:r>
          <m:rPr>
            <m:sty m:val="p"/>
          </m:rPr>
          <m:t>=</m:t>
        </m:r>
        <m:r>
          <m:t>1.7</m:t>
        </m:r>
        <m:r>
          <m:rPr>
            <m:sty m:val="p"/>
          </m:rPr>
          <m:t>×</m:t>
        </m:r>
        <m:sSup>
          <m:e>
            <m:r>
              <m:t>10</m:t>
            </m:r>
          </m:e>
          <m:sup>
            <m:r>
              <m:rPr>
                <m:sty m:val="p"/>
              </m:rPr>
              <m:t>−</m:t>
            </m:r>
            <m:r>
              <m:t>65</m:t>
            </m:r>
          </m:sup>
        </m:sSup>
      </m:oMath>
      <w:r>
        <w:t xml:space="preserve">).</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for both training data (upper right) and validation data</w:t>
      </w:r>
      <w:r>
        <w:t xml:space="preserve"> </w:t>
      </w:r>
      <w:r>
        <w:t xml:space="preserve">(lower left). The lower log likelihood values indication that the modelled and</w:t>
      </w:r>
      <w:r>
        <w:t xml:space="preserve"> </w:t>
      </w:r>
      <w:r>
        <w:t xml:space="preserve">measured values are further away and that the Laplace approximation yielded</w:t>
      </w:r>
      <w:r>
        <w:t xml:space="preserve"> </w:t>
      </w:r>
      <w:r>
        <w:t xml:space="preserve">significantly worse predictions than the true posterior, even for the training</w:t>
      </w:r>
      <w:r>
        <w:t xml:space="preserve"> </w:t>
      </w:r>
      <w:r>
        <w:t xml:space="preserve">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w:t>
      </w:r>
      <w:r>
        <w:t xml:space="preserve">(</w:t>
      </w:r>
      <w:hyperlink w:anchor="fig-laplace">
        <w:r>
          <w:rPr>
            <w:rStyle w:val="Hyperlink"/>
          </w:rPr>
          <w:t xml:space="preserve">Figure 3</w:t>
        </w:r>
      </w:hyperlink>
      <w:r>
        <w:t xml:space="preserve">, bottom right). This comparison demonstrates that the Laplace</w:t>
      </w:r>
      <w:r>
        <w:t xml:space="preserve"> </w:t>
      </w:r>
      <w:r>
        <w:t xml:space="preserve">method is not able to capture the correct relationships between parameters’</w:t>
      </w:r>
      <w:r>
        <w:t xml:space="preserve"> </w:t>
      </w:r>
      <w:r>
        <w:t xml:space="preserve">distributions.</w:t>
      </w:r>
    </w:p>
    <w:p>
      <w:pPr>
        <w:pStyle w:val="BodyText"/>
      </w:pPr>
      <w:r>
        <w:t xml:space="preserve">This result shows that MCMC, while slower than Laplace approximation, is</w:t>
      </w:r>
      <w:r>
        <w:t xml:space="preserve"> </w:t>
      </w:r>
      <w:r>
        <w:t xml:space="preserve">required for posterior inference in this case. We expect that the Laplace method</w:t>
      </w:r>
      <w:r>
        <w:t xml:space="preserve"> </w:t>
      </w:r>
      <w:r>
        <w:t xml:space="preserve">will produce worse approximations the more complex the target model. Since the</w:t>
      </w:r>
      <w:r>
        <w:t xml:space="preserve"> </w:t>
      </w:r>
      <w:r>
        <w:t xml:space="preserve">approximation is already unacceptable for our simple test model, we recommend</w:t>
      </w:r>
      <w:r>
        <w:t xml:space="preserve"> </w:t>
      </w:r>
      <w:r>
        <w:t xml:space="preserve">that Maud users use MCMC sampling in preference to Laplace approximation if</w:t>
      </w:r>
      <w:r>
        <w:t xml:space="preserve"> </w:t>
      </w:r>
      <w:r>
        <w:t xml:space="preserve">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bookmarkStart w:id="37" w:name="fig-laplace"/>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5420935"/>
                  <wp:effectExtent b="0" l="0" r="0" t="0"/>
                  <wp:docPr descr="" title="" id="35" name="Picture"/>
                  <a:graphic>
                    <a:graphicData uri="http://schemas.openxmlformats.org/drawingml/2006/picture">
                      <pic:pic>
                        <pic:nvPicPr>
                          <pic:cNvPr descr="./figures/laplace.png" id="36" name="Picture"/>
                          <pic:cNvPicPr>
                            <a:picLocks noChangeArrowheads="1" noChangeAspect="1"/>
                          </pic:cNvPicPr>
                        </pic:nvPicPr>
                        <pic:blipFill>
                          <a:blip r:embed="rId34"/>
                          <a:stretch>
                            <a:fillRect/>
                          </a:stretch>
                        </pic:blipFill>
                        <pic:spPr bwMode="auto">
                          <a:xfrm>
                            <a:off x="0" y="0"/>
                            <a:ext cx="5334000" cy="5420935"/>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w:t>
      </w:r>
      <w:r>
        <w:t xml:space="preserve"> </w:t>
      </w:r>
      <w:r>
        <w:t xml:space="preserve">values for training data flux measurements shows that the Laplace method</w:t>
      </w:r>
      <w:r>
        <w:t xml:space="preserve"> </w:t>
      </w:r>
      <w:r>
        <w:t xml:space="preserve">tended to yield much worse predictions compared with the true model (lower log</w:t>
      </w:r>
      <w:r>
        <w:t xml:space="preserve"> </w:t>
      </w:r>
      <w:r>
        <w:t xml:space="preserve">likelihood values indicate that the modelled and measured values are further</w:t>
      </w:r>
      <w:r>
        <w:t xml:space="preserve"> </w:t>
      </w:r>
      <w:r>
        <w:t xml:space="preserve">away). (</w:t>
      </w:r>
      <w:r>
        <w:rPr>
          <w:bCs/>
          <w:b/>
        </w:rPr>
        <w:t xml:space="preserve">Bottom left</w:t>
      </w:r>
      <w:r>
        <w:t xml:space="preserve">) The Laplace method also tended to produce worse flux</w:t>
      </w:r>
      <w:r>
        <w:t xml:space="preserve"> </w:t>
      </w:r>
      <w:r>
        <w:t xml:space="preserve">predictions for held-back test measurements. (</w:t>
      </w:r>
      <w:r>
        <w:rPr>
          <w:bCs/>
          <w:b/>
        </w:rPr>
        <w:t xml:space="preserve">Bottom right</w:t>
      </w:r>
      <w:r>
        <w:t xml:space="preserve">) The marginal</w:t>
      </w:r>
      <w:r>
        <w:t xml:space="preserve"> </w:t>
      </w:r>
      <w:r>
        <w:t xml:space="preserve">joint distribution of two 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w:t>
      </w:r>
      <w:r>
        <w:t xml:space="preserve"> </w:t>
      </w:r>
      <w:r>
        <w:t xml:space="preserve">Laplace method is not able to track the correct joint distribution for this</w:t>
      </w:r>
      <w:r>
        <w:t xml:space="preserve"> </w:t>
      </w:r>
      <w:r>
        <w:t xml:space="preserve">pair of parameters. This is unsurprising given that the target distribution</w:t>
      </w:r>
      <w:r>
        <w:t xml:space="preserve"> </w:t>
      </w:r>
      <w:r>
        <w:t xml:space="preserve">has position-dependent scales which are difficult for a linear approximation</w:t>
      </w:r>
      <w:r>
        <w:t xml:space="preserve"> </w:t>
      </w:r>
      <w:r>
        <w:t xml:space="preserve">to capture.</w:t>
      </w:r>
    </w:p>
    <w:bookmarkEnd w:id="37"/>
    <w:bookmarkEnd w:id="38"/>
    <w:bookmarkEnd w:id="39"/>
    <w:bookmarkStart w:id="44" w:name="X9aab18619bffaaee7010f39077c602781b7715d"/>
    <w:p>
      <w:pPr>
        <w:pStyle w:val="Heading2"/>
      </w:pPr>
      <w:r>
        <w:t xml:space="preserve">2.3 Effect of missing metabolite concentration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p>
      <w:pPr>
        <w:pStyle w:val="BodyText"/>
      </w:pPr>
      <w:r>
        <w:t xml:space="preserve">Comparing model runs with and without the ahcys measurements showed that Maud</w:t>
      </w:r>
      <w:r>
        <w:t xml:space="preserve"> </w:t>
      </w:r>
      <w:r>
        <w:t xml:space="preserve">can produce sensible results even from incomplete metabolomics data.</w:t>
      </w:r>
    </w:p>
    <w:p>
      <w:pPr>
        <w:pStyle w:val="BodyText"/>
      </w:pPr>
      <w:r>
        <w:t xml:space="preserve">As might be expected, the model with missing measurements did not correctly</w:t>
      </w:r>
      <w:r>
        <w:t xml:space="preserve"> </w:t>
      </w:r>
      <w:r>
        <w:t xml:space="preserve">infer the missing ahcys concentrations (</w:t>
      </w:r>
      <w:hyperlink w:anchor="fig-missing">
        <w:r>
          <w:rPr>
            <w:rStyle w:val="Hyperlink"/>
          </w:rPr>
          <w:t xml:space="preserve">Figure 4</w:t>
        </w:r>
      </w:hyperlink>
      <w:r>
        <w:t xml:space="preserve">). Nonetheless, the</w:t>
      </w:r>
      <w:r>
        <w:t xml:space="preserve"> </w:t>
      </w:r>
      <w:r>
        <w:t xml:space="preserve">remaining measured metabolites were still well predicted, suggesting</w:t>
      </w:r>
      <w:r>
        <w:t xml:space="preserve"> </w:t>
      </w:r>
      <w:r>
        <w:t xml:space="preserve">that information about the network is still preserved despite the missing</w:t>
      </w:r>
      <w:r>
        <w:t xml:space="preserve"> </w:t>
      </w:r>
      <w:r>
        <w:t xml:space="preserve">measurements. Comparison of flux measurements in both models also indicated that</w:t>
      </w:r>
      <w:r>
        <w:t xml:space="preserve"> </w:t>
      </w:r>
      <w:r>
        <w:t xml:space="preserve">removing the ahcys measurement did not result in catastrophic model failure.</w:t>
      </w:r>
    </w:p>
    <w:p>
      <w:pPr>
        <w:pStyle w:val="BodyText"/>
      </w:pPr>
      <w:r>
        <w:t xml:space="preserve">The missing measurements did affect Maud’s ability to infer parameter values</w:t>
      </w:r>
      <w:r>
        <w:t xml:space="preserve"> </w:t>
      </w:r>
      <w:r>
        <w:t xml:space="preserve">correctly (</w:t>
      </w:r>
      <w:hyperlink w:anchor="fig-missing">
        <w:r>
          <w:rPr>
            <w:rStyle w:val="Hyperlink"/>
          </w:rPr>
          <w:t xml:space="preserve">Figure 4</w:t>
        </w:r>
      </w:hyperlink>
      <w:r>
        <w:t xml:space="preserve">, lower left). The model with full metabolomics learned</w:t>
      </w:r>
      <w:r>
        <w:t xml:space="preserve"> </w:t>
      </w:r>
      <w:r>
        <w:t xml:space="preserve">the true value for the displayed dissociation constant, despite this value being</w:t>
      </w:r>
      <w:r>
        <w:t xml:space="preserve"> </w:t>
      </w:r>
      <w:r>
        <w:t xml:space="preserve">far from the mean of the corresponding marginal prior distribution. In contrast,</w:t>
      </w:r>
      <w:r>
        <w:t xml:space="preserve"> </w:t>
      </w:r>
      <w:r>
        <w:t xml:space="preserve">the model with missing measurements stayed in the 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bookmarkStart w:id="43" w:name="fig-missing"/>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5360867"/>
                  <wp:effectExtent b="0" l="0" r="0" t="0"/>
                  <wp:docPr descr="" title="" id="41" name="Picture"/>
                  <a:graphic>
                    <a:graphicData uri="http://schemas.openxmlformats.org/drawingml/2006/picture">
                      <pic:pic>
                        <pic:nvPicPr>
                          <pic:cNvPr descr="./figures/missing.png" id="42" name="Picture"/>
                          <pic:cNvPicPr>
                            <a:picLocks noChangeArrowheads="1" noChangeAspect="1"/>
                          </pic:cNvPicPr>
                        </pic:nvPicPr>
                        <pic:blipFill>
                          <a:blip r:embed="rId40"/>
                          <a:stretch>
                            <a:fillRect/>
                          </a:stretch>
                        </pic:blipFill>
                        <pic:spPr bwMode="auto">
                          <a:xfrm>
                            <a:off x="0" y="0"/>
                            <a:ext cx="5334000" cy="5360867"/>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3"/>
    <w:bookmarkEnd w:id="44"/>
    <w:bookmarkStart w:id="49" w:name="application-to-regulatory-understanding"/>
    <w:p>
      <w:pPr>
        <w:pStyle w:val="Heading2"/>
      </w:pPr>
      <w:r>
        <w:t xml:space="preserve">2.4 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w:r>
        <w:t xml:space="preserve">GNMT is higher in dataset 1 than in dataset 12 (</w:t>
      </w:r>
      <w:hyperlink w:anchor="fig-decomposition">
        <w:r>
          <w:rPr>
            <w:rStyle w:val="Hyperlink"/>
          </w:rPr>
          <w:t xml:space="preserve">Figure 5</w:t>
        </w:r>
      </w:hyperlink>
      <w:r>
        <w:t xml:space="preserve">). GNMT</w:t>
      </w:r>
      <w:r>
        <w:t xml:space="preserve"> </w:t>
      </w:r>
      <w:r>
        <w:t xml:space="preserve">is 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complex regulation makes it the ideal</w:t>
      </w:r>
      <w:r>
        <w:t xml:space="preserve"> </w:t>
      </w:r>
      <w:r>
        <w:t xml:space="preserve">test case to elucidate regulatory changes.</w:t>
      </w:r>
    </w:p>
    <w:p>
      <w:pPr>
        <w:pStyle w:val="BodyText"/>
      </w:pPr>
      <w:r>
        <w:t xml:space="preserve">Regulation can be separated into enzyme abundance, allostery and saturation,</w:t>
      </w:r>
      <w:r>
        <w:t xml:space="preserve"> </w:t>
      </w:r>
      <w:r>
        <w:t xml:space="preserve">and we can plot the marginal posterior distribution of the ratio of the</w:t>
      </w:r>
      <w:r>
        <w:t xml:space="preserve"> </w:t>
      </w:r>
      <w:r>
        <w:t xml:space="preserve">corresponding regulatory component in dataset 1 compared with dataset 12</w:t>
      </w:r>
      <w:r>
        <w:t xml:space="preserve"> </w:t>
      </w:r>
      <w:r>
        <w:t xml:space="preserve">(</w:t>
      </w:r>
      <w:hyperlink w:anchor="fig-decomposition">
        <w:r>
          <w:rPr>
            <w:rStyle w:val="Hyperlink"/>
          </w:rPr>
          <w:t xml:space="preserve">Figure 5</w:t>
        </w:r>
      </w:hyperlink>
      <w:r>
        <w:t xml:space="preserve">, right panel).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zero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w:t>
      </w:r>
      <w:r>
        <w:t xml:space="preserve"> </w:t>
      </w:r>
      <w:r>
        <w:t xml:space="preserve">each dataset. Our result shows that Maud could be used in this realistic case</w:t>
      </w:r>
      <w:r>
        <w:t xml:space="preserve"> </w:t>
      </w:r>
      <w:r>
        <w:t xml:space="preserve">not only to explain an observed difference in fluxes, but also to provide a</w:t>
      </w:r>
      <w:r>
        <w:t xml:space="preserve"> </w:t>
      </w:r>
      <w:r>
        <w:t xml:space="preserve">reasonable judgement as to the explanation’s robustness.</w:t>
      </w:r>
    </w:p>
    <w:bookmarkStart w:id="48" w:name="fig-decomposition"/>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2584183"/>
                  <wp:effectExtent b="0" l="0" r="0" t="0"/>
                  <wp:docPr descr="" title="" id="46" name="Picture"/>
                  <a:graphic>
                    <a:graphicData uri="http://schemas.openxmlformats.org/drawingml/2006/picture">
                      <pic:pic>
                        <pic:nvPicPr>
                          <pic:cNvPr descr="./figures/decomposition.png" id="47" name="Picture"/>
                          <pic:cNvPicPr>
                            <a:picLocks noChangeArrowheads="1" noChangeAspect="1"/>
                          </pic:cNvPicPr>
                        </pic:nvPicPr>
                        <pic:blipFill>
                          <a:blip r:embed="rId45"/>
                          <a:stretch>
                            <a:fillRect/>
                          </a:stretch>
                        </pic:blipFill>
                        <pic:spPr bwMode="auto">
                          <a:xfrm>
                            <a:off x="0" y="0"/>
                            <a:ext cx="5334000" cy="2584183"/>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48"/>
    <w:bookmarkEnd w:id="49"/>
    <w:bookmarkEnd w:id="50"/>
    <w:bookmarkStart w:id="60"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1">
        <w:r>
          <w:rPr>
            <w:rStyle w:val="Hyperlink"/>
          </w:rPr>
          <w:t xml:space="preserve">https://maud-metabolic-models.readthedocs.io</w:t>
        </w:r>
      </w:hyperlink>
      <w:r>
        <w:t xml:space="preserve"> </w:t>
      </w:r>
      <w:r>
        <w:t xml:space="preserve">and actively developed and maintained at</w:t>
      </w:r>
      <w:r>
        <w:t xml:space="preserve"> </w:t>
      </w:r>
      <w:hyperlink r:id="rId52">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3" w:name="kinetic-model"/>
    <w:p>
      <w:pPr>
        <w:pStyle w:val="Heading2"/>
      </w:pPr>
      <w:r>
        <w:t xml:space="preserve">3.1 Kinetic model</w:t>
      </w:r>
    </w:p>
    <w:p>
      <w:pPr>
        <w:pStyle w:val="FirstParagraph"/>
      </w:pPr>
      <w:r>
        <w:t xml:space="preserve">Maud’s kinetic model decomposes into factors:</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3"/>
    <w:bookmarkStart w:id="57" w:name="statistical-model"/>
    <w:p>
      <w:pPr>
        <w:pStyle w:val="Heading2"/>
      </w:pPr>
      <w:r>
        <w:t xml:space="preserve">3.2 Statistical model</w:t>
      </w:r>
    </w:p>
    <w:p>
      <w:pPr>
        <w:pStyle w:val="FirstParagraph"/>
      </w:pPr>
      <w:r>
        <w:t xml:space="preserve">Maud uses Markov Chain Monte Carlo to perform posterior inference on a Bayesian</w:t>
      </w:r>
      <w:r>
        <w:t xml:space="preserve"> </w:t>
      </w:r>
      <w:r>
        <w:t xml:space="preserve">statistical model. This section introduces these topics and then describes</w:t>
      </w:r>
      <w:r>
        <w:t xml:space="preserve"> </w:t>
      </w:r>
      <w:r>
        <w:t xml:space="preserve">exactly what kind of Bayesian statistical model Maud uses.</w:t>
      </w:r>
    </w:p>
    <w:bookmarkStart w:id="54" w:name="bayesian-inference"/>
    <w:p>
      <w:pPr>
        <w:pStyle w:val="Heading3"/>
      </w:pPr>
      <w:r>
        <w:t xml:space="preserve">3.2.1 Bayesian inference</w:t>
      </w:r>
    </w:p>
    <w:p>
      <w:pPr>
        <w:pStyle w:val="FirstParagraph"/>
      </w:pPr>
      <w:r>
        <w:t xml:space="preserve">Bayesian statistical inference analyses data by constructing a mathematical</w:t>
      </w:r>
      <w:r>
        <w:t xml:space="preserve"> </w:t>
      </w:r>
      <w:r>
        <w:t xml:space="preserve">model with the following three components:</w:t>
      </w:r>
    </w:p>
    <w:p>
      <w:pPr>
        <w:numPr>
          <w:ilvl w:val="0"/>
          <w:numId w:val="1001"/>
        </w:numPr>
      </w:pPr>
      <w:r>
        <w:t xml:space="preserve">A measurement model or</w:t>
      </w:r>
      <w:r>
        <w:t xml:space="preserve"> </w:t>
      </w:r>
      <w:r>
        <w:t xml:space="preserve">“</w:t>
      </w:r>
      <w:r>
        <w:t xml:space="preserve">likelihood</w:t>
      </w:r>
      <w:r>
        <w:t xml:space="preserve">”</w:t>
      </w:r>
      <w:r>
        <w:t xml:space="preserve"> </w:t>
      </w:r>
      <w:r>
        <w:t xml:space="preserve">that probabilistically describes</w:t>
      </w:r>
      <w:r>
        <w:t xml:space="preserve"> </w:t>
      </w:r>
      <w:r>
        <w:t xml:space="preserve">how likely any possible measurement set is given the true values</w:t>
      </w:r>
      <w:r>
        <w:t xml:space="preserve"> </w:t>
      </w:r>
      <w:r>
        <w:t xml:space="preserve">of the measured quantities, i.e. a probability density function</w:t>
      </w:r>
      <w:r>
        <w:t xml:space="preserve"> </w:t>
      </w:r>
      <m:oMath>
        <m:r>
          <m:t>l</m:t>
        </m:r>
        <m:r>
          <m:rPr>
            <m:sty m:val="p"/>
          </m:rPr>
          <m:t>:</m:t>
        </m:r>
        <m:r>
          <m:rPr>
            <m:sty m:val="p"/>
            <m:scr m:val="script"/>
          </m:rPr>
          <m:t>Y</m:t>
        </m:r>
        <m:r>
          <m:rPr>
            <m:sty m:val="p"/>
          </m:rPr>
          <m:t>×</m:t>
        </m:r>
        <m:acc>
          <m:accPr>
            <m:chr m:val="̂"/>
          </m:accPr>
          <m:e>
            <m:r>
              <m:rPr>
                <m:sty m:val="p"/>
                <m:scr m:val="script"/>
              </m:rPr>
              <m:t>Y</m:t>
            </m:r>
          </m:e>
        </m:acc>
        <m:r>
          <m:rPr>
            <m:sty m:val="p"/>
          </m:rPr>
          <m:t>→</m:t>
        </m:r>
        <m:d>
          <m:dPr>
            <m:begChr m:val="["/>
            <m:endChr m:val="]"/>
            <m:sepChr m:val=""/>
            <m:grow/>
          </m:dPr>
          <m:e>
            <m:r>
              <m:t>0</m:t>
            </m:r>
            <m:r>
              <m:rPr>
                <m:sty m:val="p"/>
              </m:rPr>
              <m:t>,</m:t>
            </m:r>
            <m:r>
              <m:t>1</m:t>
            </m:r>
          </m:e>
        </m:d>
      </m:oMath>
      <w:r>
        <w:t xml:space="preserve"> </w:t>
      </w:r>
      <w:r>
        <w:t xml:space="preserve">where</w:t>
      </w:r>
      <w:r>
        <w:t xml:space="preserve"> </w:t>
      </w:r>
      <m:oMath>
        <m:r>
          <m:rPr>
            <m:sty m:val="p"/>
            <m:scr m:val="script"/>
          </m:rPr>
          <m:t>Y</m:t>
        </m:r>
      </m:oMath>
      <w:r>
        <w:t xml:space="preserve"> </w:t>
      </w:r>
      <w:r>
        <w:t xml:space="preserve">is the set of all possible measurement sets and</w:t>
      </w:r>
      <w:r>
        <w:t xml:space="preserve"> </w:t>
      </w:r>
      <m:oMath>
        <m:acc>
          <m:accPr>
            <m:chr m:val="̂"/>
          </m:accPr>
          <m:e>
            <m:r>
              <m:rPr>
                <m:sty m:val="p"/>
                <m:scr m:val="script"/>
              </m:rPr>
              <m:t>Y</m:t>
            </m:r>
          </m:e>
        </m:acc>
      </m:oMath>
      <w:r>
        <w:t xml:space="preserve"> </w:t>
      </w:r>
      <w:r>
        <w:t xml:space="preserve">is the set</w:t>
      </w:r>
      <w:r>
        <w:t xml:space="preserve"> </w:t>
      </w:r>
      <w:r>
        <w:t xml:space="preserve">of all possible true measurable values.</w:t>
      </w:r>
    </w:p>
    <w:p>
      <w:pPr>
        <w:numPr>
          <w:ilvl w:val="0"/>
          <w:numId w:val="1001"/>
        </w:numPr>
      </w:pPr>
      <w:r>
        <w:t xml:space="preserve">A deterministic process model that describes the measured quantities in</w:t>
      </w:r>
      <w:r>
        <w:t xml:space="preserve"> </w:t>
      </w:r>
      <w:r>
        <w:t xml:space="preserve">terms of unknown, possibly unobserved parameters</w:t>
      </w:r>
      <w:r>
        <w:t xml:space="preserve"> </w:t>
      </w:r>
      <m:oMath>
        <m:r>
          <m:t>θ</m:t>
        </m:r>
      </m:oMath>
      <w:r>
        <w:t xml:space="preserve">, i.e. a function</w:t>
      </w:r>
      <w:r>
        <w:t xml:space="preserve"> </w:t>
      </w:r>
      <m:oMath>
        <m:r>
          <m:t>d</m:t>
        </m:r>
        <m:r>
          <m:rPr>
            <m:sty m:val="p"/>
          </m:rPr>
          <m:t>:</m:t>
        </m:r>
        <m:r>
          <m:rPr>
            <m:sty m:val="p"/>
            <m:scr m:val="script"/>
          </m:rPr>
          <m:t>θ</m:t>
        </m:r>
        <m:r>
          <m:rPr>
            <m:sty m:val="p"/>
          </m:rPr>
          <m:t>−</m:t>
        </m:r>
        <m:r>
          <m:rPr>
            <m:sty m:val="p"/>
          </m:rPr>
          <m:t>&gt;</m:t>
        </m:r>
        <m:acc>
          <m:accPr>
            <m:chr m:val="̂"/>
          </m:accPr>
          <m:e>
            <m:r>
              <m:rPr>
                <m:sty m:val="p"/>
                <m:scr m:val="script"/>
              </m:rPr>
              <m:t>Y</m:t>
            </m:r>
          </m:e>
        </m:acc>
      </m:oMath>
      <w:r>
        <w:t xml:space="preserve">.</w:t>
      </w:r>
    </w:p>
    <w:p>
      <w:pPr>
        <w:numPr>
          <w:ilvl w:val="0"/>
          <w:numId w:val="1001"/>
        </w:numPr>
      </w:pPr>
      <w:r>
        <w:t xml:space="preserve">A prior model that probabilistically describes how likely any possible set</w:t>
      </w:r>
      <w:r>
        <w:t xml:space="preserve"> </w:t>
      </w:r>
      <w:r>
        <w:t xml:space="preserve">of parameter values is, without considering any information included in the</w:t>
      </w:r>
      <w:r>
        <w:t xml:space="preserve"> </w:t>
      </w:r>
      <w:r>
        <w:t xml:space="preserve">measurement model, i.e. a probability density function</w:t>
      </w:r>
      <w:r>
        <w:t xml:space="preserve"> </w:t>
      </w:r>
      <m:oMath>
        <m:r>
          <m:t>π</m:t>
        </m:r>
        <m:r>
          <m:rPr>
            <m:sty m:val="p"/>
          </m:rPr>
          <m:t>:</m:t>
        </m:r>
        <m:r>
          <m:rPr>
            <m:sty m:val="p"/>
            <m:scr m:val="script"/>
          </m:rPr>
          <m:t>θ</m:t>
        </m:r>
        <m:r>
          <m:rPr>
            <m:sty m:val="p"/>
          </m:rPr>
          <m:t>→</m:t>
        </m:r>
        <m:d>
          <m:dPr>
            <m:begChr m:val="["/>
            <m:endChr m:val="]"/>
            <m:sepChr m:val=""/>
            <m:grow/>
          </m:dPr>
          <m:e>
            <m:r>
              <m:t>0</m:t>
            </m:r>
            <m:r>
              <m:rPr>
                <m:sty m:val="p"/>
              </m:rPr>
              <m:t>,</m:t>
            </m:r>
            <m:r>
              <m:t>1</m:t>
            </m:r>
          </m:e>
        </m:d>
      </m:oMath>
      <w:r>
        <w:t xml:space="preserve">.</w:t>
      </w:r>
    </w:p>
    <w:p>
      <w:pPr>
        <w:pStyle w:val="FirstParagraph"/>
      </w:pPr>
      <w:r>
        <w:t xml:space="preserve">Together these components determine a joint probability function</w:t>
      </w:r>
      <w:r>
        <w:t xml:space="preserve"> </w:t>
      </w:r>
      <w:r>
        <w:t xml:space="preserve">that encapsulates the Bayesian statistical model, i.e. a function</w:t>
      </w:r>
      <w:r>
        <w:t xml:space="preserve"> </w:t>
      </w:r>
      <m:oMath>
        <m:r>
          <m:t>p</m:t>
        </m:r>
        <m:r>
          <m:rPr>
            <m:sty m:val="p"/>
          </m:rPr>
          <m:t>:</m:t>
        </m:r>
        <m:r>
          <m:rPr>
            <m:sty m:val="p"/>
            <m:scr m:val="script"/>
          </m:rPr>
          <m:t>Y</m:t>
        </m:r>
        <m:r>
          <m:rPr>
            <m:sty m:val="p"/>
          </m:rPr>
          <m:t>×</m:t>
        </m:r>
        <m:r>
          <m:rPr>
            <m:sty m:val="p"/>
            <m:scr m:val="script"/>
          </m:rPr>
          <m:t>θ</m:t>
        </m:r>
        <m:r>
          <m:rPr>
            <m:sty m:val="p"/>
          </m:rPr>
          <m:t>→</m:t>
        </m:r>
        <m:d>
          <m:dPr>
            <m:begChr m:val="["/>
            <m:endChr m:val="]"/>
            <m:sepChr m:val=""/>
            <m:grow/>
          </m:dPr>
          <m:e>
            <m:r>
              <m:t>0</m:t>
            </m:r>
            <m:r>
              <m:rPr>
                <m:sty m:val="p"/>
              </m:rPr>
              <m:t>,</m:t>
            </m:r>
            <m:r>
              <m:t>1</m:t>
            </m:r>
          </m:e>
        </m:d>
      </m:oMath>
      <w:r>
        <w:t xml:space="preserve"> </w:t>
      </w:r>
      <w:r>
        <w:t xml:space="preserve">such that for any</w:t>
      </w:r>
      <w:r>
        <w:t xml:space="preserve"> </w:t>
      </w:r>
      <m:oMath>
        <m:r>
          <m:t>θ</m:t>
        </m:r>
      </m:oMath>
      <w:r>
        <w:t xml:space="preserve"> </w:t>
      </w:r>
      <w:r>
        <w:t xml:space="preserve">and</w:t>
      </w:r>
      <w:r>
        <w:t xml:space="preserve"> </w:t>
      </w:r>
      <m:oMath>
        <m:r>
          <m:t>y</m:t>
        </m:r>
      </m:oMath>
      <w:r>
        <w:t xml:space="preserve">,</w:t>
      </w:r>
      <w:r>
        <w:t xml:space="preserve"> </w:t>
      </w:r>
      <m:oMath>
        <m:r>
          <m:t>p</m:t>
        </m:r>
        <m:d>
          <m:dPr>
            <m:begChr m:val="("/>
            <m:endChr m:val=")"/>
            <m:sepChr m:val=""/>
            <m:grow/>
          </m:dPr>
          <m:e>
            <m:r>
              <m:t>θ</m:t>
            </m:r>
            <m:r>
              <m:rPr>
                <m:sty m:val="p"/>
              </m:rPr>
              <m:t>,</m:t>
            </m:r>
            <m:r>
              <m:t>y</m:t>
            </m:r>
          </m:e>
        </m:d>
        <m:r>
          <m:rPr>
            <m:sty m:val="p"/>
          </m:rPr>
          <m:t>=</m:t>
        </m:r>
        <m:r>
          <m:t>π</m:t>
        </m:r>
        <m:d>
          <m:dPr>
            <m:begChr m:val="("/>
            <m:endChr m:val=")"/>
            <m:sepChr m:val=""/>
            <m:grow/>
          </m:dPr>
          <m:e>
            <m:r>
              <m:t>θ</m:t>
            </m:r>
          </m:e>
        </m:d>
        <m:r>
          <m:t>l</m:t>
        </m:r>
        <m:d>
          <m:dPr>
            <m:begChr m:val="("/>
            <m:endChr m:val=")"/>
            <m:sepChr m:val=""/>
            <m:grow/>
          </m:dPr>
          <m:e>
            <m:r>
              <m:t>y</m:t>
            </m:r>
            <m:r>
              <m:rPr>
                <m:sty m:val="p"/>
              </m:rPr>
              <m:t>∣</m:t>
            </m:r>
            <m:r>
              <m:t>θ</m:t>
            </m:r>
          </m:e>
        </m:d>
      </m:oMath>
      <w:r>
        <w:t xml:space="preserve">. Substantive questions about</w:t>
      </w:r>
      <w:r>
        <w:t xml:space="preserve"> </w:t>
      </w:r>
      <w:r>
        <w:t xml:space="preserve">the implications of the assumptions implicit in the model components can be</w:t>
      </w:r>
      <w:r>
        <w:t xml:space="preserve"> </w:t>
      </w:r>
      <w:r>
        <w:t xml:space="preserve">formulated in terms of this joint density function.</w:t>
      </w:r>
    </w:p>
    <w:p>
      <w:pPr>
        <w:pStyle w:val="BodyText"/>
      </w:pPr>
      <w:r>
        <w:t xml:space="preserve">In particular, questions about what the model implies, given a particular</w:t>
      </w:r>
      <w:r>
        <w:t xml:space="preserve"> </w:t>
      </w:r>
      <w:r>
        <w:t xml:space="preserve">measurement set</w:t>
      </w:r>
      <w:r>
        <w:t xml:space="preserve"> </w:t>
      </w:r>
      <m:oMath>
        <m:r>
          <m:t>y</m:t>
        </m:r>
      </m:oMath>
      <w:r>
        <w:t xml:space="preserve"> </w:t>
      </w:r>
      <w:r>
        <w:t xml:space="preserve">can be formulated in terms of the conditional probability</w:t>
      </w:r>
      <w:r>
        <w:t xml:space="preserve"> </w:t>
      </w:r>
      <w:r>
        <w:t xml:space="preserve">density function</w:t>
      </w:r>
      <w:r>
        <w:t xml:space="preserve"> </w:t>
      </w:r>
      <m:oMath>
        <m:sSub>
          <m:e>
            <m:r>
              <m:t>p</m:t>
            </m:r>
          </m:e>
          <m:sub>
            <m:r>
              <m:rPr>
                <m:sty m:val="p"/>
              </m:rPr>
              <m:t>∣</m:t>
            </m:r>
            <m:r>
              <m:t>y</m:t>
            </m:r>
          </m:sub>
        </m:sSub>
        <m:r>
          <m:rPr>
            <m:sty m:val="p"/>
          </m:rPr>
          <m:t>:</m:t>
        </m:r>
        <m:r>
          <m:rPr>
            <m:sty m:val="p"/>
            <m:scr m:val="script"/>
          </m:rPr>
          <m:t>t</m:t>
        </m:r>
        <m:r>
          <m:rPr>
            <m:sty m:val="p"/>
            <m:scr m:val="script"/>
          </m:rPr>
          <m:t>h</m:t>
        </m:r>
        <m:r>
          <m:rPr>
            <m:sty m:val="p"/>
            <m:scr m:val="script"/>
          </m:rPr>
          <m:t>e</m:t>
        </m:r>
        <m:r>
          <m:rPr>
            <m:sty m:val="p"/>
            <m:scr m:val="script"/>
          </m:rPr>
          <m:t>t</m:t>
        </m:r>
        <m:r>
          <m:rPr>
            <m:sty m:val="p"/>
            <m:scr m:val="script"/>
          </m:rPr>
          <m:t>a</m:t>
        </m:r>
        <m:r>
          <m:rPr>
            <m:sty m:val="p"/>
          </m:rPr>
          <m:t>→</m:t>
        </m:r>
        <m:d>
          <m:dPr>
            <m:begChr m:val="["/>
            <m:endChr m:val="]"/>
            <m:sepChr m:val=""/>
            <m:grow/>
          </m:dPr>
          <m:e>
            <m:r>
              <m:t>0</m:t>
            </m:r>
            <m:r>
              <m:rPr>
                <m:sty m:val="p"/>
              </m:rPr>
              <m:t>,</m:t>
            </m:r>
            <m:r>
              <m:t>1</m:t>
            </m:r>
          </m:e>
        </m:d>
      </m:oMath>
      <w:r>
        <w:t xml:space="preserve">. Bayes’s</w:t>
      </w:r>
      <w:r>
        <w:t xml:space="preserve"> </w:t>
      </w:r>
      <w:r>
        <w:t xml:space="preserve">theorem guarantees that this conditional density is proportional to the</w:t>
      </w:r>
      <w:r>
        <w:t xml:space="preserve"> </w:t>
      </w:r>
      <w:r>
        <w:t xml:space="preserve">product of the prior and likelihood, i.e. </w:t>
      </w:r>
      <m:oMath>
        <m:sSub>
          <m:e>
            <m:r>
              <m:t>p</m:t>
            </m:r>
          </m:e>
          <m:sub>
            <m:r>
              <m:rPr>
                <m:sty m:val="p"/>
              </m:rPr>
              <m:t>∣</m:t>
            </m:r>
            <m:r>
              <m:t>y</m:t>
            </m:r>
          </m:sub>
        </m:sSub>
        <m:d>
          <m:dPr>
            <m:begChr m:val="("/>
            <m:endChr m:val=")"/>
            <m:sepChr m:val=""/>
            <m:grow/>
          </m:dPr>
          <m:e>
            <m:r>
              <m:t>θ</m:t>
            </m:r>
          </m:e>
        </m:d>
        <m:r>
          <m:rPr>
            <m:sty m:val="p"/>
          </m:rPr>
          <m:t>∝</m:t>
        </m:r>
        <m:r>
          <m:t>π</m:t>
        </m:r>
        <m:d>
          <m:dPr>
            <m:begChr m:val="("/>
            <m:endChr m:val=")"/>
            <m:sepChr m:val=""/>
            <m:grow/>
          </m:dPr>
          <m:e>
            <m:r>
              <m:t>θ</m:t>
            </m:r>
          </m:e>
        </m:d>
        <m:r>
          <m:t>l</m:t>
        </m:r>
        <m:d>
          <m:dPr>
            <m:begChr m:val="("/>
            <m:endChr m:val=")"/>
            <m:sepChr m:val=""/>
            <m:grow/>
          </m:dPr>
          <m:e>
            <m:r>
              <m:t>y</m:t>
            </m:r>
            <m:r>
              <m:rPr>
                <m:sty m:val="p"/>
              </m:rPr>
              <m:t>∣</m:t>
            </m:r>
            <m:r>
              <m:t>θ</m:t>
            </m:r>
          </m:e>
        </m:d>
      </m:oMath>
      <w:r>
        <w:t xml:space="preserve"> </w:t>
      </w:r>
      <w:r>
        <w:t xml:space="preserve">See</w:t>
      </w:r>
      <w:r>
        <w:t xml:space="preserve"> </w:t>
      </w:r>
      <w:r>
        <w:t xml:space="preserve">(Gelman, Carlin, et al. 2020, Ch 1)</w:t>
      </w:r>
      <w:r>
        <w:t xml:space="preserve"> </w:t>
      </w:r>
      <w:r>
        <w:t xml:space="preserve">for an</w:t>
      </w:r>
      <w:r>
        <w:t xml:space="preserve"> </w:t>
      </w:r>
      <w:r>
        <w:t xml:space="preserve">extended discussion of the theory of Bayesian statistical inference.</w:t>
      </w:r>
    </w:p>
    <w:p>
      <w:pPr>
        <w:pStyle w:val="BodyText"/>
      </w:pPr>
      <w:r>
        <w:t xml:space="preserve">The principal computational challenge for Bayesian statistical inference is to</w:t>
      </w:r>
      <w:r>
        <w:t xml:space="preserve"> </w:t>
      </w:r>
      <w:r>
        <w:t xml:space="preserve">approximate the values of integrals of the joint density function conditional</w:t>
      </w:r>
      <w:r>
        <w:t xml:space="preserve"> </w:t>
      </w:r>
      <w:r>
        <w:t xml:space="preserve">on a known measurement assignment</w:t>
      </w:r>
      <w:r>
        <w:t xml:space="preserve"> </w:t>
      </w:r>
      <m:oMath>
        <m:r>
          <m:t>y</m:t>
        </m:r>
      </m:oMath>
      <w:r>
        <w:t xml:space="preserve">, also known as the posterior distribution.</w:t>
      </w:r>
      <w:r>
        <w:t xml:space="preserve"> </w:t>
      </w:r>
      <w:r>
        <w:t xml:space="preserve">For most non-trivial statistical models the posterior distribution cannot be</w:t>
      </w:r>
      <w:r>
        <w:t xml:space="preserve"> </w:t>
      </w:r>
      <w:r>
        <w:t xml:space="preserve">integrated analytically, so numerical approximation is required. Markov Chain</w:t>
      </w:r>
      <w:r>
        <w:t xml:space="preserve"> </w:t>
      </w:r>
      <w:r>
        <w:t xml:space="preserve">Monte Carlo or</w:t>
      </w:r>
      <w:r>
        <w:t xml:space="preserve"> </w:t>
      </w:r>
      <w:r>
        <w:t xml:space="preserve">“</w:t>
      </w:r>
      <w:r>
        <w:t xml:space="preserve">MCMC</w:t>
      </w:r>
      <w:r>
        <w:t xml:space="preserve">”</w:t>
      </w:r>
      <w:r>
        <w:t xml:space="preserve"> </w:t>
      </w:r>
      <w:r>
        <w:t xml:space="preserve">is a popular method for addressing this problem that</w:t>
      </w:r>
      <w:r>
        <w:t xml:space="preserve"> </w:t>
      </w:r>
      <w:r>
        <w:t xml:space="preserve">uses a Markov chain with known properties to generate samples from a target</w:t>
      </w:r>
      <w:r>
        <w:t xml:space="preserve"> </w:t>
      </w:r>
      <w:r>
        <w:t xml:space="preserve">probability distribution that can be used to perform Monte Carlo integration.</w:t>
      </w:r>
      <w:r>
        <w:t xml:space="preserve"> </w:t>
      </w:r>
      <w:r>
        <w:t xml:space="preserve">Hamiltonian Monte Carlo makes it possible, given an appropriate choice of</w:t>
      </w:r>
      <w:r>
        <w:t xml:space="preserve"> </w:t>
      </w:r>
      <w:r>
        <w:t xml:space="preserve">hyperparameters, to efficiently generate samples from even a high dimensional</w:t>
      </w:r>
      <w:r>
        <w:t xml:space="preserve"> </w:t>
      </w:r>
      <w:r>
        <w:t xml:space="preserve">continuous posterior distribution, by calculating the gradients of the log-scale</w:t>
      </w:r>
      <w:r>
        <w:t xml:space="preserve"> </w:t>
      </w:r>
      <w:r>
        <w:t xml:space="preserve">joint density function. Adaptive Hamiltonian Monte Carlo, as used by Stan, uses</w:t>
      </w:r>
      <w:r>
        <w:t xml:space="preserve"> </w:t>
      </w:r>
      <w:r>
        <w:t xml:space="preserve">a range of well-tested methods to tune these hyperparameters, allowing efficient</w:t>
      </w:r>
      <w:r>
        <w:t xml:space="preserve"> </w:t>
      </w:r>
      <w:r>
        <w:t xml:space="preserve">MCMC for high dimensional posterior distributions with minimal user input.</w:t>
      </w:r>
    </w:p>
    <w:p>
      <w:pPr>
        <w:pStyle w:val="BodyText"/>
      </w:pPr>
      <w:r>
        <w:t xml:space="preserve">Alternatives to MCMC for numerically approximating integrals over posterior</w:t>
      </w:r>
      <w:r>
        <w:t xml:space="preserve"> </w:t>
      </w:r>
      <w:r>
        <w:t xml:space="preserve">distributions include grid sampling</w:t>
      </w:r>
      <w:r>
        <w:t xml:space="preserve"> </w:t>
      </w:r>
      <w:r>
        <w:t xml:space="preserve">(Gelman, Carlin, et al. 2020,</w:t>
      </w:r>
      <w:r>
        <w:t xml:space="preserve"> </w:t>
      </w:r>
      <w:r>
        <w:t xml:space="preserve">Ch. 10)</w:t>
      </w:r>
      <w:r>
        <w:t xml:space="preserve">, rejection sampling</w:t>
      </w:r>
      <w:r>
        <w:t xml:space="preserve"> </w:t>
      </w:r>
      <w:r>
        <w:t xml:space="preserve">(Gelman, Carlin, et al. 2020, Ch. 10)</w:t>
      </w:r>
      <w:r>
        <w:t xml:space="preserve">,</w:t>
      </w:r>
      <w:r>
        <w:t xml:space="preserve"> </w:t>
      </w:r>
      <w:r>
        <w:t xml:space="preserve">importance sampling</w:t>
      </w:r>
      <w:r>
        <w:t xml:space="preserve"> </w:t>
      </w:r>
      <w:r>
        <w:t xml:space="preserve">(Vehtari et al. 2022)</w:t>
      </w:r>
      <w:r>
        <w:t xml:space="preserve"> </w:t>
      </w:r>
      <w:r>
        <w:t xml:space="preserve">and distributional</w:t>
      </w:r>
      <w:r>
        <w:t xml:space="preserve"> </w:t>
      </w:r>
      <w:r>
        <w:t xml:space="preserve">approaches including variational inference and Laplace approximation</w:t>
      </w:r>
      <w:r>
        <w:t xml:space="preserve"> </w:t>
      </w:r>
      <w:r>
        <w:t xml:space="preserve">(Gelman, Carlin, et al. 2020, Ch. 13)</w:t>
      </w:r>
      <w:r>
        <w:t xml:space="preserve">.</w:t>
      </w:r>
    </w:p>
    <w:p>
      <w:pPr>
        <w:pStyle w:val="BodyText"/>
      </w:pPr>
      <w:r>
        <w:t xml:space="preserve">The Laplace approximation is of particular interest because, as mentioned above,</w:t>
      </w:r>
      <w:r>
        <w:t xml:space="preserve"> </w:t>
      </w:r>
      <w:r>
        <w:t xml:space="preserve">this has been used for approximate Bayesian inference in a similar context</w:t>
      </w:r>
      <w:r>
        <w:t xml:space="preserve"> </w:t>
      </w:r>
      <w:r>
        <w:t xml:space="preserve">to Maud. Laplace approximation of a posterior distribution works by first</w:t>
      </w:r>
      <w:r>
        <w:t xml:space="preserve"> </w:t>
      </w:r>
      <w:r>
        <w:t xml:space="preserve">finding the mode of the posterior distribution, i.e. the</w:t>
      </w:r>
      <w:r>
        <w:t xml:space="preserve"> </w:t>
      </w:r>
      <w:r>
        <w:t xml:space="preserve">‘</w:t>
      </w:r>
      <w:r>
        <w:t xml:space="preserve">maximum a posteriori</w:t>
      </w:r>
      <w:r>
        <w:t xml:space="preserve">’</w:t>
      </w:r>
      <w:r>
        <w:t xml:space="preserve"> </w:t>
      </w:r>
      <w:r>
        <w:t xml:space="preserve">parameter configuration with the highest posterior density. Next, the second</w:t>
      </w:r>
      <w:r>
        <w:t xml:space="preserve"> </w:t>
      </w:r>
      <w:r>
        <w:t xml:space="preserve">derivative of the posterior distribution at this point is found and used to</w:t>
      </w:r>
      <w:r>
        <w:t xml:space="preserve"> </w:t>
      </w:r>
      <w:r>
        <w:t xml:space="preserve">generate a normal distribution that either approximates the target distribution,</w:t>
      </w:r>
      <w:r>
        <w:t xml:space="preserve"> </w:t>
      </w:r>
      <w:r>
        <w:t xml:space="preserve">or can in turn be used to generate such an approximation.</w:t>
      </w:r>
    </w:p>
    <w:p>
      <w:pPr>
        <w:pStyle w:val="BodyText"/>
      </w:pPr>
      <w:r>
        <w:t xml:space="preserve">Maud employs adaptive Hamiltonian Monte Carlo to perform posterior inference</w:t>
      </w:r>
      <w:r>
        <w:t xml:space="preserve"> </w:t>
      </w:r>
      <w:r>
        <w:t xml:space="preserve">for a Bayesian statistical model where the process model is the kinetic model</w:t>
      </w:r>
      <w:r>
        <w:t xml:space="preserve"> </w:t>
      </w:r>
      <w:r>
        <w:t xml:space="preserve">described above. The next two subsections describe Maud’s prior and measurement</w:t>
      </w:r>
      <w:r>
        <w:t xml:space="preserve"> </w:t>
      </w:r>
      <w:r>
        <w:t xml:space="preserve">models.</w:t>
      </w:r>
    </w:p>
    <w:bookmarkEnd w:id="54"/>
    <w:bookmarkStart w:id="55" w:name="prior-model"/>
    <w:p>
      <w:pPr>
        <w:pStyle w:val="Heading3"/>
      </w:pPr>
      <w:r>
        <w:t xml:space="preserve">3.2.2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1 in</w:t>
      </w:r>
      <w:r>
        <w:t xml:space="preserve"> </w:t>
      </w:r>
      <w:r>
        <w:t xml:space="preserve">this paper’s supporting information for a description of all these parameters</w:t>
      </w:r>
      <w:r>
        <w:t xml:space="preserve"> </w:t>
      </w:r>
      <w:r>
        <w:t xml:space="preserve">and their dimensions.</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5"/>
    <w:bookmarkStart w:id="56" w:name="measurement-model"/>
    <w:p>
      <w:pPr>
        <w:pStyle w:val="Heading3"/>
      </w:pPr>
      <w:r>
        <w:t xml:space="preserve">3.2.3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w:r>
        <w:t xml:space="preserve">$</w:t>
      </w:r>
      <w:r>
        <w:t xml:space="preserve"> </w:t>
      </w:r>
      <w:r>
        <w:t xml:space="preserve">_{𝑐𝑜𝑛𝑐}$.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true</w:t>
      </w:r>
      <w:r>
        <w:t xml:space="preserve"> </w:t>
      </w:r>
      <w:r>
        <w:t xml:space="preserve">value of the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 Our measurement model improves on analyses of metabolomics</w:t>
      </w:r>
      <w:r>
        <w:t xml:space="preserve"> </w:t>
      </w:r>
      <w:r>
        <w:t xml:space="preserve">and proteomics data that assume a regression model with normally distributed</w:t>
      </w:r>
      <w:r>
        <w:t xml:space="preserve"> </w:t>
      </w:r>
      <w:r>
        <w:t xml:space="preserve">errors, whether explicitly using a standard linear model or implicitly using</w:t>
      </w:r>
      <w:r>
        <w:t xml:space="preserve"> </w:t>
      </w:r>
      <w:r>
        <w:t xml:space="preserve">ordinary least squares fitting.</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w:t>
      </w:r>
      <w:r>
        <w:t xml:space="preserve"> </w:t>
      </w:r>
      <w:r>
        <w:t xml:space="preserve">. Flux measurements can be obtained from isotope labelling</w:t>
      </w:r>
      <w:r>
        <w:t xml:space="preserve"> </w:t>
      </w:r>
      <w:r>
        <w:t xml:space="preserve">experiments using metabolic flux analysis, for example as described in (Young</w:t>
      </w:r>
      <w:r>
        <w:t xml:space="preserve"> </w:t>
      </w:r>
      <w:r>
        <w:t xml:space="preserve">2014). When entering flux measurements, it is important only to specify</w:t>
      </w:r>
      <w:r>
        <w:t xml:space="preserve"> </w:t>
      </w:r>
      <w:r>
        <w:t xml:space="preserve">measurements for a network’s free fluxes, as the values of some steady state</w:t>
      </w:r>
      <w:r>
        <w:t xml:space="preserve"> </w:t>
      </w:r>
      <w:r>
        <w:t xml:space="preserve">fluxes in a metabolic network are constrained by others, with the result that</w:t>
      </w:r>
      <w:r>
        <w:t xml:space="preserve"> </w:t>
      </w:r>
      <w:r>
        <w:t xml:space="preserve">dependent fluxes cannot typically be measured separately. If measurements of</w:t>
      </w:r>
      <w:r>
        <w:t xml:space="preserve"> </w:t>
      </w:r>
      <w:r>
        <w:t xml:space="preserve">multiple dependent fluxes are entered, information will inappropriately be</w:t>
      </w:r>
      <w:r>
        <w:t xml:space="preserve"> </w:t>
      </w:r>
      <w:r>
        <w:t xml:space="preserve">double counted.</w:t>
      </w:r>
    </w:p>
    <w:p>
      <w:pPr>
        <w:pStyle w:val="BodyText"/>
      </w:pP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6"/>
    <w:bookmarkEnd w:id="57"/>
    <w:bookmarkStart w:id="58"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58"/>
    <w:bookmarkStart w:id="59"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w:t>
      </w:r>
      <w:r>
        <w:t xml:space="preserve"> </w:t>
      </w:r>
      <w:r>
        <w:t xml:space="preserve"> </w:t>
      </w:r>
      <w:r>
        <w:t xml:space="preserve">and finding the gradients of its</w:t>
      </w:r>
      <w:r>
        <w:t xml:space="preserve"> </w:t>
      </w:r>
      <w:r>
        <w:t xml:space="preserve">solution with respect to all model parameters. This must be done numerically as</w:t>
      </w:r>
      <w:r>
        <w:t xml:space="preserve"> </w:t>
      </w:r>
      <w:r>
        <w:t xml:space="preserve">analytic solutions are not available for realistic kinetic 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w:t>
      </w:r>
      <w:r>
        <w:t xml:space="preserve"> </w:t>
      </w:r>
      <w:r>
        <w:t xml:space="preserve"> </w:t>
      </w:r>
      <w:r>
        <w:t xml:space="preserve">and find its gradients, Maud uses a hybrid</w:t>
      </w:r>
      <w:r>
        <w:t xml:space="preserve"> </w:t>
      </w:r>
      <w:r>
        <w:t xml:space="preserve">method involving two numerical solvers from the SUNDIALS suite</w:t>
      </w:r>
      <w:r>
        <w:t xml:space="preserve"> </w:t>
      </w:r>
      <w:r>
        <w:t xml:space="preserve">(Serban and Hindmarsh 2005)</w:t>
      </w:r>
      <w:r>
        <w:t xml:space="preserve">: CVODES and IDAS via their</w:t>
      </w:r>
      <w:r>
        <w:t xml:space="preserve"> </w:t>
      </w:r>
      <w:r>
        <w:t xml:space="preserve">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59"/>
    <w:bookmarkEnd w:id="60"/>
    <w:bookmarkStart w:id="62"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1">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2"/>
        </w:numPr>
        <w:pStyle w:val="Compact"/>
      </w:pPr>
      <w:r>
        <w:t xml:space="preserve">Description of Maud’s input format.</w:t>
      </w:r>
    </w:p>
    <w:p>
      <w:pPr>
        <w:numPr>
          <w:ilvl w:val="0"/>
          <w:numId w:val="1002"/>
        </w:numPr>
        <w:pStyle w:val="Compact"/>
      </w:pPr>
      <w:r>
        <w:t xml:space="preserve">Description of Maud’s kinetic model including rate equations as well as</w:t>
      </w:r>
      <w:r>
        <w:t xml:space="preserve"> </w:t>
      </w:r>
      <w:r>
        <w:t xml:space="preserve">parameters and their dimensions.</w:t>
      </w:r>
    </w:p>
    <w:p>
      <w:pPr>
        <w:numPr>
          <w:ilvl w:val="0"/>
          <w:numId w:val="1002"/>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2"/>
        </w:numPr>
        <w:pStyle w:val="Compact"/>
      </w:pPr>
      <w:r>
        <w:t xml:space="preserve">Specification of the prior distribution used for the case studies.</w:t>
      </w:r>
    </w:p>
    <w:bookmarkEnd w:id="62"/>
    <w:bookmarkStart w:id="63" w:name="acknowledgements"/>
    <w:p>
      <w:pPr>
        <w:pStyle w:val="Heading1"/>
      </w:pPr>
      <w:r>
        <w:t xml:space="preserve">5. Acknowledgements</w:t>
      </w:r>
    </w:p>
    <w:p>
      <w:pPr>
        <w:pStyle w:val="FirstParagraph"/>
      </w:pPr>
      <w:r>
        <w:t xml:space="preserve">This research was funded by the Novo Nordisk Foundation (Grant numbers</w:t>
      </w:r>
      <w:r>
        <w:t xml:space="preserve"> </w:t>
      </w:r>
      <w:r>
        <w:t xml:space="preserve">NNF20CC0035580 NNF14OC0009473).</w:t>
      </w:r>
    </w:p>
    <w:bookmarkEnd w:id="63"/>
    <w:bookmarkStart w:id="66" w:name="author-information"/>
    <w:p>
      <w:pPr>
        <w:pStyle w:val="Heading1"/>
      </w:pPr>
      <w:r>
        <w:t xml:space="preserve">6. Author information</w:t>
      </w:r>
    </w:p>
    <w:bookmarkStart w:id="64" w:name="author-contribution"/>
    <w:p>
      <w:pPr>
        <w:pStyle w:val="Heading2"/>
      </w:pPr>
      <w:r>
        <w:t xml:space="preserve">6.1 Author contribution</w:t>
      </w:r>
    </w:p>
    <w:p>
      <w:pPr>
        <w:pStyle w:val="FirstParagraph"/>
      </w:pPr>
      <w:r>
        <w:t xml:space="preserve">Teddy Groves and Nicholas Cowie: Writing code and documentation, designing</w:t>
      </w:r>
      <w:r>
        <w:t xml:space="preserve"> </w:t>
      </w:r>
      <w:r>
        <w:t xml:space="preserve">statistical model, biological model, software architecture and user interface,</w:t>
      </w:r>
      <w:r>
        <w:t xml:space="preserve"> </w:t>
      </w:r>
      <w:r>
        <w:t xml:space="preserve">writing and maintaining code, documentation and manuscript.</w:t>
      </w:r>
    </w:p>
    <w:p>
      <w:pPr>
        <w:pStyle w:val="BodyText"/>
      </w:pPr>
      <w:r>
        <w:t xml:space="preserve">Lars Keld Nielsen: Supervision, writing manuscript, designing statistical model,</w:t>
      </w:r>
      <w:r>
        <w:t xml:space="preserve"> </w:t>
      </w:r>
      <w:r>
        <w:t xml:space="preserve">biological model, software architecture and user interface.</w:t>
      </w:r>
    </w:p>
    <w:bookmarkEnd w:id="64"/>
    <w:bookmarkStart w:id="65" w:name="conflict-of-interest"/>
    <w:p>
      <w:pPr>
        <w:pStyle w:val="Heading2"/>
      </w:pPr>
      <w:r>
        <w:t xml:space="preserve">6.2 Conflict of interest</w:t>
      </w:r>
    </w:p>
    <w:p>
      <w:pPr>
        <w:pStyle w:val="FirstParagraph"/>
      </w:pPr>
      <w:r>
        <w:t xml:space="preserve">The authors declare no competing financial interest.</w:t>
      </w:r>
    </w:p>
    <w:bookmarkEnd w:id="65"/>
    <w:bookmarkEnd w:id="66"/>
    <w:bookmarkStart w:id="154" w:name="references"/>
    <w:p>
      <w:pPr>
        <w:pStyle w:val="Heading1"/>
      </w:pPr>
      <w:r>
        <w:t xml:space="preserve">7. References</w:t>
      </w:r>
    </w:p>
    <w:bookmarkStart w:id="153" w:name="refs"/>
    <w:bookmarkStart w:id="68"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[Stat.ME]</w:t>
      </w:r>
      <w:r>
        <w:t xml:space="preserve">, July.</w:t>
      </w:r>
      <w:r>
        <w:t xml:space="preserve"> </w:t>
      </w:r>
      <w:hyperlink r:id="rId67">
        <w:r>
          <w:rPr>
            <w:rStyle w:val="Hyperlink"/>
          </w:rPr>
          <w:t xml:space="preserve">http://arxiv.org/abs/1701.02434</w:t>
        </w:r>
      </w:hyperlink>
      <w:r>
        <w:t xml:space="preserve">.</w:t>
      </w:r>
    </w:p>
    <w:bookmarkEnd w:id="68"/>
    <w:bookmarkStart w:id="70"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9">
        <w:r>
          <w:rPr>
            <w:rStyle w:val="Hyperlink"/>
          </w:rPr>
          <w:t xml:space="preserve">https://doi.org/10.18637/jss.v076.i01</w:t>
        </w:r>
      </w:hyperlink>
      <w:r>
        <w:t xml:space="preserve">.</w:t>
      </w:r>
    </w:p>
    <w:bookmarkEnd w:id="70"/>
    <w:bookmarkStart w:id="72"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71">
        <w:r>
          <w:rPr>
            <w:rStyle w:val="Hyperlink"/>
          </w:rPr>
          <w:t xml:space="preserve">https://doi.org/10.1038/nrm3695</w:t>
        </w:r>
      </w:hyperlink>
      <w:r>
        <w:t xml:space="preserve">.</w:t>
      </w:r>
    </w:p>
    <w:bookmarkEnd w:id="72"/>
    <w:bookmarkStart w:id="74"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3">
        <w:r>
          <w:rPr>
            <w:rStyle w:val="Hyperlink"/>
          </w:rPr>
          <w:t xml:space="preserve">https://doi.org/10.1016/j.cels.2018.04.009</w:t>
        </w:r>
      </w:hyperlink>
      <w:r>
        <w:t xml:space="preserve">.</w:t>
      </w:r>
    </w:p>
    <w:bookmarkEnd w:id="74"/>
    <w:bookmarkStart w:id="76"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5">
        <w:r>
          <w:rPr>
            <w:rStyle w:val="Hyperlink"/>
          </w:rPr>
          <w:t xml:space="preserve">https://pypi.org/project/click/</w:t>
        </w:r>
      </w:hyperlink>
      <w:r>
        <w:t xml:space="preserve">.</w:t>
      </w:r>
    </w:p>
    <w:bookmarkEnd w:id="76"/>
    <w:bookmarkStart w:id="78"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7">
        <w:r>
          <w:rPr>
            <w:rStyle w:val="Hyperlink"/>
          </w:rPr>
          <w:t xml:space="preserve">https://doi.org/10.1016/j.ymben.2016.09.005</w:t>
        </w:r>
      </w:hyperlink>
      <w:r>
        <w:t xml:space="preserve">.</w:t>
      </w:r>
    </w:p>
    <w:bookmarkEnd w:id="78"/>
    <w:bookmarkStart w:id="80"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9">
        <w:r>
          <w:rPr>
            <w:rStyle w:val="Hyperlink"/>
          </w:rPr>
          <w:t xml:space="preserve">https://doi.org/10.1126/sciadv.1600200</w:t>
        </w:r>
      </w:hyperlink>
      <w:r>
        <w:t xml:space="preserve">.</w:t>
      </w:r>
    </w:p>
    <w:bookmarkEnd w:id="80"/>
    <w:bookmarkStart w:id="81"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p>
    <w:bookmarkEnd w:id="81"/>
    <w:bookmarkStart w:id="83"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[Stat.ME]</w:t>
      </w:r>
      <w:r>
        <w:t xml:space="preserve">, November.</w:t>
      </w:r>
      <w:r>
        <w:t xml:space="preserve"> </w:t>
      </w:r>
      <w:hyperlink r:id="rId82">
        <w:r>
          <w:rPr>
            <w:rStyle w:val="Hyperlink"/>
          </w:rPr>
          <w:t xml:space="preserve">http://arxiv.org/abs/2011.01808</w:t>
        </w:r>
      </w:hyperlink>
      <w:r>
        <w:t xml:space="preserve">.</w:t>
      </w:r>
    </w:p>
    <w:bookmarkEnd w:id="83"/>
    <w:bookmarkStart w:id="85"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w:t>
      </w:r>
      <w:r>
        <w:t xml:space="preserve">61 (March): 197–205.</w:t>
      </w:r>
      <w:r>
        <w:t xml:space="preserve"> </w:t>
      </w:r>
      <w:hyperlink r:id="rId84">
        <w:r>
          <w:rPr>
            <w:rStyle w:val="Hyperlink"/>
          </w:rPr>
          <w:t xml:space="preserve">https://doi.org/10.1016/j.ymben.2020.03.001</w:t>
        </w:r>
      </w:hyperlink>
      <w:r>
        <w:t xml:space="preserve">.</w:t>
      </w:r>
    </w:p>
    <w:bookmarkEnd w:id="85"/>
    <w:bookmarkStart w:id="87"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6">
        <w:r>
          <w:rPr>
            <w:rStyle w:val="Hyperlink"/>
          </w:rPr>
          <w:t xml:space="preserve">https://doi.org/10.1371/journal.pcbi.0030189</w:t>
        </w:r>
      </w:hyperlink>
      <w:r>
        <w:t xml:space="preserve">.</w:t>
      </w:r>
    </w:p>
    <w:bookmarkEnd w:id="87"/>
    <w:bookmarkStart w:id="89" w:name="ref-kacser_control_1973"/>
    <w:p>
      <w:pPr>
        <w:pStyle w:val="Bibliography"/>
      </w:pPr>
      <w:r>
        <w:t xml:space="preserve">Kacser, H., and J. A. Burns. 1973.</w:t>
      </w:r>
      <w:r>
        <w:t xml:space="preserve"> </w:t>
      </w:r>
      <w:r>
        <w:t xml:space="preserve">“</w:t>
      </w:r>
      <w:hyperlink r:id="rId88">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89"/>
    <w:bookmarkStart w:id="91"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90">
        <w:r>
          <w:rPr>
            <w:rStyle w:val="Hyperlink"/>
          </w:rPr>
          <w:t xml:space="preserve">https://doi.org/10.1371/journal.pcbi.1000076</w:t>
        </w:r>
      </w:hyperlink>
      <w:r>
        <w:t xml:space="preserve">.</w:t>
      </w:r>
    </w:p>
    <w:bookmarkEnd w:id="91"/>
    <w:bookmarkStart w:id="93"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2">
        <w:r>
          <w:rPr>
            <w:rStyle w:val="Hyperlink"/>
          </w:rPr>
          <w:t xml:space="preserve">https://doi.org/10.21105/joss.01143</w:t>
        </w:r>
      </w:hyperlink>
      <w:r>
        <w:t xml:space="preserve">.</w:t>
      </w:r>
    </w:p>
    <w:bookmarkEnd w:id="93"/>
    <w:bookmarkStart w:id="95"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4">
        <w:r>
          <w:rPr>
            <w:rStyle w:val="Hyperlink"/>
          </w:rPr>
          <w:t xml:space="preserve">https://doi.org/10.1016/j.cmet.2017.08.017</w:t>
        </w:r>
      </w:hyperlink>
      <w:r>
        <w:t xml:space="preserve">.</w:t>
      </w:r>
    </w:p>
    <w:bookmarkEnd w:id="95"/>
    <w:bookmarkStart w:id="97"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6">
        <w:r>
          <w:rPr>
            <w:rStyle w:val="Hyperlink"/>
          </w:rPr>
          <w:t xml:space="preserve">https://doi.org/10.3390/metabo11110749</w:t>
        </w:r>
      </w:hyperlink>
      <w:r>
        <w:t xml:space="preserve">.</w:t>
      </w:r>
    </w:p>
    <w:bookmarkEnd w:id="97"/>
    <w:bookmarkStart w:id="99"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8">
        <w:r>
          <w:rPr>
            <w:rStyle w:val="Hyperlink"/>
          </w:rPr>
          <w:t xml:space="preserve">https://doi.org/10.1093/bioinformatics/btq141</w:t>
        </w:r>
      </w:hyperlink>
      <w:r>
        <w:t xml:space="preserve">.</w:t>
      </w:r>
    </w:p>
    <w:bookmarkEnd w:id="99"/>
    <w:bookmarkStart w:id="101" w:name="ref-lu2017"/>
    <w:p>
      <w:pPr>
        <w:pStyle w:val="Bibliography"/>
      </w:pPr>
      <w:r>
        <w:t xml:space="preserve">Lu, Wenyun, Xiaoyang Su, Matthias S. Klein, Ian A. Lewis, Oliver Fiehn, and Joshua D. Rabinowitz. 2017.</w:t>
      </w:r>
      <w:r>
        <w:t xml:space="preserve"> </w:t>
      </w:r>
      <w:r>
        <w:t xml:space="preserve">“Metabolite</w:t>
      </w:r>
      <w:r>
        <w:t xml:space="preserve"> </w:t>
      </w:r>
      <w:r>
        <w:t xml:space="preserve">Measurement</w:t>
      </w:r>
      <w:r>
        <w:t xml:space="preserve">:</w:t>
      </w:r>
      <w:r>
        <w:t xml:space="preserve"> </w:t>
      </w:r>
      <w:r>
        <w:t xml:space="preserve">Pitfalls</w:t>
      </w:r>
      <w:r>
        <w:t xml:space="preserve"> </w:t>
      </w:r>
      <w:r>
        <w:t xml:space="preserve">to</w:t>
      </w:r>
      <w:r>
        <w:t xml:space="preserve"> </w:t>
      </w:r>
      <w:r>
        <w:t xml:space="preserve">Avoid</w:t>
      </w:r>
      <w:r>
        <w:t xml:space="preserve"> </w:t>
      </w:r>
      <w:r>
        <w:t xml:space="preserve">and</w:t>
      </w:r>
      <w:r>
        <w:t xml:space="preserve"> </w:t>
      </w:r>
      <w:r>
        <w:t xml:space="preserve">Practices</w:t>
      </w:r>
      <w:r>
        <w:t xml:space="preserve"> </w:t>
      </w:r>
      <w:r>
        <w:t xml:space="preserve">to</w:t>
      </w:r>
      <w:r>
        <w:t xml:space="preserve"> </w:t>
      </w:r>
      <w:r>
        <w:t xml:space="preserve">Follow</w:t>
      </w:r>
      <w:r>
        <w:t xml:space="preserve">.”</w:t>
      </w:r>
      <w:r>
        <w:t xml:space="preserve"> </w:t>
      </w:r>
      <w:r>
        <w:rPr>
          <w:iCs/>
          <w:i/>
        </w:rPr>
        <w:t xml:space="preserve">Annual Review of Biochemistry</w:t>
      </w:r>
      <w:r>
        <w:t xml:space="preserve"> </w:t>
      </w:r>
      <w:r>
        <w:t xml:space="preserve">86 (1): 277–304.</w:t>
      </w:r>
      <w:r>
        <w:t xml:space="preserve"> </w:t>
      </w:r>
      <w:hyperlink r:id="rId100">
        <w:r>
          <w:rPr>
            <w:rStyle w:val="Hyperlink"/>
          </w:rPr>
          <w:t xml:space="preserve">https://doi.org/10.1146/annurev-biochem-061516-044952</w:t>
        </w:r>
      </w:hyperlink>
      <w:r>
        <w:t xml:space="preserve">.</w:t>
      </w:r>
    </w:p>
    <w:bookmarkEnd w:id="101"/>
    <w:bookmarkStart w:id="103"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2">
        <w:r>
          <w:rPr>
            <w:rStyle w:val="Hyperlink"/>
          </w:rPr>
          <w:t xml:space="preserve">https://doi.org/10.5281/zenodo.1284375</w:t>
        </w:r>
      </w:hyperlink>
      <w:r>
        <w:t xml:space="preserve">.</w:t>
      </w:r>
    </w:p>
    <w:bookmarkEnd w:id="103"/>
    <w:bookmarkStart w:id="105"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4">
        <w:r>
          <w:rPr>
            <w:rStyle w:val="Hyperlink"/>
          </w:rPr>
          <w:t xml:space="preserve">https://doi.org/10.1006/jtbi.2000.2035</w:t>
        </w:r>
      </w:hyperlink>
      <w:r>
        <w:t xml:space="preserve">.</w:t>
      </w:r>
    </w:p>
    <w:bookmarkEnd w:id="105"/>
    <w:bookmarkStart w:id="107"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6">
        <w:r>
          <w:rPr>
            <w:rStyle w:val="Hyperlink"/>
          </w:rPr>
          <w:t xml:space="preserve">https://doi.org/10.1093/bioadv/vbac066</w:t>
        </w:r>
      </w:hyperlink>
      <w:r>
        <w:t xml:space="preserve">.</w:t>
      </w:r>
    </w:p>
    <w:bookmarkEnd w:id="107"/>
    <w:bookmarkStart w:id="109"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8">
        <w:r>
          <w:rPr>
            <w:rStyle w:val="Hyperlink"/>
          </w:rPr>
          <w:t xml:space="preserve">https://doi.org/10.1016/S0022-2836(65)80285-6</w:t>
        </w:r>
      </w:hyperlink>
      <w:r>
        <w:t xml:space="preserve">.</w:t>
      </w:r>
    </w:p>
    <w:bookmarkEnd w:id="109"/>
    <w:bookmarkStart w:id="111"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10">
        <w:r>
          <w:rPr>
            <w:rStyle w:val="Hyperlink"/>
          </w:rPr>
          <w:t xml:space="preserve">https://doi.org/10.4161/epi.1.2.2677</w:t>
        </w:r>
      </w:hyperlink>
      <w:r>
        <w:t xml:space="preserve">.</w:t>
      </w:r>
    </w:p>
    <w:bookmarkEnd w:id="111"/>
    <w:bookmarkStart w:id="113"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12">
        <w:r>
          <w:rPr>
            <w:rStyle w:val="Hyperlink"/>
          </w:rPr>
          <w:t xml:space="preserve">https://doi.org/10.1016/j.febslet.2013.07.028</w:t>
        </w:r>
      </w:hyperlink>
      <w:r>
        <w:t xml:space="preserve">.</w:t>
      </w:r>
    </w:p>
    <w:bookmarkEnd w:id="113"/>
    <w:bookmarkStart w:id="115"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4">
        <w:r>
          <w:rPr>
            <w:rStyle w:val="Hyperlink"/>
          </w:rPr>
          <w:t xml:space="preserve">https://pypi.org/project/toml/</w:t>
        </w:r>
      </w:hyperlink>
      <w:r>
        <w:t xml:space="preserve">.</w:t>
      </w:r>
    </w:p>
    <w:bookmarkEnd w:id="115"/>
    <w:bookmarkStart w:id="117"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6">
        <w:r>
          <w:rPr>
            <w:rStyle w:val="Hyperlink"/>
          </w:rPr>
          <w:t xml:space="preserve">https://doi.org/10.1017/S0266466698144043</w:t>
        </w:r>
      </w:hyperlink>
      <w:r>
        <w:t xml:space="preserve">.</w:t>
      </w:r>
    </w:p>
    <w:bookmarkEnd w:id="117"/>
    <w:bookmarkStart w:id="119"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m:oMath>
        <m:r>
          <m:t>S</m:t>
        </m:r>
        <m:acc>
          <m:accPr>
            <m:chr m:val="⃡"/>
          </m:accPr>
          <m:e>
            <m:d>
              <m:dPr>
                <m:begChr m:val="("/>
                <m:endChr m:val=")"/>
                <m:sepChr m:val=""/>
                <m:grow/>
              </m:dPr>
              <m:e>
                <m:r>
                  <m:t>R</m:t>
                </m:r>
                <m:r>
                  <m:rPr>
                    <m:sty m:val="p"/>
                  </m:rPr>
                  <m:t>,</m:t>
                </m:r>
                <m:r>
                  <m:t>T</m:t>
                </m:r>
              </m:e>
            </m:d>
          </m:e>
        </m:acc>
        <m:r>
          <m:t>P</m:t>
        </m:r>
      </m:oMath>
      <w:r>
        <w:t xml:space="preserve">.”</w:t>
      </w:r>
      <w:r>
        <w:t xml:space="preserve"> </w:t>
      </w:r>
      <w:r>
        <w:rPr>
          <w:iCs/>
          <w:i/>
        </w:rPr>
        <w:t xml:space="preserve">FEBS Letters</w:t>
      </w:r>
      <w:r>
        <w:t xml:space="preserve"> </w:t>
      </w:r>
      <w:r>
        <w:t xml:space="preserve">53 (3): 269–73.</w:t>
      </w:r>
      <w:r>
        <w:t xml:space="preserve"> </w:t>
      </w:r>
      <w:hyperlink r:id="rId118">
        <w:r>
          <w:rPr>
            <w:rStyle w:val="Hyperlink"/>
          </w:rPr>
          <w:t xml:space="preserve">https://doi.org/10.1016/0014-5793(75)80034-2</w:t>
        </w:r>
      </w:hyperlink>
      <w:r>
        <w:t xml:space="preserve">.</w:t>
      </w:r>
    </w:p>
    <w:bookmarkEnd w:id="119"/>
    <w:bookmarkStart w:id="121"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20">
        <w:r>
          <w:rPr>
            <w:rStyle w:val="Hyperlink"/>
          </w:rPr>
          <w:t xml:space="preserve">https://www.ncbi.nlm.nih.gov/pubmed/156878</w:t>
        </w:r>
      </w:hyperlink>
      <w:r>
        <w:t xml:space="preserve">.</w:t>
      </w:r>
    </w:p>
    <w:bookmarkEnd w:id="121"/>
    <w:bookmarkStart w:id="123" w:name="ref-pydanticdevelopersPydantic2022"/>
    <w:p>
      <w:pPr>
        <w:pStyle w:val="Bibliography"/>
      </w:pPr>
      <w:r>
        <w:t xml:space="preserve">Pydantic developers. 2022.</w:t>
      </w:r>
      <w:r>
        <w:t xml:space="preserve"> </w:t>
      </w:r>
      <w:r>
        <w:t xml:space="preserve">“Pydantic.”</w:t>
      </w:r>
      <w:r>
        <w:t xml:space="preserve"> </w:t>
      </w:r>
      <w:hyperlink r:id="rId122">
        <w:r>
          <w:rPr>
            <w:rStyle w:val="Hyperlink"/>
          </w:rPr>
          <w:t xml:space="preserve">https://pypi.org/project/pydantic/</w:t>
        </w:r>
      </w:hyperlink>
      <w:r>
        <w:t xml:space="preserve">.</w:t>
      </w:r>
    </w:p>
    <w:bookmarkEnd w:id="123"/>
    <w:bookmarkStart w:id="125"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4">
        <w:r>
          <w:rPr>
            <w:rStyle w:val="Hyperlink"/>
          </w:rPr>
          <w:t xml:space="preserve">https://doi.org/10.1063/1.3528102</w:t>
        </w:r>
      </w:hyperlink>
      <w:r>
        <w:t xml:space="preserve">.</w:t>
      </w:r>
    </w:p>
    <w:bookmarkEnd w:id="125"/>
    <w:bookmarkStart w:id="127"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6">
        <w:r>
          <w:rPr>
            <w:rStyle w:val="Hyperlink"/>
          </w:rPr>
          <w:t xml:space="preserve">https://doi.org/10.1098/rsta.2011.0544</w:t>
        </w:r>
      </w:hyperlink>
      <w:r>
        <w:t xml:space="preserve">.</w:t>
      </w:r>
    </w:p>
    <w:bookmarkEnd w:id="127"/>
    <w:bookmarkStart w:id="129"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8">
        <w:r>
          <w:rPr>
            <w:rStyle w:val="Hyperlink"/>
          </w:rPr>
          <w:t xml:space="preserve">https://doi.org/10.1038/srep29635</w:t>
        </w:r>
      </w:hyperlink>
      <w:r>
        <w:t xml:space="preserve">.</w:t>
      </w:r>
    </w:p>
    <w:bookmarkEnd w:id="129"/>
    <w:bookmarkStart w:id="131"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30">
        <w:r>
          <w:rPr>
            <w:rStyle w:val="Hyperlink"/>
          </w:rPr>
          <w:t xml:space="preserve">https://doi.org/10.1115/DETC2005-85597</w:t>
        </w:r>
      </w:hyperlink>
      <w:r>
        <w:t xml:space="preserve">.</w:t>
      </w:r>
    </w:p>
    <w:bookmarkEnd w:id="131"/>
    <w:bookmarkStart w:id="133" w:name="ref-siskos2017"/>
    <w:p>
      <w:pPr>
        <w:pStyle w:val="Bibliography"/>
      </w:pPr>
      <w:r>
        <w:t xml:space="preserve">Siskos, Alexandros P., Pooja Jain, Werner Römisch-Margl, Mark Bennett, David Achaintre, Yasmin Asad, Luke Marney, et al. 2017.</w:t>
      </w:r>
      <w:r>
        <w:t xml:space="preserve"> </w:t>
      </w:r>
      <w:r>
        <w:t xml:space="preserve">“Interlaboratory</w:t>
      </w:r>
      <w:r>
        <w:t xml:space="preserve"> </w:t>
      </w:r>
      <w:r>
        <w:t xml:space="preserve">Reproducibility</w:t>
      </w:r>
      <w:r>
        <w:t xml:space="preserve"> </w:t>
      </w:r>
      <w:r>
        <w:t xml:space="preserve">of a</w:t>
      </w:r>
      <w:r>
        <w:t xml:space="preserve"> </w:t>
      </w:r>
      <w:r>
        <w:t xml:space="preserve">Targeted Metabolomics Platform</w:t>
      </w:r>
      <w:r>
        <w:t xml:space="preserve"> </w:t>
      </w:r>
      <w:r>
        <w:t xml:space="preserve">for</w:t>
      </w:r>
      <w:r>
        <w:t xml:space="preserve"> </w:t>
      </w:r>
      <w:r>
        <w:t xml:space="preserve">Analysis</w:t>
      </w:r>
      <w:r>
        <w:t xml:space="preserve"> </w:t>
      </w:r>
      <w:r>
        <w:t xml:space="preserve">of</w:t>
      </w:r>
      <w:r>
        <w:t xml:space="preserve"> </w:t>
      </w:r>
      <w:r>
        <w:t xml:space="preserve">Human Serum</w:t>
      </w:r>
      <w:r>
        <w:t xml:space="preserve"> </w:t>
      </w:r>
      <w:r>
        <w:t xml:space="preserve">and</w:t>
      </w:r>
      <w:r>
        <w:t xml:space="preserve"> </w:t>
      </w:r>
      <w:r>
        <w:t xml:space="preserve">Plasma</w:t>
      </w:r>
      <w:r>
        <w:t xml:space="preserve">.”</w:t>
      </w:r>
      <w:r>
        <w:t xml:space="preserve"> </w:t>
      </w:r>
      <w:r>
        <w:rPr>
          <w:iCs/>
          <w:i/>
        </w:rPr>
        <w:t xml:space="preserve">Analytical Chemistry</w:t>
      </w:r>
      <w:r>
        <w:t xml:space="preserve"> </w:t>
      </w:r>
      <w:r>
        <w:t xml:space="preserve">89 (1): 656–65.</w:t>
      </w:r>
      <w:r>
        <w:t xml:space="preserve"> </w:t>
      </w:r>
      <w:hyperlink r:id="rId132">
        <w:r>
          <w:rPr>
            <w:rStyle w:val="Hyperlink"/>
          </w:rPr>
          <w:t xml:space="preserve">https://doi.org/10.1021/acs.analchem.6b02930</w:t>
        </w:r>
      </w:hyperlink>
      <w:r>
        <w:t xml:space="preserve">.</w:t>
      </w:r>
    </w:p>
    <w:bookmarkEnd w:id="133"/>
    <w:bookmarkStart w:id="135" w:name="X26e18e9ff28c51352afd19298ffee6a438bd7fe"/>
    <w:p>
      <w:pPr>
        <w:pStyle w:val="Bibliography"/>
      </w:pPr>
      <w:r>
        <w:t xml:space="preserve">St. John, Peter C., Jonathan Strutz, Linda J. Broadbelt, Keith E. J. Tyo, and Yannick J. Bomble. 2019.</w:t>
      </w:r>
      <w:r>
        <w:t xml:space="preserve"> </w:t>
      </w:r>
      <w:r>
        <w:t xml:space="preserve">“Bayesian Inference of Metabolic Kinetics from Genome-Scale Multiomics Data.”</w:t>
      </w:r>
      <w:r>
        <w:t xml:space="preserve"> </w:t>
      </w:r>
      <w:r>
        <w:rPr>
          <w:iCs/>
          <w:i/>
        </w:rPr>
        <w:t xml:space="preserve">PLOS Computational Biology</w:t>
      </w:r>
      <w:r>
        <w:t xml:space="preserve"> </w:t>
      </w:r>
      <w:r>
        <w:t xml:space="preserve">15 (11): 1–23.</w:t>
      </w:r>
      <w:r>
        <w:t xml:space="preserve"> </w:t>
      </w:r>
      <w:hyperlink r:id="rId134">
        <w:r>
          <w:rPr>
            <w:rStyle w:val="Hyperlink"/>
          </w:rPr>
          <w:t xml:space="preserve">https://doi.org/10.1371/journal.pcbi.1007424</w:t>
        </w:r>
      </w:hyperlink>
      <w:r>
        <w:t xml:space="preserve">.</w:t>
      </w:r>
    </w:p>
    <w:bookmarkEnd w:id="135"/>
    <w:bookmarkStart w:id="137"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6">
        <w:r>
          <w:rPr>
            <w:rStyle w:val="Hyperlink"/>
          </w:rPr>
          <w:t xml:space="preserve">https://github.com/stan-dev/cmdstanpy</w:t>
        </w:r>
      </w:hyperlink>
      <w:r>
        <w:t xml:space="preserve">.</w:t>
      </w:r>
    </w:p>
    <w:bookmarkEnd w:id="137"/>
    <w:bookmarkStart w:id="139"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8">
        <w:r>
          <w:rPr>
            <w:rStyle w:val="Hyperlink"/>
          </w:rPr>
          <w:t xml:space="preserve">https://doi.org/10.1093/bioinformatics/btx676</w:t>
        </w:r>
      </w:hyperlink>
      <w:r>
        <w:t xml:space="preserve">.</w:t>
      </w:r>
    </w:p>
    <w:bookmarkEnd w:id="139"/>
    <w:bookmarkStart w:id="141" w:name="ref-tabb2010"/>
    <w:p>
      <w:pPr>
        <w:pStyle w:val="Bibliography"/>
      </w:pPr>
      <w:r>
        <w:t xml:space="preserve">Tabb, David L., Lorenzo Vega-Montoto, Paul A. Rudnick, Asokan Mulayath Variyath, Amy-Joan L. Ham, David M. Bunk, Lisa E. Kilpatrick, et al. 2010.</w:t>
      </w:r>
      <w:r>
        <w:t xml:space="preserve"> </w:t>
      </w:r>
      <w:r>
        <w:t xml:space="preserve">“Repeatability and</w:t>
      </w:r>
      <w:r>
        <w:t xml:space="preserve"> </w:t>
      </w:r>
      <w:r>
        <w:t xml:space="preserve">Reproducibility</w:t>
      </w:r>
      <w:r>
        <w:t xml:space="preserve"> </w:t>
      </w:r>
      <w:r>
        <w:t xml:space="preserve">in</w:t>
      </w:r>
      <w:r>
        <w:t xml:space="preserve"> </w:t>
      </w:r>
      <w:r>
        <w:t xml:space="preserve">Proteomic Identifications</w:t>
      </w:r>
      <w:r>
        <w:t xml:space="preserve"> </w:t>
      </w:r>
      <w:r>
        <w:t xml:space="preserve">by</w:t>
      </w:r>
      <w:r>
        <w:t xml:space="preserve"> </w:t>
      </w:r>
      <w:r>
        <w:t xml:space="preserve">Liquid Chromatography</w:t>
      </w:r>
      <w:r>
        <w:t xml:space="preserve">−</w:t>
      </w:r>
      <w:r>
        <w:t xml:space="preserve">Tandem Mass Spectrometry</w:t>
      </w:r>
      <w:r>
        <w:t xml:space="preserve">.”</w:t>
      </w:r>
      <w:r>
        <w:t xml:space="preserve"> </w:t>
      </w:r>
      <w:r>
        <w:rPr>
          <w:iCs/>
          <w:i/>
        </w:rPr>
        <w:t xml:space="preserve">Journal of Proteome Research</w:t>
      </w:r>
      <w:r>
        <w:t xml:space="preserve"> </w:t>
      </w:r>
      <w:r>
        <w:t xml:space="preserve">9 (2): 761–76.</w:t>
      </w:r>
      <w:r>
        <w:t xml:space="preserve"> </w:t>
      </w:r>
      <w:hyperlink r:id="rId140">
        <w:r>
          <w:rPr>
            <w:rStyle w:val="Hyperlink"/>
          </w:rPr>
          <w:t xml:space="preserve">https://doi.org/10.1021/pr9006365</w:t>
        </w:r>
      </w:hyperlink>
      <w:r>
        <w:t xml:space="preserve">.</w:t>
      </w:r>
    </w:p>
    <w:bookmarkEnd w:id="141"/>
    <w:bookmarkStart w:id="143" w:name="X4b2652bd788d2cffe93c113d57ef4f847046aae"/>
    <w:p>
      <w:pPr>
        <w:pStyle w:val="Bibliography"/>
      </w:pPr>
      <w:r>
        <w:t xml:space="preserve">Timonen, Juho, Nikolas Siccha, Ben Bales, Harri Lähdesm 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no. arXiv:2205.09059 (May).</w:t>
      </w:r>
      <w:r>
        <w:t xml:space="preserve"> </w:t>
      </w:r>
      <w:hyperlink r:id="rId142">
        <w:r>
          <w:rPr>
            <w:rStyle w:val="Hyperlink"/>
          </w:rPr>
          <w:t xml:space="preserve">https://doi.org/10.48550/arXiv.2205.09059</w:t>
        </w:r>
      </w:hyperlink>
      <w:r>
        <w:t xml:space="preserve">.</w:t>
      </w:r>
    </w:p>
    <w:bookmarkEnd w:id="143"/>
    <w:bookmarkStart w:id="144"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44"/>
    <w:bookmarkStart w:id="146"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m:oMath>
        <m:acc>
          <m:accPr>
            <m:chr m:val="̂"/>
          </m:accPr>
          <m:e>
            <m:r>
              <m:t>R</m:t>
            </m:r>
          </m:e>
        </m:acc>
      </m:oMath>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5">
        <w:r>
          <w:rPr>
            <w:rStyle w:val="Hyperlink"/>
          </w:rPr>
          <w:t xml:space="preserve">https://doi.org/10.1214/20-BA1221</w:t>
        </w:r>
      </w:hyperlink>
      <w:r>
        <w:t xml:space="preserve">.</w:t>
      </w:r>
    </w:p>
    <w:bookmarkEnd w:id="146"/>
    <w:bookmarkStart w:id="148" w:name="ref-vehtariParetoSmoothedImportance2022"/>
    <w:p>
      <w:pPr>
        <w:pStyle w:val="Bibliography"/>
      </w:pPr>
      <w:r>
        <w:t xml:space="preserve">Vehtari, Aki, Daniel Simpson, Andrew Gelman, Yuling Yao, and Jonah Gabry. 2022.</w:t>
      </w:r>
      <w:r>
        <w:t xml:space="preserve"> </w:t>
      </w:r>
      <w:r>
        <w:t xml:space="preserve">“Pareto</w:t>
      </w:r>
      <w:r>
        <w:t xml:space="preserve"> </w:t>
      </w:r>
      <w:r>
        <w:t xml:space="preserve">Smoothed Importance Sampling</w:t>
      </w:r>
      <w:r>
        <w:t xml:space="preserve">.”</w:t>
      </w:r>
      <w:r>
        <w:t xml:space="preserve"> </w:t>
      </w:r>
      <w:r>
        <w:t xml:space="preserve">arXiv</w:t>
      </w:r>
      <w:r>
        <w:t xml:space="preserve">.</w:t>
      </w:r>
      <w:r>
        <w:t xml:space="preserve"> </w:t>
      </w:r>
      <w:hyperlink r:id="rId147">
        <w:r>
          <w:rPr>
            <w:rStyle w:val="Hyperlink"/>
          </w:rPr>
          <w:t xml:space="preserve">http://arxiv.org/abs/1507.02646</w:t>
        </w:r>
      </w:hyperlink>
      <w:r>
        <w:t xml:space="preserve">.</w:t>
      </w:r>
    </w:p>
    <w:bookmarkEnd w:id="148"/>
    <w:bookmarkStart w:id="150"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9">
        <w:r>
          <w:rPr>
            <w:rStyle w:val="Hyperlink"/>
          </w:rPr>
          <w:t xml:space="preserve">https://doi.org/10.1016/s1096-7176(03)00025-9</w:t>
        </w:r>
      </w:hyperlink>
      <w:r>
        <w:t xml:space="preserve">.</w:t>
      </w:r>
    </w:p>
    <w:bookmarkEnd w:id="150"/>
    <w:bookmarkStart w:id="152"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51">
        <w:r>
          <w:rPr>
            <w:rStyle w:val="Hyperlink"/>
          </w:rPr>
          <w:t xml:space="preserve">https://doi.org/10.1371/journal.pcbi.1005227</w:t>
        </w:r>
      </w:hyperlink>
      <w:r>
        <w:t xml:space="preserve">.</w:t>
      </w:r>
    </w:p>
    <w:bookmarkEnd w:id="152"/>
    <w:bookmarkEnd w:id="153"/>
    <w:bookmarkEnd w:id="1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hyperlink" Id="rId147" Target="http://arxiv.org/abs/1507.02646" TargetMode="External" /><Relationship Type="http://schemas.openxmlformats.org/officeDocument/2006/relationships/hyperlink" Id="rId67" Target="http://arxiv.org/abs/1701.02434" TargetMode="External" /><Relationship Type="http://schemas.openxmlformats.org/officeDocument/2006/relationships/hyperlink" Id="rId82" Target="http://arxiv.org/abs/2011.01808" TargetMode="External" /><Relationship Type="http://schemas.openxmlformats.org/officeDocument/2006/relationships/hyperlink" Id="rId61" Target="https://biosustain/Methionine_model" TargetMode="External" /><Relationship Type="http://schemas.openxmlformats.org/officeDocument/2006/relationships/hyperlink" Id="rId104" Target="https://doi.org/10.1006/jtbi.2000.2035" TargetMode="External" /><Relationship Type="http://schemas.openxmlformats.org/officeDocument/2006/relationships/hyperlink" Id="rId118" Target="https://doi.org/10.1016/0014-5793(75)80034-2" TargetMode="External" /><Relationship Type="http://schemas.openxmlformats.org/officeDocument/2006/relationships/hyperlink" Id="rId108" Target="https://doi.org/10.1016/S0022-2836(65)80285-6" TargetMode="External" /><Relationship Type="http://schemas.openxmlformats.org/officeDocument/2006/relationships/hyperlink" Id="rId73" Target="https://doi.org/10.1016/j.cels.2018.04.009" TargetMode="External" /><Relationship Type="http://schemas.openxmlformats.org/officeDocument/2006/relationships/hyperlink" Id="rId94" Target="https://doi.org/10.1016/j.cmet.2017.08.017" TargetMode="External" /><Relationship Type="http://schemas.openxmlformats.org/officeDocument/2006/relationships/hyperlink" Id="rId112" Target="https://doi.org/10.1016/j.febslet.2013.07.028" TargetMode="External" /><Relationship Type="http://schemas.openxmlformats.org/officeDocument/2006/relationships/hyperlink" Id="rId77" Target="https://doi.org/10.1016/j.ymben.2016.09.005" TargetMode="External" /><Relationship Type="http://schemas.openxmlformats.org/officeDocument/2006/relationships/hyperlink" Id="rId84" Target="https://doi.org/10.1016/j.ymben.2020.03.001" TargetMode="External" /><Relationship Type="http://schemas.openxmlformats.org/officeDocument/2006/relationships/hyperlink" Id="rId149" Target="https://doi.org/10.1016/s1096-7176(03)00025-9" TargetMode="External" /><Relationship Type="http://schemas.openxmlformats.org/officeDocument/2006/relationships/hyperlink" Id="rId116" Target="https://doi.org/10.1017/S0266466698144043" TargetMode="External" /><Relationship Type="http://schemas.openxmlformats.org/officeDocument/2006/relationships/hyperlink" Id="rId132" Target="https://doi.org/10.1021/acs.analchem.6b02930" TargetMode="External" /><Relationship Type="http://schemas.openxmlformats.org/officeDocument/2006/relationships/hyperlink" Id="rId140" Target="https://doi.org/10.1021/pr9006365" TargetMode="External" /><Relationship Type="http://schemas.openxmlformats.org/officeDocument/2006/relationships/hyperlink" Id="rId71" Target="https://doi.org/10.1038/nrm3695" TargetMode="External" /><Relationship Type="http://schemas.openxmlformats.org/officeDocument/2006/relationships/hyperlink" Id="rId128" Target="https://doi.org/10.1038/srep29635" TargetMode="External" /><Relationship Type="http://schemas.openxmlformats.org/officeDocument/2006/relationships/hyperlink" Id="rId124" Target="https://doi.org/10.1063/1.3528102" TargetMode="External" /><Relationship Type="http://schemas.openxmlformats.org/officeDocument/2006/relationships/hyperlink" Id="rId106" Target="https://doi.org/10.1093/bioadv/vbac066" TargetMode="External" /><Relationship Type="http://schemas.openxmlformats.org/officeDocument/2006/relationships/hyperlink" Id="rId98" Target="https://doi.org/10.1093/bioinformatics/btq141" TargetMode="External" /><Relationship Type="http://schemas.openxmlformats.org/officeDocument/2006/relationships/hyperlink" Id="rId138" Target="https://doi.org/10.1093/bioinformatics/btx676" TargetMode="External" /><Relationship Type="http://schemas.openxmlformats.org/officeDocument/2006/relationships/hyperlink" Id="rId126" Target="https://doi.org/10.1098/rsta.2011.0544" TargetMode="External" /><Relationship Type="http://schemas.openxmlformats.org/officeDocument/2006/relationships/hyperlink" Id="rId130" Target="https://doi.org/10.1115/DETC2005-85597" TargetMode="External" /><Relationship Type="http://schemas.openxmlformats.org/officeDocument/2006/relationships/hyperlink" Id="rId79" Target="https://doi.org/10.1126/sciadv.1600200" TargetMode="External" /><Relationship Type="http://schemas.openxmlformats.org/officeDocument/2006/relationships/hyperlink" Id="rId100" Target="https://doi.org/10.1146/annurev-biochem-061516-044952" TargetMode="External" /><Relationship Type="http://schemas.openxmlformats.org/officeDocument/2006/relationships/hyperlink" Id="rId145" Target="https://doi.org/10.1214/20-BA1221" TargetMode="External" /><Relationship Type="http://schemas.openxmlformats.org/officeDocument/2006/relationships/hyperlink" Id="rId86" Target="https://doi.org/10.1371/journal.pcbi.0030189" TargetMode="External" /><Relationship Type="http://schemas.openxmlformats.org/officeDocument/2006/relationships/hyperlink" Id="rId90" Target="https://doi.org/10.1371/journal.pcbi.1000076" TargetMode="External" /><Relationship Type="http://schemas.openxmlformats.org/officeDocument/2006/relationships/hyperlink" Id="rId151" Target="https://doi.org/10.1371/journal.pcbi.1005227" TargetMode="External" /><Relationship Type="http://schemas.openxmlformats.org/officeDocument/2006/relationships/hyperlink" Id="rId134" Target="https://doi.org/10.1371/journal.pcbi.1007424" TargetMode="External" /><Relationship Type="http://schemas.openxmlformats.org/officeDocument/2006/relationships/hyperlink" Id="rId69" Target="https://doi.org/10.18637/jss.v076.i01" TargetMode="External" /><Relationship Type="http://schemas.openxmlformats.org/officeDocument/2006/relationships/hyperlink" Id="rId92" Target="https://doi.org/10.21105/joss.01143" TargetMode="External" /><Relationship Type="http://schemas.openxmlformats.org/officeDocument/2006/relationships/hyperlink" Id="rId96" Target="https://doi.org/10.3390/metabo11110749" TargetMode="External" /><Relationship Type="http://schemas.openxmlformats.org/officeDocument/2006/relationships/hyperlink" Id="rId110" Target="https://doi.org/10.4161/epi.1.2.2677" TargetMode="External" /><Relationship Type="http://schemas.openxmlformats.org/officeDocument/2006/relationships/hyperlink" Id="rId142" Target="https://doi.org/10.48550/arXiv.2205.09059" TargetMode="External" /><Relationship Type="http://schemas.openxmlformats.org/officeDocument/2006/relationships/hyperlink" Id="rId102"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6"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5" Target="https://pypi.org/project/click/" TargetMode="External" /><Relationship Type="http://schemas.openxmlformats.org/officeDocument/2006/relationships/hyperlink" Id="rId122" Target="https://pypi.org/project/pydantic/" TargetMode="External" /><Relationship Type="http://schemas.openxmlformats.org/officeDocument/2006/relationships/hyperlink" Id="rId114" Target="https://pypi.org/project/toml/" TargetMode="External" /><Relationship Type="http://schemas.openxmlformats.org/officeDocument/2006/relationships/hyperlink" Id="rId120" Target="https://www.ncbi.nlm.nih.gov/pubmed/156878" TargetMode="External" /><Relationship Type="http://schemas.openxmlformats.org/officeDocument/2006/relationships/hyperlink" Id="rId88"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147" Target="http://arxiv.org/abs/1507.02646" TargetMode="External" /><Relationship Type="http://schemas.openxmlformats.org/officeDocument/2006/relationships/hyperlink" Id="rId67" Target="http://arxiv.org/abs/1701.02434" TargetMode="External" /><Relationship Type="http://schemas.openxmlformats.org/officeDocument/2006/relationships/hyperlink" Id="rId82" Target="http://arxiv.org/abs/2011.01808" TargetMode="External" /><Relationship Type="http://schemas.openxmlformats.org/officeDocument/2006/relationships/hyperlink" Id="rId61" Target="https://biosustain/Methionine_model" TargetMode="External" /><Relationship Type="http://schemas.openxmlformats.org/officeDocument/2006/relationships/hyperlink" Id="rId104" Target="https://doi.org/10.1006/jtbi.2000.2035" TargetMode="External" /><Relationship Type="http://schemas.openxmlformats.org/officeDocument/2006/relationships/hyperlink" Id="rId118" Target="https://doi.org/10.1016/0014-5793(75)80034-2" TargetMode="External" /><Relationship Type="http://schemas.openxmlformats.org/officeDocument/2006/relationships/hyperlink" Id="rId108" Target="https://doi.org/10.1016/S0022-2836(65)80285-6" TargetMode="External" /><Relationship Type="http://schemas.openxmlformats.org/officeDocument/2006/relationships/hyperlink" Id="rId73" Target="https://doi.org/10.1016/j.cels.2018.04.009" TargetMode="External" /><Relationship Type="http://schemas.openxmlformats.org/officeDocument/2006/relationships/hyperlink" Id="rId94" Target="https://doi.org/10.1016/j.cmet.2017.08.017" TargetMode="External" /><Relationship Type="http://schemas.openxmlformats.org/officeDocument/2006/relationships/hyperlink" Id="rId112" Target="https://doi.org/10.1016/j.febslet.2013.07.028" TargetMode="External" /><Relationship Type="http://schemas.openxmlformats.org/officeDocument/2006/relationships/hyperlink" Id="rId77" Target="https://doi.org/10.1016/j.ymben.2016.09.005" TargetMode="External" /><Relationship Type="http://schemas.openxmlformats.org/officeDocument/2006/relationships/hyperlink" Id="rId84" Target="https://doi.org/10.1016/j.ymben.2020.03.001" TargetMode="External" /><Relationship Type="http://schemas.openxmlformats.org/officeDocument/2006/relationships/hyperlink" Id="rId149" Target="https://doi.org/10.1016/s1096-7176(03)00025-9" TargetMode="External" /><Relationship Type="http://schemas.openxmlformats.org/officeDocument/2006/relationships/hyperlink" Id="rId116" Target="https://doi.org/10.1017/S0266466698144043" TargetMode="External" /><Relationship Type="http://schemas.openxmlformats.org/officeDocument/2006/relationships/hyperlink" Id="rId132" Target="https://doi.org/10.1021/acs.analchem.6b02930" TargetMode="External" /><Relationship Type="http://schemas.openxmlformats.org/officeDocument/2006/relationships/hyperlink" Id="rId140" Target="https://doi.org/10.1021/pr9006365" TargetMode="External" /><Relationship Type="http://schemas.openxmlformats.org/officeDocument/2006/relationships/hyperlink" Id="rId71" Target="https://doi.org/10.1038/nrm3695" TargetMode="External" /><Relationship Type="http://schemas.openxmlformats.org/officeDocument/2006/relationships/hyperlink" Id="rId128" Target="https://doi.org/10.1038/srep29635" TargetMode="External" /><Relationship Type="http://schemas.openxmlformats.org/officeDocument/2006/relationships/hyperlink" Id="rId124" Target="https://doi.org/10.1063/1.3528102" TargetMode="External" /><Relationship Type="http://schemas.openxmlformats.org/officeDocument/2006/relationships/hyperlink" Id="rId106" Target="https://doi.org/10.1093/bioadv/vbac066" TargetMode="External" /><Relationship Type="http://schemas.openxmlformats.org/officeDocument/2006/relationships/hyperlink" Id="rId98" Target="https://doi.org/10.1093/bioinformatics/btq141" TargetMode="External" /><Relationship Type="http://schemas.openxmlformats.org/officeDocument/2006/relationships/hyperlink" Id="rId138" Target="https://doi.org/10.1093/bioinformatics/btx676" TargetMode="External" /><Relationship Type="http://schemas.openxmlformats.org/officeDocument/2006/relationships/hyperlink" Id="rId126" Target="https://doi.org/10.1098/rsta.2011.0544" TargetMode="External" /><Relationship Type="http://schemas.openxmlformats.org/officeDocument/2006/relationships/hyperlink" Id="rId130" Target="https://doi.org/10.1115/DETC2005-85597" TargetMode="External" /><Relationship Type="http://schemas.openxmlformats.org/officeDocument/2006/relationships/hyperlink" Id="rId79" Target="https://doi.org/10.1126/sciadv.1600200" TargetMode="External" /><Relationship Type="http://schemas.openxmlformats.org/officeDocument/2006/relationships/hyperlink" Id="rId100" Target="https://doi.org/10.1146/annurev-biochem-061516-044952" TargetMode="External" /><Relationship Type="http://schemas.openxmlformats.org/officeDocument/2006/relationships/hyperlink" Id="rId145" Target="https://doi.org/10.1214/20-BA1221" TargetMode="External" /><Relationship Type="http://schemas.openxmlformats.org/officeDocument/2006/relationships/hyperlink" Id="rId86" Target="https://doi.org/10.1371/journal.pcbi.0030189" TargetMode="External" /><Relationship Type="http://schemas.openxmlformats.org/officeDocument/2006/relationships/hyperlink" Id="rId90" Target="https://doi.org/10.1371/journal.pcbi.1000076" TargetMode="External" /><Relationship Type="http://schemas.openxmlformats.org/officeDocument/2006/relationships/hyperlink" Id="rId151" Target="https://doi.org/10.1371/journal.pcbi.1005227" TargetMode="External" /><Relationship Type="http://schemas.openxmlformats.org/officeDocument/2006/relationships/hyperlink" Id="rId134" Target="https://doi.org/10.1371/journal.pcbi.1007424" TargetMode="External" /><Relationship Type="http://schemas.openxmlformats.org/officeDocument/2006/relationships/hyperlink" Id="rId69" Target="https://doi.org/10.18637/jss.v076.i01" TargetMode="External" /><Relationship Type="http://schemas.openxmlformats.org/officeDocument/2006/relationships/hyperlink" Id="rId92" Target="https://doi.org/10.21105/joss.01143" TargetMode="External" /><Relationship Type="http://schemas.openxmlformats.org/officeDocument/2006/relationships/hyperlink" Id="rId96" Target="https://doi.org/10.3390/metabo11110749" TargetMode="External" /><Relationship Type="http://schemas.openxmlformats.org/officeDocument/2006/relationships/hyperlink" Id="rId110" Target="https://doi.org/10.4161/epi.1.2.2677" TargetMode="External" /><Relationship Type="http://schemas.openxmlformats.org/officeDocument/2006/relationships/hyperlink" Id="rId142" Target="https://doi.org/10.48550/arXiv.2205.09059" TargetMode="External" /><Relationship Type="http://schemas.openxmlformats.org/officeDocument/2006/relationships/hyperlink" Id="rId102"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6"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5" Target="https://pypi.org/project/click/" TargetMode="External" /><Relationship Type="http://schemas.openxmlformats.org/officeDocument/2006/relationships/hyperlink" Id="rId122" Target="https://pypi.org/project/pydantic/" TargetMode="External" /><Relationship Type="http://schemas.openxmlformats.org/officeDocument/2006/relationships/hyperlink" Id="rId114" Target="https://pypi.org/project/toml/" TargetMode="External" /><Relationship Type="http://schemas.openxmlformats.org/officeDocument/2006/relationships/hyperlink" Id="rId120" Target="https://www.ncbi.nlm.nih.gov/pubmed/156878" TargetMode="External" /><Relationship Type="http://schemas.openxmlformats.org/officeDocument/2006/relationships/hyperlink" Id="rId88"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2024-02-08T14:10:19Z</dcterms:created>
  <dcterms:modified xsi:type="dcterms:W3CDTF">2024-02-08T14:10:19Z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