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2.png" ContentType="image/png"/>
  <Override PartName="/word/media/rId2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Hierarchical</w:t>
      </w:r>
      <w:r>
        <w:t xml:space="preserve"> </w:t>
      </w:r>
      <w:r>
        <w:t xml:space="preserve">Bayesian</w:t>
      </w:r>
      <w:r>
        <w:t xml:space="preserve"> </w:t>
      </w:r>
      <w:r>
        <w:t xml:space="preserve">regression</w:t>
      </w:r>
      <w:r>
        <w:t xml:space="preserve"> </w:t>
      </w:r>
      <w:r>
        <w:t xml:space="preserve">modelling</w:t>
      </w:r>
      <w:r>
        <w:t xml:space="preserve"> </w:t>
      </w:r>
      <w:r>
        <w:t xml:space="preserve">predicts</w:t>
      </w:r>
      <w:r>
        <w:t xml:space="preserve"> </w:t>
      </w:r>
      <w:r>
        <w:t xml:space="preserve">biochemical</w:t>
      </w:r>
      <w:r>
        <w:t xml:space="preserve"> </w:t>
      </w:r>
      <w:r>
        <w:t xml:space="preserve">rection</w:t>
      </w:r>
      <w:r>
        <w:t xml:space="preserve"> </w:t>
      </w:r>
      <w:r>
        <w:t xml:space="preserve">energies</w:t>
      </w:r>
      <w:r>
        <w:t xml:space="preserve"> </w:t>
      </w:r>
      <w:r>
        <w:t xml:space="preserve">and</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(P. A. 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 (REFERENCES) for more about Bayesian inference and (REFERENCE) for a</w:t>
      </w:r>
      <w:r>
        <w:t xml:space="preserve"> </w:t>
      </w:r>
      <w:r>
        <w:t xml:space="preserve">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P. A.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P. A. 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48" w:name="results-and-discussion"/>
    <w:p>
      <w:pPr>
        <w:pStyle w:val="Heading1"/>
      </w:pPr>
      <w:r>
        <w:t xml:space="preserve">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p>
            <w:pP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CAPTION - FILL THIS IN!</w:t>
            </w:r>
          </w:p>
          <w:bookmarkEnd w:id="24"/>
        </w:tc>
      </w:tr>
    </w:tbl>
    <w:bookmarkStart w:id="30" w:name="dataset-and-model-specification"/>
    <w:p>
      <w:pPr>
        <w:pStyle w:val="Heading2"/>
      </w:pPr>
      <w:r>
        <w:t xml:space="preserve">Dataset and model specification</w:t>
      </w:r>
    </w:p>
    <w:p>
      <w:pPr>
        <w:pStyle w:val="FirstParagraph"/>
      </w:pPr>
      <w:r>
        <w:t xml:space="preserve">The simulated dataset and underlying kinetic model that we used for our analysis</w:t>
      </w:r>
      <w:r>
        <w:t xml:space="preserve"> </w:t>
      </w:r>
      <w:r>
        <w:t xml:space="preserve">can be found in [#Supplementary Info].</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P. Saa and Nielsen (2015)</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P. Saa and Nielsen (2015)</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w:t>
      </w:r>
    </w:p>
    <w:p>
      <w:pPr>
        <w:pStyle w:val="BodyText"/>
      </w:pPr>
    </w:p>
    <w:bookmarkStart w:id="25" w:name="measurement-model"/>
    <w:p>
      <w:pPr>
        <w:pStyle w:val="Heading3"/>
      </w:pPr>
      <w:r>
        <w:t xml:space="preserve">Measurement model</w:t>
      </w:r>
    </w:p>
    <w:p>
      <w:pPr>
        <w:pStyle w:val="FirstParagraph"/>
      </w:pPr>
      <w:r>
        <w:t xml:space="preserve">Generating an artificial dataset required a specification of the true</w:t>
      </w:r>
      <w:r>
        <w:t xml:space="preserve"> </w:t>
      </w:r>
      <w:r>
        <w:t xml:space="preserve">measurement error; we specified a standard deviation of 0.1 on logarithmic</w:t>
      </w:r>
      <w:r>
        <w:t xml:space="preserve"> </w:t>
      </w:r>
      <w:r>
        <w:t xml:space="preserve">scale for enzyme and metabolite concentration measurements, corresponding to</w:t>
      </w:r>
      <w:r>
        <w:t xml:space="preserve"> </w:t>
      </w:r>
      <w:r>
        <w:t xml:space="preserve">approximately 10% measurement error and a standard deviation for each reaction</w:t>
      </w:r>
      <w:r>
        <w:t xml:space="preserve"> </w:t>
      </w:r>
      <w:r>
        <w:t xml:space="preserve">measurement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5"/>
    <w:bookmarkStart w:id="26" w:name="trainingvalidation-split"/>
    <w:p>
      <w:pPr>
        <w:pStyle w:val="Heading3"/>
      </w:pPr>
      <w:r>
        <w:t xml:space="preserve">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6"/>
    <w:bookmarkStart w:id="27" w:name="Xc97ebb001e328f1d4a6ebf35b1c2461230f898d"/>
    <w:p>
      <w:pPr>
        <w:pStyle w:val="Heading3"/>
      </w:pPr>
      <w:r>
        <w:t xml:space="preserve">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7"/>
    <w:bookmarkStart w:id="28" w:name="maud-input-specification"/>
    <w:p>
      <w:pPr>
        <w:pStyle w:val="Heading3"/>
      </w:pPr>
      <w:r>
        <w:t xml:space="preserve">Maud input specification</w:t>
      </w:r>
    </w:p>
    <w:p>
      <w:pPr>
        <w:pStyle w:val="FirstParagraph"/>
      </w:pPr>
      <w:r>
        <w:t xml:space="preserve">We constructed inputs in Maud’s format for each of the analysed datasets, based on the scenario that the true kinetic model was known except for parameter values, which needed to be inferred from the training data and priors. These inputs can be found at XXXX.</w:t>
      </w:r>
    </w:p>
    <w:p>
      <w:pPr>
        <w:pStyle w:val="BodyText"/>
      </w:pPr>
      <w:r>
        <w:t xml:space="preserve">The prior distributions and corresponding true parameter values used in our case</w:t>
      </w:r>
      <w:r>
        <w:t xml:space="preserve"> </w:t>
      </w:r>
      <w:r>
        <w:t xml:space="preserve">study are shown in [Supplementary]. The first two columns show the 1% and 99%</w:t>
      </w:r>
      <w:r>
        <w:t xml:space="preserve"> </w:t>
      </w:r>
      <w:r>
        <w:t xml:space="preserve">quantiles of each marginal prior distribution. True parameter value are shown</w:t>
      </w:r>
      <w:r>
        <w:t xml:space="preserve"> </w:t>
      </w:r>
      <w:r>
        <w:t xml:space="preserve">in column three, and the last column shows the z-score on log scale of the true</w:t>
      </w:r>
      <w:r>
        <w:t xml:space="preserve"> </w:t>
      </w:r>
      <w:r>
        <w:t xml:space="preserve">parameter value according the marginal prior distribution. As seen in table</w:t>
      </w:r>
      <w:r>
        <w:t xml:space="preserve"> </w:t>
      </w:r>
      <w:r>
        <w:t xml:space="preserve">2 [REFERENCE] there are 7 parameters for which the true value is outside the</w:t>
      </w:r>
      <w:r>
        <w:t xml:space="preserve"> </w:t>
      </w:r>
      <w:r>
        <w:t xml:space="preserve">1%-99% range. This is desirable, making the case study more realistic, because</w:t>
      </w:r>
      <w:r>
        <w:t xml:space="preserve"> </w:t>
      </w:r>
      <w:r>
        <w:t xml:space="preserve">extreme deviance from the prior distribution is likely to occur in practice due</w:t>
      </w:r>
      <w:r>
        <w:t xml:space="preserve"> </w:t>
      </w:r>
      <w:r>
        <w:t xml:space="preserve">to in vivo to in vitro measurement differences.</w:t>
      </w:r>
    </w:p>
    <w:bookmarkEnd w:id="28"/>
    <w:bookmarkStart w:id="29" w:name="computation"/>
    <w:p>
      <w:pPr>
        <w:pStyle w:val="Heading3"/>
      </w:pPr>
      <w:r>
        <w:t xml:space="preserve">Computation</w:t>
      </w:r>
    </w:p>
    <w:p>
      <w:pPr>
        <w:pStyle w:val="FirstParagraph"/>
      </w:pPr>
      <w:r>
        <w:t xml:space="preserve">We conducted adaptive Hamiltonian Monte Carlo sampling for the full and missing-</w:t>
      </w:r>
      <w:r>
        <w:t xml:space="preserve"> </w:t>
      </w:r>
      <w:r>
        <w:t xml:space="preserve">-data datasets, obtaining XXX post-warmup samples after XXX of total computation</w:t>
      </w:r>
      <w:r>
        <w:t xml:space="preserve"> </w:t>
      </w:r>
      <w:r>
        <w:t xml:space="preserve">time. For the Laplace approximation comparison, we used Maud’s Laplace mode.</w:t>
      </w:r>
      <w:r>
        <w:t xml:space="preserve"> </w:t>
      </w:r>
      <w:r>
        <w:t xml:space="preserve">Full details as well as instructions for reproducing our analysis can be found</w:t>
      </w:r>
      <w:r>
        <w:t xml:space="preserve"> </w:t>
      </w:r>
      <w:r>
        <w:t xml:space="preserve">at XXX.</w:t>
      </w:r>
    </w:p>
    <w:bookmarkEnd w:id="29"/>
    <w:bookmarkEnd w:id="30"/>
    <w:bookmarkStart w:id="47" w:name="findings"/>
    <w:p>
      <w:pPr>
        <w:pStyle w:val="Heading2"/>
      </w:pPr>
      <w:r>
        <w:t xml:space="preserve">Findings</w:t>
      </w:r>
    </w:p>
    <w:bookmarkStart w:id="31" w:name="posterior-inference"/>
    <w:p>
      <w:pPr>
        <w:pStyle w:val="Heading3"/>
      </w:pPr>
      <w:r>
        <w:t xml:space="preserve">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sampled variable</w:t>
      </w:r>
      <w:r>
        <w:t xml:space="preserve"> </w:t>
      </w:r>
      <w:r>
        <w:t xml:space="preserve">was within 1% of 1, indicating appropriate mixing within and between Markov</w:t>
      </w:r>
      <w:r>
        <w:t xml:space="preserve"> </w:t>
      </w:r>
      <w:r>
        <w:t xml:space="preserve">chains. Additionally, the number of effective samples was high, indicating</w:t>
      </w:r>
      <w:r>
        <w:t xml:space="preserve"> </w:t>
      </w:r>
      <w:r>
        <w:t xml:space="preserve">that we generated enough posterior samples to support inferences about the</w:t>
      </w:r>
      <w:r>
        <w:t xml:space="preserve"> </w:t>
      </w:r>
      <w:r>
        <w:t xml:space="preserve">bulks of the distributions of the sampled parameters. Furthermore, we observed</w:t>
      </w:r>
      <w:r>
        <w:t xml:space="preserve"> </w:t>
      </w:r>
      <w:r>
        <w:t xml:space="preserve">no post warm-up divergent transitions, indicating that the sampler was able to</w:t>
      </w:r>
      <w:r>
        <w:t xml:space="preserve"> </w:t>
      </w:r>
      <w:r>
        <w:t xml:space="preserve">transform the log-posterior distribution, avoiding any regions with excessive</w:t>
      </w:r>
      <w:r>
        <w:t xml:space="preserve"> </w:t>
      </w:r>
      <w:r>
        <w:t xml:space="preserve">curvature that might inhibit exploration via HMC.</w:t>
      </w:r>
    </w:p>
    <w:p>
      <w:pPr>
        <w:pStyle w:val="BodyText"/>
      </w:pPr>
      <w:r>
        <w:t xml:space="preserve">Posterior predictive checking indicated that our model achieved a good fit</w:t>
      </w:r>
      <w:r>
        <w:t xml:space="preserve"> </w:t>
      </w:r>
      <w:r>
        <w:t xml:space="preserve">to the simulated reaction and metabolite concentration measurements, as shown</w:t>
      </w:r>
      <w:r>
        <w:t xml:space="preserve"> </w:t>
      </w:r>
      <w:r>
        <w:t xml:space="preserve">by the graphs in the top row of figure 3. Note that the fit was good for both</w:t>
      </w:r>
      <w:r>
        <w:t xml:space="preserve"> </w:t>
      </w:r>
      <w:r>
        <w:t xml:space="preserve">training and validation measurements.</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w:t>
      </w:r>
      <w:r>
        <w:t xml:space="preserve"> </w:t>
      </w:r>
      <w:r>
        <w:t xml:space="preserve">as the one shown in the bottom left of figure 3; in this case the marginal</w:t>
      </w:r>
      <w:r>
        <w:t xml:space="preserve"> </w:t>
      </w:r>
      <w:r>
        <w:t xml:space="preserve">distribution of the two parameters is roughly banana shaped. More commonly,</w:t>
      </w:r>
      <w:r>
        <w:t xml:space="preserve"> </w:t>
      </w:r>
      <w:r>
        <w:t xml:space="preserve">however, two-dimensional pair plots were insufficient to reveal the underlying</w:t>
      </w:r>
      <w:r>
        <w:t xml:space="preserve"> </w:t>
      </w:r>
      <w:r>
        <w:t xml:space="preserve">correlation structure, as seen in the bottom-right plot in figure 3. This does</w:t>
      </w:r>
      <w:r>
        <w:t xml:space="preserve"> </w:t>
      </w:r>
      <w:r>
        <w:t xml:space="preserve">not mean that the parameters were uncorrelated, but rather that the correlations</w:t>
      </w:r>
      <w:r>
        <w:t xml:space="preserve"> </w:t>
      </w:r>
      <w:r>
        <w:t xml:space="preserve">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w:t>
      </w:r>
      <w:r>
        <w:t xml:space="preserve">,</w:t>
      </w:r>
      <w:r>
        <w:t xml:space="preserve"> </w:t>
      </w:r>
      <w:r>
        <w:t xml:space="preserve">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 section XXX.</w:t>
      </w:r>
    </w:p>
    <w:p>
      <w:pPr>
        <w:pStyle w:val="BodyText"/>
      </w:pPr>
      <w:r>
        <w:t xml:space="preserve">This case study illustrates the type of kinetic model and dataset that Maud</w:t>
      </w:r>
      <w:r>
        <w:t xml:space="preserve"> </w:t>
      </w:r>
      <w:r>
        <w:t xml:space="preserve">can fit. The model we analysed has XXX reactions, XXX state variables and XXX</w:t>
      </w:r>
      <w:r>
        <w:t xml:space="preserve"> </w:t>
      </w:r>
      <w:r>
        <w:t xml:space="preserve">parameters. Posterior sampling with adaptive Hamiltonian Monte Carlo generated</w:t>
      </w:r>
      <w:r>
        <w:t xml:space="preserve"> </w:t>
      </w:r>
      <w:r>
        <w:t xml:space="preserve">XXX ESS/hour. Generalising from this result, we conclude that it is feasible</w:t>
      </w:r>
      <w:r>
        <w:t xml:space="preserve"> </w:t>
      </w:r>
      <w:r>
        <w:t xml:space="preserve">to use this method to fit models in the same order of magnitude, but not, for</w:t>
      </w:r>
      <w:r>
        <w:t xml:space="preserve"> </w:t>
      </w:r>
      <w:r>
        <w:t xml:space="preserve">example, genome-scale kinetic models. To fit larger models, faster steady state</w:t>
      </w:r>
      <w:r>
        <w:t xml:space="preserve"> </w:t>
      </w:r>
      <w:r>
        <w:t xml:space="preserve">solving methods or alternative inference algorithms will be required. Section</w:t>
      </w:r>
      <w:r>
        <w:t xml:space="preserve"> </w:t>
      </w:r>
      <w:r>
        <w:t xml:space="preserve">XXX addresses whether Laplace approximation is a suitable candidate.</w:t>
      </w:r>
    </w:p>
    <w:bookmarkEnd w:id="31"/>
    <w:bookmarkStart w:id="36" w:name="comparison-with-laplace-approximation"/>
    <w:p>
      <w:pPr>
        <w:pStyle w:val="Heading3"/>
      </w:pPr>
      <w:r>
        <w:t xml:space="preserve">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The Laplace approximation yielded XXX samples in XXX time. The diagnostics</w:t>
      </w:r>
      <w:r>
        <w:t xml:space="preserve"> </w:t>
      </w:r>
      <w:r>
        <w:t xml:space="preserve">indicated that our algorithm was able to find the maximum a posteriori parameter</w:t>
      </w:r>
      <w:r>
        <w:t xml:space="preserve"> </w:t>
      </w:r>
      <w:r>
        <w:t xml:space="preserve">configuration, approximate the Hessian and use these quantities to generate</w:t>
      </w:r>
      <w:r>
        <w:t xml:space="preserve"> </w:t>
      </w:r>
      <w:r>
        <w:t xml:space="preserve">approximate posterior samples. The results can be found at XXX.</w:t>
      </w:r>
    </w:p>
    <w:p>
      <w:pPr>
        <w:pStyle w:val="BodyText"/>
      </w:pPr>
      <w:hyperlink w:anchor="fig-laplace">
        <w:r>
          <w:rPr>
            <w:rStyle w:val="Hyperlink"/>
          </w:rPr>
          <w:t xml:space="preserve">Figure 2</w:t>
        </w:r>
      </w:hyperlink>
      <w:r>
        <w:t xml:space="preserve"> </w:t>
      </w:r>
      <w:r>
        <w:t xml:space="preserve">summarises the results of comparing the Laplace approximation of our</w:t>
      </w:r>
      <w:r>
        <w:t xml:space="preserve"> </w:t>
      </w:r>
      <w:r>
        <w:t xml:space="preserve">case study’s posterior distribution with the true posterior. As can be seen</w:t>
      </w:r>
      <w:r>
        <w:t xml:space="preserve"> </w:t>
      </w:r>
      <w:r>
        <w:t xml:space="preserve">from the top left plot, the Laplace method does not provide a good approximation</w:t>
      </w:r>
      <w:r>
        <w:t xml:space="preserve"> </w:t>
      </w:r>
      <w:r>
        <w:t xml:space="preserve">to the true posterior distribution, as the marginal distribution of the</w:t>
      </w:r>
      <w:r>
        <w:t xml:space="preserve"> </w:t>
      </w:r>
      <w:r>
        <w:t xml:space="preserve">total log probability density is clearly different. This was confirmed using</w:t>
      </w:r>
      <w:r>
        <w:t xml:space="preserve"> </w:t>
      </w:r>
      <w:r>
        <w:t xml:space="preserve">the Kolmogorov-Smirnov test, which is a test to differentiate two empirical</w:t>
      </w:r>
      <w:r>
        <w:t xml:space="preserve"> </w:t>
      </w:r>
      <w:r>
        <w:t xml:space="preserve">univariate distributions. The two distributions were significantly different</w:t>
      </w:r>
      <w:r>
        <w:t xml:space="preserve"> </w:t>
      </w:r>
      <w:r>
        <w:t xml:space="preserve">with a p-value indistinguishable from 0.</w:t>
      </w:r>
    </w:p>
    <w:p>
      <w:pPr>
        <w:pStyle w:val="BodyText"/>
      </w:pPr>
      <w:r>
        <w:t xml:space="preserve">The difference between the Laplace approximation output and the true posterior</w:t>
      </w:r>
      <w:r>
        <w:t xml:space="preserve"> </w:t>
      </w:r>
      <w:r>
        <w:t xml:space="preserve">distribution manifests itself not only in the parameter space, but also in</w:t>
      </w:r>
      <w:r>
        <w:t xml:space="preserve"> </w:t>
      </w:r>
      <w:r>
        <w:t xml:space="preserve">the measurement space. Figure 5 frame B compares the 5%-95% interval for</w:t>
      </w:r>
      <w:r>
        <w:t xml:space="preserve"> </w:t>
      </w:r>
      <w:r>
        <w:t xml:space="preserve">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 [LATEX CONSTANT]- and [LATEX CONSTANT]: see</w:t>
      </w:r>
      <w:r>
        <w:t xml:space="preserve"> </w:t>
      </w:r>
      <w:r>
        <w:t xml:space="preserve">the bottom right cell of figure 5.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this is typical of kinetic models of realistic metabolic networks in general, so</w:t>
      </w:r>
      <w:r>
        <w:t xml:space="preserve"> </w:t>
      </w:r>
      <w:r>
        <w:t xml:space="preserve">we recommend that Maud users use MCMC sampling if possible.</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5" w:name="fig-laplace"/>
          <w:p>
            <w:pPr>
              <w:jc w:val="center"/>
            </w:pPr>
            <w:r>
              <w:drawing>
                <wp:inline>
                  <wp:extent cx="5334000" cy="5473980"/>
                  <wp:effectExtent b="0" l="0" r="0" t="0"/>
                  <wp:docPr descr="" title="" id="33" name="Picture"/>
                  <a:graphic>
                    <a:graphicData uri="http://schemas.openxmlformats.org/drawingml/2006/picture">
                      <pic:pic>
                        <pic:nvPicPr>
                          <pic:cNvPr descr="./figures/laplace.png" id="34" name="Picture"/>
                          <pic:cNvPicPr>
                            <a:picLocks noChangeArrowheads="1" noChangeAspect="1"/>
                          </pic:cNvPicPr>
                        </pic:nvPicPr>
                        <pic:blipFill>
                          <a:blip r:embed="rId32"/>
                          <a:stretch>
                            <a:fillRect/>
                          </a:stretch>
                        </pic:blipFill>
                        <pic:spPr bwMode="auto">
                          <a:xfrm>
                            <a:off x="0" y="0"/>
                            <a:ext cx="5334000" cy="5473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CAPTION: FILL THIS IN!</w:t>
            </w:r>
          </w:p>
          <w:bookmarkEnd w:id="35"/>
        </w:tc>
      </w:tr>
    </w:tbl>
    <w:bookmarkEnd w:id="36"/>
    <w:bookmarkStart w:id="41" w:name="X9aab18619bffaaee7010f39077c602781b7715d"/>
    <w:p>
      <w:pPr>
        <w:pStyle w:val="Heading3"/>
      </w:pPr>
      <w:r>
        <w:t xml:space="preserve">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3</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As we can see in the</w:t>
      </w:r>
      <w:r>
        <w:t xml:space="preserve"> </w:t>
      </w:r>
      <w:hyperlink w:anchor="fig-missing">
        <w:r>
          <w:rPr>
            <w:rStyle w:val="Hyperlink"/>
          </w:rPr>
          <w:t xml:space="preserve">#lower left plot of 3</w:t>
        </w:r>
      </w:hyperlink>
      <w:r>
        <w:t xml:space="preserve">, the model</w:t>
      </w:r>
      <w:r>
        <w:t xml:space="preserve"> </w:t>
      </w:r>
      <w:r>
        <w:t xml:space="preserve">with full metabolomics learned the true value for the displayed dissociation</w:t>
      </w:r>
      <w:r>
        <w:t xml:space="preserve"> </w:t>
      </w:r>
      <w:r>
        <w:t xml:space="preserve">constant, despite this value being far from the mean of the corresponding</w:t>
      </w:r>
      <w:r>
        <w:t xml:space="preserve"> </w:t>
      </w:r>
      <w:r>
        <w:t xml:space="preserve">marginal prior distribution, whereas the model with the missing measurements</w:t>
      </w:r>
      <w:r>
        <w:t xml:space="preserve"> </w:t>
      </w:r>
      <w:r>
        <w:t xml:space="preserve">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0" w:name="fig-missing"/>
          <w:p>
            <w:pPr>
              <w:jc w:val="center"/>
            </w:pPr>
            <w:r>
              <w:drawing>
                <wp:inline>
                  <wp:extent cx="5334000" cy="5360867"/>
                  <wp:effectExtent b="0" l="0" r="0" t="0"/>
                  <wp:docPr descr="" title="" id="38" name="Picture"/>
                  <a:graphic>
                    <a:graphicData uri="http://schemas.openxmlformats.org/drawingml/2006/picture">
                      <pic:pic>
                        <pic:nvPicPr>
                          <pic:cNvPr descr="./figures/missing.png" id="39" name="Picture"/>
                          <pic:cNvPicPr>
                            <a:picLocks noChangeArrowheads="1" noChangeAspect="1"/>
                          </pic:cNvPicPr>
                        </pic:nvPicPr>
                        <pic:blipFill>
                          <a:blip r:embed="rId37"/>
                          <a:stretch>
                            <a:fillRect/>
                          </a:stretch>
                        </pic:blipFill>
                        <pic:spPr bwMode="auto">
                          <a:xfrm>
                            <a:off x="0" y="0"/>
                            <a:ext cx="5334000" cy="536086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CAPTION: FILL THIS IN!</w:t>
            </w:r>
          </w:p>
          <w:bookmarkEnd w:id="40"/>
        </w:tc>
      </w:tr>
    </w:tbl>
    <w:bookmarkEnd w:id="41"/>
    <w:bookmarkStart w:id="46" w:name="application-to-regulatory-understanding"/>
    <w:p>
      <w:pPr>
        <w:pStyle w:val="Heading3"/>
      </w:pPr>
      <w:r>
        <w:t xml:space="preserve">Application to regulatory understanding</w:t>
      </w:r>
    </w:p>
    <w:p>
      <w:pPr>
        <w:pStyle w:val="FirstParagraph"/>
      </w:pPr>
      <w:r>
        <w:t xml:space="preserve">To investigate how the flux of GNMT between conditions [X] and [Y] changes</w:t>
      </w:r>
      <w:r>
        <w:t xml:space="preserve"> </w:t>
      </w:r>
      <w:r>
        <w:t xml:space="preserve">we compared the regulatory contributions in the posterior distribution.</w:t>
      </w:r>
      <w:r>
        <w:t xml:space="preserve"> </w:t>
      </w:r>
      <w:r>
        <w:t xml:space="preserve">Presented in</w:t>
      </w:r>
      <w:r>
        <w:t xml:space="preserve"> </w:t>
      </w:r>
      <w:hyperlink w:anchor="fig-decomposition">
        <w:r>
          <w:rPr>
            <w:rStyle w:val="Hyperlink"/>
          </w:rPr>
          <w:t xml:space="preserve">Figure 4</w:t>
        </w:r>
      </w:hyperlink>
      <w:r>
        <w:t xml:space="preserve"> </w:t>
      </w:r>
      <w:r>
        <w:t xml:space="preserve">is the regulatory description of</w:t>
      </w:r>
      <w:r>
        <w:t xml:space="preserve"> </w:t>
      </w:r>
      <w:r>
        <w:t xml:space="preserve">GNMT, an irreversible enzyme that is homotropically activated by its substrate,</w:t>
      </w:r>
      <w:r>
        <w:t xml:space="preserve"> </w:t>
      </w:r>
      <w:r>
        <w:t xml:space="preserve">competitively inhibited by its product and heterotropically inhibited. The</w:t>
      </w:r>
      <w:r>
        <w:t xml:space="preserve"> </w:t>
      </w:r>
      <w:r>
        <w:t xml:space="preserve">diverse regulation makes it the ideal test case to elucidate regulatory changes.</w:t>
      </w:r>
    </w:p>
    <w:p>
      <w:pPr>
        <w:pStyle w:val="BodyText"/>
      </w:pPr>
      <w:r>
        <w:t xml:space="preserve">Here we found that saturation and allosteric effects were the main drivers</w:t>
      </w:r>
      <w:r>
        <w:t xml:space="preserve"> </w:t>
      </w:r>
      <w:r>
        <w:t xml:space="preserve">of regulation between the two conditions.</w:t>
      </w:r>
      <w:r>
        <w:t xml:space="preserve"> </w:t>
      </w:r>
      <w:hyperlink w:anchor="fig-decomposition">
        <w:r>
          <w:rPr>
            <w:rStyle w:val="Hyperlink"/>
          </w:rPr>
          <w:t xml:space="preserve">Figure 4</w:t>
        </w:r>
      </w:hyperlink>
      <w:r>
        <w:t xml:space="preserve"> </w:t>
      </w:r>
      <w:r>
        <w:t xml:space="preserve">shows the distributions</w:t>
      </w:r>
      <w:r>
        <w:t xml:space="preserve"> </w:t>
      </w:r>
      <w:r>
        <w:t xml:space="preserve">of the regulatory components as the log-ratio of each component with [X] in</w:t>
      </w:r>
      <w:r>
        <w:t xml:space="preserve"> </w:t>
      </w:r>
      <w:r>
        <w:t xml:space="preserve">the numerator and [Y] in the denominator, positive values suggest that this</w:t>
      </w:r>
      <w:r>
        <w:t xml:space="preserve"> </w:t>
      </w:r>
      <w:r>
        <w:t xml:space="preserve">component was increased in experiment [X] relative to [Y], with 0 indicating no</w:t>
      </w:r>
      <w:r>
        <w:t xml:space="preserve"> </w:t>
      </w:r>
      <w:r>
        <w:t xml:space="preserve">difference. Naturally, this presents the ideal statistical test when evaluating</w:t>
      </w:r>
      <w:r>
        <w:t xml:space="preserve"> </w:t>
      </w:r>
      <w:r>
        <w:t xml:space="preserve">the regulation, with the probability of regulation given by the relative</w:t>
      </w:r>
      <w:r>
        <w:t xml:space="preserve"> </w:t>
      </w:r>
      <w:r>
        <w:t xml:space="preserve">proportion of samples above and below the 0 point.</w:t>
      </w:r>
    </w:p>
    <w:p>
      <w:pPr>
        <w:pStyle w:val="BodyText"/>
      </w:pPr>
      <w:r>
        <w:t xml:space="preserve">We demonstrate that Maud can accurately reproduce the regulatory effect between</w:t>
      </w:r>
      <w:r>
        <w:t xml:space="preserve"> </w:t>
      </w:r>
      <w:r>
        <w:t xml:space="preserve">the two conditions by comparing it to the ground truth. As the true values are</w:t>
      </w:r>
      <w:r>
        <w:t xml:space="preserve"> </w:t>
      </w:r>
      <w:r>
        <w:t xml:space="preserve">well within our probability mass of the posterior we can say that Maud is able</w:t>
      </w:r>
      <w:r>
        <w:t xml:space="preserve"> </w:t>
      </w:r>
      <w:r>
        <w:t xml:space="preserve">to accurately reproduce the regulatory behaviour of metabolic networks and also</w:t>
      </w:r>
      <w:r>
        <w:t xml:space="preserve"> </w:t>
      </w:r>
      <w:r>
        <w:t xml:space="preserve">provides a tool for statistical inference of the regulatory behaviour.</w:t>
      </w:r>
    </w:p>
    <w:p>
      <w:pPr>
        <w:pStyle w:val="BodyText"/>
      </w:pPr>
      <w:r>
        <w:t xml:space="preserve">Here we have demonstrated a key feature in Maud, that is, direct inference on</w:t>
      </w:r>
      <w:r>
        <w:t xml:space="preserve"> </w:t>
      </w:r>
      <w:r>
        <w:t xml:space="preserve">any parameter that arises from the data generating process. More succinctly,</w:t>
      </w:r>
      <w:r>
        <w:t xml:space="preserve"> </w:t>
      </w:r>
      <w:r>
        <w:t xml:space="preserve">we show the benefit of error propagation that Bayesian inference provides as</w:t>
      </w:r>
      <w:r>
        <w:t xml:space="preserve"> </w:t>
      </w:r>
      <w:r>
        <w:t xml:space="preserve">researchers can directly use quantiles for hypothesis testing.</w:t>
      </w:r>
    </w:p>
    <w:p>
      <w:pPr>
        <w:pStyle w:val="BodyText"/>
      </w:pPr>
      <w:r>
        <w:t xml:space="preserve">Our tool allows inference directly on the joint posterior distribution rather</w:t>
      </w:r>
      <w:r>
        <w:t xml:space="preserve"> </w:t>
      </w:r>
      <w:r>
        <w:t xml:space="preserve">than the marginal parameter. The implication is that inference will be better</w:t>
      </w:r>
      <w:r>
        <w:t xml:space="preserve"> </w:t>
      </w:r>
      <w:r>
        <w:t xml:space="preserve">than that of the marginal distributions due to correlated parameter values, if</w:t>
      </w:r>
      <w:r>
        <w:t xml:space="preserve"> </w:t>
      </w:r>
      <w:r>
        <w:t xml:space="preserve">the data generating process can be directly modelled.</w:t>
      </w:r>
    </w:p>
    <w:tbl>
      <w:tblPr>
        <w:tblStyle w:val="Table"/>
        <w:tblW w:type="pct" w:w="5000"/>
        <w:tblLook w:firstRow="0" w:lastRow="0" w:firstColumn="0" w:lastColumn="0" w:noHBand="0" w:noVBand="0" w:val="0000"/>
        <w:jc w:val="start"/>
      </w:tblPr>
      <w:tblGrid>
        <w:gridCol w:w="7920"/>
      </w:tblGrid>
      <w:tr>
        <w:tc>
          <w:tcPr/>
          <w:bookmarkStart w:id="45" w:name="fig-decomposition"/>
          <w:p>
            <w:pPr>
              <w:jc w:val="center"/>
            </w:pPr>
            <w:r>
              <w:drawing>
                <wp:inline>
                  <wp:extent cx="5334000" cy="2597746"/>
                  <wp:effectExtent b="0" l="0" r="0" t="0"/>
                  <wp:docPr descr="" title="" id="43" name="Picture"/>
                  <a:graphic>
                    <a:graphicData uri="http://schemas.openxmlformats.org/drawingml/2006/picture">
                      <pic:pic>
                        <pic:nvPicPr>
                          <pic:cNvPr descr="./figures/decomposition.png" id="44" name="Picture"/>
                          <pic:cNvPicPr>
                            <a:picLocks noChangeArrowheads="1" noChangeAspect="1"/>
                          </pic:cNvPicPr>
                        </pic:nvPicPr>
                        <pic:blipFill>
                          <a:blip r:embed="rId42"/>
                          <a:stretch>
                            <a:fillRect/>
                          </a:stretch>
                        </pic:blipFill>
                        <pic:spPr bwMode="auto">
                          <a:xfrm>
                            <a:off x="0" y="0"/>
                            <a:ext cx="5334000" cy="25977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CAPTION: FILL THIS IN!</w:t>
            </w:r>
          </w:p>
          <w:bookmarkEnd w:id="45"/>
        </w:tc>
      </w:tr>
    </w:tbl>
    <w:bookmarkEnd w:id="46"/>
    <w:bookmarkEnd w:id="47"/>
    <w:bookmarkEnd w:id="48"/>
    <w:bookmarkStart w:id="59" w:name="methods"/>
    <w:p>
      <w:pPr>
        <w:pStyle w:val="Heading1"/>
      </w:pPr>
      <w:r>
        <w:t xml:space="preserve">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 &lt;https://maud- metabolic-models.readthedocs.io&gt; and actively</w:t>
      </w:r>
      <w:r>
        <w:t xml:space="preserve"> </w:t>
      </w:r>
      <w:r>
        <w:t xml:space="preserve">developed and maintained at</w:t>
      </w:r>
      <w:r>
        <w:t xml:space="preserve"> </w:t>
      </w:r>
      <w:hyperlink r:id="rId49">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1" w:name="input-format"/>
    <w:p>
      <w:pPr>
        <w:pStyle w:val="Heading2"/>
      </w:pPr>
      <w:r>
        <w:t xml:space="preserve">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0">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1"/>
    <w:bookmarkStart w:id="52" w:name="kinetic-model"/>
    <w:p>
      <w:pPr>
        <w:pStyle w:val="Heading2"/>
      </w:pPr>
      <w:r>
        <w:t xml:space="preserve">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 (REFER TO EQUATION) is a function</w:t>
      </w:r>
      <w:r>
        <w:t xml:space="preserve"> </w:t>
      </w:r>
      <w:r>
        <w:t xml:space="preserve">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 terms</w:t>
      </w:r>
      <w:r>
        <w:t xml:space="preserve"> </w:t>
      </w:r>
      <w:r>
        <w:t xml:space="preserve">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52"/>
    <w:bookmarkStart w:id="55" w:name="statistical-model"/>
    <w:p>
      <w:pPr>
        <w:pStyle w:val="Heading2"/>
      </w:pPr>
      <w:r>
        <w:t xml:space="preserve">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3" w:name="prior-model"/>
    <w:p>
      <w:pPr>
        <w:pStyle w:val="Heading3"/>
      </w:pPr>
      <w:r>
        <w:t xml:space="preserve">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(REFERENCE)</w:t>
      </w:r>
      <w:r>
        <w:t xml:space="preserve"> </w:t>
      </w:r>
      <w:r>
        <w:t xml:space="preserve">for a description of all these parameters and their dimensions. Note that some</w:t>
      </w:r>
      <w:r>
        <w:t xml:space="preserve"> </w:t>
      </w:r>
      <w:r>
        <w:t xml:space="preserve">quantities in Maud’s kinetic model are not treated as parameters: for example,</w:t>
      </w:r>
      <w:r>
        <w:t xml:space="preserve"> </w:t>
      </w:r>
      <w:r>
        <w:t xml:space="preserve">temperatures, compartment volumes and the formation energy of water. Maud</w:t>
      </w:r>
      <w:r>
        <w:t xml:space="preserve"> </w:t>
      </w:r>
      <w:r>
        <w:t xml:space="preserve">treats these quantities as if they were known precisely: they can be configured</w:t>
      </w:r>
      <w:r>
        <w:t xml:space="preserve"> </w:t>
      </w:r>
      <w:r>
        <w:t xml:space="preserve">by the user or default values can be used. Although in practice there can be</w:t>
      </w:r>
      <w:r>
        <w:t xml:space="preserve"> </w:t>
      </w:r>
      <w:r>
        <w:t xml:space="preserve">considerable uncertainty regarding these quantities, we chose to disregard this</w:t>
      </w:r>
      <w:r>
        <w:t xml:space="preserve"> </w:t>
      </w:r>
      <w:r>
        <w:t xml:space="preserve">uncertainty in the interest of 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3"/>
    <w:bookmarkStart w:id="54" w:name="measurement-model-1"/>
    <w:p>
      <w:pPr>
        <w:pStyle w:val="Heading3"/>
      </w:pPr>
      <w:r>
        <w:t xml:space="preserve">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b>
          <m:e>
            <m:r>
              <m:t>𝑦</m:t>
            </m:r>
          </m:e>
          <m:sub>
            <m:r>
              <m:t>𝑐</m:t>
            </m:r>
            <m:r>
              <m:t>𝑜</m:t>
            </m:r>
            <m:r>
              <m:t>𝑛</m:t>
            </m:r>
            <m:r>
              <m:t>𝑐</m:t>
            </m:r>
          </m:sub>
        </m:sSub>
      </m:oMath>
      <w:r>
        <w:t xml:space="preserve"> </w:t>
      </w:r>
      <m:oMath>
        <m:sSub>
          <m:e>
            <m:r>
              <m:t>𝑦</m:t>
            </m:r>
          </m:e>
          <m:sub>
            <m:r>
              <m:t>𝑒</m:t>
            </m:r>
            <m:r>
              <m:t>𝑛</m:t>
            </m:r>
            <m:r>
              <m:t>𝑧</m:t>
            </m:r>
          </m:sub>
        </m:sSub>
      </m:oMath>
      <w:r>
        <w:t xml:space="preserve"> </w:t>
      </w:r>
      <w:r>
        <w:t xml:space="preserve">and</w:t>
      </w:r>
      <w:r>
        <w:t xml:space="preserve"> </w:t>
      </w:r>
      <m:oMath>
        <m:sSub>
          <m:e>
            <m:r>
              <m:t>𝑦</m:t>
            </m:r>
          </m:e>
          <m:sub>
            <m:r>
              <m:t>𝑓</m:t>
            </m:r>
            <m:r>
              <m:t>𝑙</m:t>
            </m:r>
            <m:r>
              <m:t>𝑢</m:t>
            </m:r>
            <m:r>
              <m:t>𝑥</m:t>
            </m:r>
          </m:sub>
        </m:sSub>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6 and Equation 7.</w:t>
      </w:r>
    </w:p>
    <w:p>
      <w:pPr>
        <w:pStyle w:val="BodyText"/>
      </w:pPr>
      <w:r>
        <w:t xml:space="preserve">EQUATIONS</w:t>
      </w: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8 (REFERENCE).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r>
        <w:t xml:space="preserve">EQUATION</w:t>
      </w: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but must be inferred from isotope</w:t>
      </w:r>
      <w:r>
        <w:t xml:space="preserve"> </w:t>
      </w:r>
      <w:r>
        <w:t xml:space="preserve">labelling experiments using metabolic flux analysis (see REFERENCE).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4"/>
    <w:bookmarkEnd w:id="55"/>
    <w:bookmarkStart w:id="58" w:name="implementation"/>
    <w:p>
      <w:pPr>
        <w:pStyle w:val="Heading2"/>
      </w:pPr>
      <w:r>
        <w:t xml:space="preserve">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56" w:name="posterior-sampling"/>
    <w:p>
      <w:pPr>
        <w:pStyle w:val="Heading3"/>
      </w:pPr>
      <w:r>
        <w:t xml:space="preserve">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see@vehtariRankNormalizationFoldingLocalization2021 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56"/>
    <w:bookmarkStart w:id="57" w:name="solving-the-steady-state-problem"/>
    <w:p>
      <w:pPr>
        <w:pStyle w:val="Heading3"/>
      </w:pPr>
      <w:r>
        <w:t xml:space="preserve">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57"/>
    <w:bookmarkEnd w:id="58"/>
    <w:bookmarkEnd w:id="59"/>
    <w:bookmarkStart w:id="60" w:name="acknowledgements"/>
    <w:p>
      <w:pPr>
        <w:pStyle w:val="Heading1"/>
      </w:pPr>
      <w:r>
        <w:t xml:space="preserve">Acknowledgements</w:t>
      </w:r>
    </w:p>
    <w:bookmarkEnd w:id="60"/>
    <w:bookmarkStart w:id="137" w:name="references"/>
    <w:p>
      <w:pPr>
        <w:pStyle w:val="Heading1"/>
      </w:pPr>
      <w:r>
        <w:t xml:space="preserve">References</w:t>
      </w:r>
    </w:p>
    <w:bookmarkStart w:id="136" w:name="refs"/>
    <w:bookmarkStart w:id="62"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1">
        <w:r>
          <w:rPr>
            <w:rStyle w:val="Hyperlink"/>
          </w:rPr>
          <w:t xml:space="preserve">https://doi.org/10.18637/jss.v076.i01</w:t>
        </w:r>
      </w:hyperlink>
      <w:r>
        <w:t xml:space="preserve">.</w:t>
      </w:r>
    </w:p>
    <w:bookmarkEnd w:id="62"/>
    <w:bookmarkStart w:id="64"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3">
        <w:r>
          <w:rPr>
            <w:rStyle w:val="Hyperlink"/>
          </w:rPr>
          <w:t xml:space="preserve">https://doi.org/10.1038/nrm3695</w:t>
        </w:r>
      </w:hyperlink>
      <w:r>
        <w:t xml:space="preserve">.</w:t>
      </w:r>
    </w:p>
    <w:bookmarkEnd w:id="64"/>
    <w:bookmarkStart w:id="66"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65">
        <w:r>
          <w:rPr>
            <w:rStyle w:val="Hyperlink"/>
          </w:rPr>
          <w:t xml:space="preserve">https://doi.org/10.1016/j.cels.2018.04.009</w:t>
        </w:r>
      </w:hyperlink>
      <w:r>
        <w:t xml:space="preserve">.</w:t>
      </w:r>
    </w:p>
    <w:bookmarkEnd w:id="66"/>
    <w:bookmarkStart w:id="68"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67">
        <w:r>
          <w:rPr>
            <w:rStyle w:val="Hyperlink"/>
          </w:rPr>
          <w:t xml:space="preserve">https://pypi.org/project/click/</w:t>
        </w:r>
      </w:hyperlink>
      <w:r>
        <w:t xml:space="preserve">.</w:t>
      </w:r>
    </w:p>
    <w:bookmarkEnd w:id="68"/>
    <w:bookmarkStart w:id="70"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69">
        <w:r>
          <w:rPr>
            <w:rStyle w:val="Hyperlink"/>
          </w:rPr>
          <w:t xml:space="preserve">https://doi.org/10.1126/sciadv.1600200</w:t>
        </w:r>
      </w:hyperlink>
      <w:r>
        <w:t xml:space="preserve">.</w:t>
      </w:r>
    </w:p>
    <w:bookmarkEnd w:id="70"/>
    <w:bookmarkStart w:id="72"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71">
        <w:r>
          <w:rPr>
            <w:rStyle w:val="Hyperlink"/>
          </w:rPr>
          <w:t xml:space="preserve">https://doi.org/10.1016/j.ymben.2020.03.001</w:t>
        </w:r>
      </w:hyperlink>
      <w:r>
        <w:t xml:space="preserve">.</w:t>
      </w:r>
    </w:p>
    <w:bookmarkEnd w:id="72"/>
    <w:bookmarkStart w:id="74"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73">
        <w:r>
          <w:rPr>
            <w:rStyle w:val="Hyperlink"/>
          </w:rPr>
          <w:t xml:space="preserve">https://doi.org/10.1371/journal.pcbi.0030189</w:t>
        </w:r>
      </w:hyperlink>
      <w:r>
        <w:t xml:space="preserve">.</w:t>
      </w:r>
    </w:p>
    <w:bookmarkEnd w:id="74"/>
    <w:bookmarkStart w:id="76"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75">
        <w:r>
          <w:rPr>
            <w:rStyle w:val="Hyperlink"/>
          </w:rPr>
          <w:t xml:space="preserve">https://doi.org/10.15252/msb.20199110</w:t>
        </w:r>
      </w:hyperlink>
      <w:r>
        <w:t xml:space="preserve">.</w:t>
      </w:r>
    </w:p>
    <w:bookmarkEnd w:id="76"/>
    <w:bookmarkStart w:id="78"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77">
        <w:r>
          <w:rPr>
            <w:rStyle w:val="Hyperlink"/>
          </w:rPr>
          <w:t xml:space="preserve">https://doi.org/10.1371/journal.pcbi.1000076</w:t>
        </w:r>
      </w:hyperlink>
      <w:r>
        <w:t xml:space="preserve">.</w:t>
      </w:r>
    </w:p>
    <w:bookmarkEnd w:id="78"/>
    <w:bookmarkStart w:id="80"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79">
        <w:r>
          <w:rPr>
            <w:rStyle w:val="Hyperlink"/>
          </w:rPr>
          <w:t xml:space="preserve">https://doi.org/10.21105/joss.01143</w:t>
        </w:r>
      </w:hyperlink>
      <w:r>
        <w:t xml:space="preserve">.</w:t>
      </w:r>
    </w:p>
    <w:bookmarkEnd w:id="80"/>
    <w:bookmarkStart w:id="82"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81">
        <w:r>
          <w:rPr>
            <w:rStyle w:val="Hyperlink"/>
          </w:rPr>
          <w:t xml:space="preserve">https://doi.org/10.1016/j.cmet.2017.08.017</w:t>
        </w:r>
      </w:hyperlink>
      <w:r>
        <w:t xml:space="preserve">.</w:t>
      </w:r>
    </w:p>
    <w:bookmarkEnd w:id="82"/>
    <w:bookmarkStart w:id="84"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83">
        <w:r>
          <w:rPr>
            <w:rStyle w:val="Hyperlink"/>
          </w:rPr>
          <w:t xml:space="preserve">https://doi.org/10.3390/metabo11110749</w:t>
        </w:r>
      </w:hyperlink>
      <w:r>
        <w:t xml:space="preserve">.</w:t>
      </w:r>
    </w:p>
    <w:bookmarkEnd w:id="84"/>
    <w:bookmarkStart w:id="86"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85">
        <w:r>
          <w:rPr>
            <w:rStyle w:val="Hyperlink"/>
          </w:rPr>
          <w:t xml:space="preserve">https://doi.org/10.1093/bioinformatics/btq141</w:t>
        </w:r>
      </w:hyperlink>
      <w:r>
        <w:t xml:space="preserve">.</w:t>
      </w:r>
    </w:p>
    <w:bookmarkEnd w:id="86"/>
    <w:bookmarkStart w:id="88"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87">
        <w:r>
          <w:rPr>
            <w:rStyle w:val="Hyperlink"/>
          </w:rPr>
          <w:t xml:space="preserve">https://doi.org/10.5281/zenodo.1284375</w:t>
        </w:r>
      </w:hyperlink>
      <w:r>
        <w:t xml:space="preserve">.</w:t>
      </w:r>
    </w:p>
    <w:bookmarkEnd w:id="88"/>
    <w:bookmarkStart w:id="90"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89">
        <w:r>
          <w:rPr>
            <w:rStyle w:val="Hyperlink"/>
          </w:rPr>
          <w:t xml:space="preserve">https://doi.org/10.1093/bioadv/vbac066</w:t>
        </w:r>
      </w:hyperlink>
      <w:r>
        <w:t xml:space="preserve">.</w:t>
      </w:r>
    </w:p>
    <w:bookmarkEnd w:id="90"/>
    <w:bookmarkStart w:id="92"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91">
        <w:r>
          <w:rPr>
            <w:rStyle w:val="Hyperlink"/>
          </w:rPr>
          <w:t xml:space="preserve">https://doi.org/10.1016/S0022-2836(65)80285-6</w:t>
        </w:r>
      </w:hyperlink>
      <w:r>
        <w:t xml:space="preserve">.</w:t>
      </w:r>
    </w:p>
    <w:bookmarkEnd w:id="92"/>
    <w:bookmarkStart w:id="94"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93">
        <w:r>
          <w:rPr>
            <w:rStyle w:val="Hyperlink"/>
          </w:rPr>
          <w:t xml:space="preserve">https://doi.org/10.1016/j.febslet.2013.07.028</w:t>
        </w:r>
      </w:hyperlink>
      <w:r>
        <w:t xml:space="preserve">.</w:t>
      </w:r>
    </w:p>
    <w:bookmarkEnd w:id="94"/>
    <w:bookmarkStart w:id="96"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95">
        <w:r>
          <w:rPr>
            <w:rStyle w:val="Hyperlink"/>
          </w:rPr>
          <w:t xml:space="preserve">https://pypi.org/project/toml/</w:t>
        </w:r>
      </w:hyperlink>
      <w:r>
        <w:t xml:space="preserve">.</w:t>
      </w:r>
    </w:p>
    <w:bookmarkEnd w:id="96"/>
    <w:bookmarkStart w:id="98"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97">
        <w:r>
          <w:rPr>
            <w:rStyle w:val="Hyperlink"/>
          </w:rPr>
          <w:t xml:space="preserve">https://doi.org/10.1017/S0266466698144043</w:t>
        </w:r>
      </w:hyperlink>
      <w:r>
        <w:t xml:space="preserve">.</w:t>
      </w:r>
    </w:p>
    <w:bookmarkEnd w:id="98"/>
    <w:bookmarkStart w:id="100"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99">
        <w:r>
          <w:rPr>
            <w:rStyle w:val="Hyperlink"/>
          </w:rPr>
          <w:t xml:space="preserve">https://doi.org/10.1016/0014-5793(75)80034-2</w:t>
        </w:r>
      </w:hyperlink>
      <w:r>
        <w:t xml:space="preserve">.</w:t>
      </w:r>
    </w:p>
    <w:bookmarkEnd w:id="100"/>
    <w:bookmarkStart w:id="102"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01">
        <w:r>
          <w:rPr>
            <w:rStyle w:val="Hyperlink"/>
          </w:rPr>
          <w:t xml:space="preserve">https://www.ncbi.nlm.nih.gov/pubmed/156878</w:t>
        </w:r>
      </w:hyperlink>
      <w:r>
        <w:t xml:space="preserve">.</w:t>
      </w:r>
    </w:p>
    <w:bookmarkEnd w:id="102"/>
    <w:bookmarkStart w:id="104"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03">
        <w:r>
          <w:rPr>
            <w:rStyle w:val="Hyperlink"/>
          </w:rPr>
          <w:t xml:space="preserve">https://toml.io/en/v1.0.0-rc.1/</w:t>
        </w:r>
      </w:hyperlink>
      <w:r>
        <w:t xml:space="preserve">.</w:t>
      </w:r>
    </w:p>
    <w:bookmarkEnd w:id="104"/>
    <w:bookmarkStart w:id="106" w:name="ref-pydanticdevelopersPydantic2022"/>
    <w:p>
      <w:pPr>
        <w:pStyle w:val="Bibliography"/>
      </w:pPr>
      <w:r>
        <w:t xml:space="preserve">Pydantic developers. 2022.</w:t>
      </w:r>
      <w:r>
        <w:t xml:space="preserve"> </w:t>
      </w:r>
      <w:r>
        <w:t xml:space="preserve">“Pydantic.”</w:t>
      </w:r>
      <w:r>
        <w:t xml:space="preserve"> </w:t>
      </w:r>
      <w:hyperlink r:id="rId105">
        <w:r>
          <w:rPr>
            <w:rStyle w:val="Hyperlink"/>
          </w:rPr>
          <w:t xml:space="preserve">https://pypi.org/project/pydantic/</w:t>
        </w:r>
      </w:hyperlink>
      <w:r>
        <w:t xml:space="preserve">.</w:t>
      </w:r>
    </w:p>
    <w:bookmarkEnd w:id="106"/>
    <w:bookmarkStart w:id="108"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07">
        <w:r>
          <w:rPr>
            <w:rStyle w:val="Hyperlink"/>
          </w:rPr>
          <w:t xml:space="preserve">https://doi.org/10.1063/1.3528102</w:t>
        </w:r>
      </w:hyperlink>
      <w:r>
        <w:t xml:space="preserve">.</w:t>
      </w:r>
    </w:p>
    <w:bookmarkEnd w:id="108"/>
    <w:bookmarkStart w:id="110"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09">
        <w:r>
          <w:rPr>
            <w:rStyle w:val="Hyperlink"/>
          </w:rPr>
          <w:t xml:space="preserve">https://doi.org/10.1098/rsta.2011.0544</w:t>
        </w:r>
      </w:hyperlink>
      <w:r>
        <w:t xml:space="preserve">.</w:t>
      </w:r>
    </w:p>
    <w:bookmarkEnd w:id="110"/>
    <w:bookmarkStart w:id="112"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11">
        <w:r>
          <w:rPr>
            <w:rStyle w:val="Hyperlink"/>
          </w:rPr>
          <w:t xml:space="preserve">https://doi.org/10.1038/srep29635</w:t>
        </w:r>
      </w:hyperlink>
      <w:r>
        <w:t xml:space="preserve">.</w:t>
      </w:r>
    </w:p>
    <w:bookmarkEnd w:id="112"/>
    <w:bookmarkStart w:id="114" w:name="ref-saa_general_2015"/>
    <w:p>
      <w:pPr>
        <w:pStyle w:val="Bibliography"/>
      </w:pPr>
      <w:r>
        <w:t xml:space="preserve">Saa, Pedro, and Lars K Nielsen. 2015.</w:t>
      </w:r>
      <w:r>
        <w:t xml:space="preserve"> </w:t>
      </w:r>
      <w:r>
        <w:t xml:space="preserve">“A General Framework for Thermodynamically Consistent Parameterization and Efficient Sampling of Enzymatic Reactions.”</w:t>
      </w:r>
      <w:r>
        <w:t xml:space="preserve"> </w:t>
      </w:r>
      <w:r>
        <w:rPr>
          <w:iCs/>
          <w:i/>
        </w:rPr>
        <w:t xml:space="preserve">PLoS Computational Biology</w:t>
      </w:r>
      <w:r>
        <w:t xml:space="preserve"> </w:t>
      </w:r>
      <w:r>
        <w:t xml:space="preserve">11 (4): e1004195.</w:t>
      </w:r>
      <w:r>
        <w:t xml:space="preserve"> </w:t>
      </w:r>
      <w:hyperlink r:id="rId113">
        <w:r>
          <w:rPr>
            <w:rStyle w:val="Hyperlink"/>
          </w:rPr>
          <w:t xml:space="preserve">https://doi.org/10.1371/journal.pcbi.1004195</w:t>
        </w:r>
      </w:hyperlink>
      <w:r>
        <w:t xml:space="preserve">.</w:t>
      </w:r>
    </w:p>
    <w:bookmarkEnd w:id="114"/>
    <w:bookmarkStart w:id="116"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15">
        <w:r>
          <w:rPr>
            <w:rStyle w:val="Hyperlink"/>
          </w:rPr>
          <w:t xml:space="preserve">https://doi.org/10.1371/journal.pcbi.1008646</w:t>
        </w:r>
      </w:hyperlink>
      <w:r>
        <w:t xml:space="preserve">.</w:t>
      </w:r>
    </w:p>
    <w:bookmarkEnd w:id="116"/>
    <w:bookmarkStart w:id="118"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17">
        <w:r>
          <w:rPr>
            <w:rStyle w:val="Hyperlink"/>
          </w:rPr>
          <w:t xml:space="preserve">https://doi.org/10.1115/DETC2005-85597</w:t>
        </w:r>
      </w:hyperlink>
      <w:r>
        <w:t xml:space="preserve">.</w:t>
      </w:r>
    </w:p>
    <w:bookmarkEnd w:id="118"/>
    <w:bookmarkStart w:id="120"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19">
        <w:r>
          <w:rPr>
            <w:rStyle w:val="Hyperlink"/>
          </w:rPr>
          <w:t xml:space="preserve">https://doi.org/10.1101/450163</w:t>
        </w:r>
      </w:hyperlink>
      <w:r>
        <w:t xml:space="preserve">.</w:t>
      </w:r>
    </w:p>
    <w:bookmarkEnd w:id="120"/>
    <w:bookmarkStart w:id="122"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21">
        <w:r>
          <w:rPr>
            <w:rStyle w:val="Hyperlink"/>
          </w:rPr>
          <w:t xml:space="preserve">https://github.com/stan-dev/cmdstanpy</w:t>
        </w:r>
      </w:hyperlink>
      <w:r>
        <w:t xml:space="preserve">.</w:t>
      </w:r>
    </w:p>
    <w:bookmarkEnd w:id="122"/>
    <w:bookmarkStart w:id="124"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23">
        <w:r>
          <w:rPr>
            <w:rStyle w:val="Hyperlink"/>
          </w:rPr>
          <w:t xml:space="preserve">https://doi.org/10.1093/bioinformatics/btx676</w:t>
        </w:r>
      </w:hyperlink>
      <w:r>
        <w:t xml:space="preserve">.</w:t>
      </w:r>
    </w:p>
    <w:bookmarkEnd w:id="124"/>
    <w:bookmarkStart w:id="126"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25">
        <w:r>
          <w:rPr>
            <w:rStyle w:val="Hyperlink"/>
          </w:rPr>
          <w:t xml:space="preserve">http://arxiv.org/abs/1804.06788</w:t>
        </w:r>
      </w:hyperlink>
      <w:r>
        <w:t xml:space="preserve">.</w:t>
      </w:r>
    </w:p>
    <w:bookmarkEnd w:id="126"/>
    <w:bookmarkStart w:id="127"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27"/>
    <w:bookmarkStart w:id="129"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28">
        <w:r>
          <w:rPr>
            <w:rStyle w:val="Hyperlink"/>
          </w:rPr>
          <w:t xml:space="preserve">https://doi.org/10.1214/20-BA1221</w:t>
        </w:r>
      </w:hyperlink>
      <w:r>
        <w:t xml:space="preserve">.</w:t>
      </w:r>
    </w:p>
    <w:bookmarkEnd w:id="129"/>
    <w:bookmarkStart w:id="131"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0">
        <w:r>
          <w:rPr>
            <w:rStyle w:val="Hyperlink"/>
          </w:rPr>
          <w:t xml:space="preserve">https://doi.org/10.1016/s1096-7176(03)00025-9</w:t>
        </w:r>
      </w:hyperlink>
      <w:r>
        <w:t xml:space="preserve">.</w:t>
      </w:r>
    </w:p>
    <w:bookmarkEnd w:id="131"/>
    <w:bookmarkStart w:id="133"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32">
        <w:r>
          <w:rPr>
            <w:rStyle w:val="Hyperlink"/>
          </w:rPr>
          <w:t xml:space="preserve">https://doi.org/10.1371/journal.pcbi.1005227</w:t>
        </w:r>
      </w:hyperlink>
      <w:r>
        <w:t xml:space="preserve">.</w:t>
      </w:r>
    </w:p>
    <w:bookmarkEnd w:id="133"/>
    <w:bookmarkStart w:id="135"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34">
        <w:r>
          <w:rPr>
            <w:rStyle w:val="Hyperlink"/>
          </w:rPr>
          <w:t xml:space="preserve">https://doi.org/10.1002/btpr.284</w:t>
        </w:r>
      </w:hyperlink>
      <w:r>
        <w:t xml:space="preserve">.</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21" Target="media/rId21.png" /><Relationship Type="http://schemas.openxmlformats.org/officeDocument/2006/relationships/image" Id="rId37" Target="media/rId37.png" /><Relationship Type="http://schemas.openxmlformats.org/officeDocument/2006/relationships/hyperlink" Id="rId125" Target="http://arxiv.org/abs/1804.06788" TargetMode="External" /><Relationship Type="http://schemas.openxmlformats.org/officeDocument/2006/relationships/hyperlink" Id="rId134" Target="https://doi.org/10.1002/btpr.284" TargetMode="External" /><Relationship Type="http://schemas.openxmlformats.org/officeDocument/2006/relationships/hyperlink" Id="rId99" Target="https://doi.org/10.1016/0014-5793(75)80034-2" TargetMode="External" /><Relationship Type="http://schemas.openxmlformats.org/officeDocument/2006/relationships/hyperlink" Id="rId91" Target="https://doi.org/10.1016/S0022-2836(65)80285-6" TargetMode="External" /><Relationship Type="http://schemas.openxmlformats.org/officeDocument/2006/relationships/hyperlink" Id="rId65" Target="https://doi.org/10.1016/j.cels.2018.04.009" TargetMode="External" /><Relationship Type="http://schemas.openxmlformats.org/officeDocument/2006/relationships/hyperlink" Id="rId81" Target="https://doi.org/10.1016/j.cmet.2017.08.017" TargetMode="External" /><Relationship Type="http://schemas.openxmlformats.org/officeDocument/2006/relationships/hyperlink" Id="rId93" Target="https://doi.org/10.1016/j.febslet.2013.07.028" TargetMode="External" /><Relationship Type="http://schemas.openxmlformats.org/officeDocument/2006/relationships/hyperlink" Id="rId71" Target="https://doi.org/10.1016/j.ymben.2020.03.001" TargetMode="External" /><Relationship Type="http://schemas.openxmlformats.org/officeDocument/2006/relationships/hyperlink" Id="rId130" Target="https://doi.org/10.1016/s1096-7176(03)00025-9" TargetMode="External" /><Relationship Type="http://schemas.openxmlformats.org/officeDocument/2006/relationships/hyperlink" Id="rId97" Target="https://doi.org/10.1017/S0266466698144043" TargetMode="External" /><Relationship Type="http://schemas.openxmlformats.org/officeDocument/2006/relationships/hyperlink" Id="rId63" Target="https://doi.org/10.1038/nrm3695" TargetMode="External" /><Relationship Type="http://schemas.openxmlformats.org/officeDocument/2006/relationships/hyperlink" Id="rId111" Target="https://doi.org/10.1038/srep29635" TargetMode="External" /><Relationship Type="http://schemas.openxmlformats.org/officeDocument/2006/relationships/hyperlink" Id="rId107" Target="https://doi.org/10.1063/1.3528102" TargetMode="External" /><Relationship Type="http://schemas.openxmlformats.org/officeDocument/2006/relationships/hyperlink" Id="rId89" Target="https://doi.org/10.1093/bioadv/vbac066" TargetMode="External" /><Relationship Type="http://schemas.openxmlformats.org/officeDocument/2006/relationships/hyperlink" Id="rId85" Target="https://doi.org/10.1093/bioinformatics/btq141" TargetMode="External" /><Relationship Type="http://schemas.openxmlformats.org/officeDocument/2006/relationships/hyperlink" Id="rId123" Target="https://doi.org/10.1093/bioinformatics/btx676" TargetMode="External" /><Relationship Type="http://schemas.openxmlformats.org/officeDocument/2006/relationships/hyperlink" Id="rId109" Target="https://doi.org/10.1098/rsta.2011.0544" TargetMode="External" /><Relationship Type="http://schemas.openxmlformats.org/officeDocument/2006/relationships/hyperlink" Id="rId119" Target="https://doi.org/10.1101/450163" TargetMode="External" /><Relationship Type="http://schemas.openxmlformats.org/officeDocument/2006/relationships/hyperlink" Id="rId117" Target="https://doi.org/10.1115/DETC2005-85597" TargetMode="External" /><Relationship Type="http://schemas.openxmlformats.org/officeDocument/2006/relationships/hyperlink" Id="rId69" Target="https://doi.org/10.1126/sciadv.1600200" TargetMode="External" /><Relationship Type="http://schemas.openxmlformats.org/officeDocument/2006/relationships/hyperlink" Id="rId128" Target="https://doi.org/10.1214/20-BA1221" TargetMode="External" /><Relationship Type="http://schemas.openxmlformats.org/officeDocument/2006/relationships/hyperlink" Id="rId73" Target="https://doi.org/10.1371/journal.pcbi.0030189" TargetMode="External" /><Relationship Type="http://schemas.openxmlformats.org/officeDocument/2006/relationships/hyperlink" Id="rId77" Target="https://doi.org/10.1371/journal.pcbi.1000076" TargetMode="External" /><Relationship Type="http://schemas.openxmlformats.org/officeDocument/2006/relationships/hyperlink" Id="rId113" Target="https://doi.org/10.1371/journal.pcbi.1004195" TargetMode="External" /><Relationship Type="http://schemas.openxmlformats.org/officeDocument/2006/relationships/hyperlink" Id="rId132" Target="https://doi.org/10.1371/journal.pcbi.1005227" TargetMode="External" /><Relationship Type="http://schemas.openxmlformats.org/officeDocument/2006/relationships/hyperlink" Id="rId115" Target="https://doi.org/10.1371/journal.pcbi.1008646" TargetMode="External" /><Relationship Type="http://schemas.openxmlformats.org/officeDocument/2006/relationships/hyperlink" Id="rId75" Target="https://doi.org/10.15252/msb.20199110" TargetMode="External" /><Relationship Type="http://schemas.openxmlformats.org/officeDocument/2006/relationships/hyperlink" Id="rId61" Target="https://doi.org/10.18637/jss.v076.i01" TargetMode="External" /><Relationship Type="http://schemas.openxmlformats.org/officeDocument/2006/relationships/hyperlink" Id="rId79" Target="https://doi.org/10.21105/joss.01143" TargetMode="External" /><Relationship Type="http://schemas.openxmlformats.org/officeDocument/2006/relationships/hyperlink" Id="rId83" Target="https://doi.org/10.3390/metabo11110749" TargetMode="External" /><Relationship Type="http://schemas.openxmlformats.org/officeDocument/2006/relationships/hyperlink" Id="rId87" Target="https://doi.org/10.5281/zenodo.1284375" TargetMode="External" /><Relationship Type="http://schemas.openxmlformats.org/officeDocument/2006/relationships/hyperlink" Id="rId49" Target="https://github.com/biosustain/Maud/" TargetMode="External" /><Relationship Type="http://schemas.openxmlformats.org/officeDocument/2006/relationships/hyperlink" Id="rId50" Target="https://github.com/biosustain/Maud/tree/main/maud/data_model" TargetMode="External" /><Relationship Type="http://schemas.openxmlformats.org/officeDocument/2006/relationships/hyperlink" Id="rId121" Target="https://github.com/stan-dev/cmdstanpy" TargetMode="External" /><Relationship Type="http://schemas.openxmlformats.org/officeDocument/2006/relationships/hyperlink" Id="rId67" Target="https://pypi.org/project/click/" TargetMode="External" /><Relationship Type="http://schemas.openxmlformats.org/officeDocument/2006/relationships/hyperlink" Id="rId105" Target="https://pypi.org/project/pydantic/" TargetMode="External" /><Relationship Type="http://schemas.openxmlformats.org/officeDocument/2006/relationships/hyperlink" Id="rId95" Target="https://pypi.org/project/toml/" TargetMode="External" /><Relationship Type="http://schemas.openxmlformats.org/officeDocument/2006/relationships/hyperlink" Id="rId103" Target="https://toml.io/en/v1.0.0-rc.1/" TargetMode="External" /><Relationship Type="http://schemas.openxmlformats.org/officeDocument/2006/relationships/hyperlink" Id="rId101"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25" Target="http://arxiv.org/abs/1804.06788" TargetMode="External" /><Relationship Type="http://schemas.openxmlformats.org/officeDocument/2006/relationships/hyperlink" Id="rId134" Target="https://doi.org/10.1002/btpr.284" TargetMode="External" /><Relationship Type="http://schemas.openxmlformats.org/officeDocument/2006/relationships/hyperlink" Id="rId99" Target="https://doi.org/10.1016/0014-5793(75)80034-2" TargetMode="External" /><Relationship Type="http://schemas.openxmlformats.org/officeDocument/2006/relationships/hyperlink" Id="rId91" Target="https://doi.org/10.1016/S0022-2836(65)80285-6" TargetMode="External" /><Relationship Type="http://schemas.openxmlformats.org/officeDocument/2006/relationships/hyperlink" Id="rId65" Target="https://doi.org/10.1016/j.cels.2018.04.009" TargetMode="External" /><Relationship Type="http://schemas.openxmlformats.org/officeDocument/2006/relationships/hyperlink" Id="rId81" Target="https://doi.org/10.1016/j.cmet.2017.08.017" TargetMode="External" /><Relationship Type="http://schemas.openxmlformats.org/officeDocument/2006/relationships/hyperlink" Id="rId93" Target="https://doi.org/10.1016/j.febslet.2013.07.028" TargetMode="External" /><Relationship Type="http://schemas.openxmlformats.org/officeDocument/2006/relationships/hyperlink" Id="rId71" Target="https://doi.org/10.1016/j.ymben.2020.03.001" TargetMode="External" /><Relationship Type="http://schemas.openxmlformats.org/officeDocument/2006/relationships/hyperlink" Id="rId130" Target="https://doi.org/10.1016/s1096-7176(03)00025-9" TargetMode="External" /><Relationship Type="http://schemas.openxmlformats.org/officeDocument/2006/relationships/hyperlink" Id="rId97" Target="https://doi.org/10.1017/S0266466698144043" TargetMode="External" /><Relationship Type="http://schemas.openxmlformats.org/officeDocument/2006/relationships/hyperlink" Id="rId63" Target="https://doi.org/10.1038/nrm3695" TargetMode="External" /><Relationship Type="http://schemas.openxmlformats.org/officeDocument/2006/relationships/hyperlink" Id="rId111" Target="https://doi.org/10.1038/srep29635" TargetMode="External" /><Relationship Type="http://schemas.openxmlformats.org/officeDocument/2006/relationships/hyperlink" Id="rId107" Target="https://doi.org/10.1063/1.3528102" TargetMode="External" /><Relationship Type="http://schemas.openxmlformats.org/officeDocument/2006/relationships/hyperlink" Id="rId89" Target="https://doi.org/10.1093/bioadv/vbac066" TargetMode="External" /><Relationship Type="http://schemas.openxmlformats.org/officeDocument/2006/relationships/hyperlink" Id="rId85" Target="https://doi.org/10.1093/bioinformatics/btq141" TargetMode="External" /><Relationship Type="http://schemas.openxmlformats.org/officeDocument/2006/relationships/hyperlink" Id="rId123" Target="https://doi.org/10.1093/bioinformatics/btx676" TargetMode="External" /><Relationship Type="http://schemas.openxmlformats.org/officeDocument/2006/relationships/hyperlink" Id="rId109" Target="https://doi.org/10.1098/rsta.2011.0544" TargetMode="External" /><Relationship Type="http://schemas.openxmlformats.org/officeDocument/2006/relationships/hyperlink" Id="rId119" Target="https://doi.org/10.1101/450163" TargetMode="External" /><Relationship Type="http://schemas.openxmlformats.org/officeDocument/2006/relationships/hyperlink" Id="rId117" Target="https://doi.org/10.1115/DETC2005-85597" TargetMode="External" /><Relationship Type="http://schemas.openxmlformats.org/officeDocument/2006/relationships/hyperlink" Id="rId69" Target="https://doi.org/10.1126/sciadv.1600200" TargetMode="External" /><Relationship Type="http://schemas.openxmlformats.org/officeDocument/2006/relationships/hyperlink" Id="rId128" Target="https://doi.org/10.1214/20-BA1221" TargetMode="External" /><Relationship Type="http://schemas.openxmlformats.org/officeDocument/2006/relationships/hyperlink" Id="rId73" Target="https://doi.org/10.1371/journal.pcbi.0030189" TargetMode="External" /><Relationship Type="http://schemas.openxmlformats.org/officeDocument/2006/relationships/hyperlink" Id="rId77" Target="https://doi.org/10.1371/journal.pcbi.1000076" TargetMode="External" /><Relationship Type="http://schemas.openxmlformats.org/officeDocument/2006/relationships/hyperlink" Id="rId113" Target="https://doi.org/10.1371/journal.pcbi.1004195" TargetMode="External" /><Relationship Type="http://schemas.openxmlformats.org/officeDocument/2006/relationships/hyperlink" Id="rId132" Target="https://doi.org/10.1371/journal.pcbi.1005227" TargetMode="External" /><Relationship Type="http://schemas.openxmlformats.org/officeDocument/2006/relationships/hyperlink" Id="rId115" Target="https://doi.org/10.1371/journal.pcbi.1008646" TargetMode="External" /><Relationship Type="http://schemas.openxmlformats.org/officeDocument/2006/relationships/hyperlink" Id="rId75" Target="https://doi.org/10.15252/msb.20199110" TargetMode="External" /><Relationship Type="http://schemas.openxmlformats.org/officeDocument/2006/relationships/hyperlink" Id="rId61" Target="https://doi.org/10.18637/jss.v076.i01" TargetMode="External" /><Relationship Type="http://schemas.openxmlformats.org/officeDocument/2006/relationships/hyperlink" Id="rId79" Target="https://doi.org/10.21105/joss.01143" TargetMode="External" /><Relationship Type="http://schemas.openxmlformats.org/officeDocument/2006/relationships/hyperlink" Id="rId83" Target="https://doi.org/10.3390/metabo11110749" TargetMode="External" /><Relationship Type="http://schemas.openxmlformats.org/officeDocument/2006/relationships/hyperlink" Id="rId87" Target="https://doi.org/10.5281/zenodo.1284375" TargetMode="External" /><Relationship Type="http://schemas.openxmlformats.org/officeDocument/2006/relationships/hyperlink" Id="rId49" Target="https://github.com/biosustain/Maud/" TargetMode="External" /><Relationship Type="http://schemas.openxmlformats.org/officeDocument/2006/relationships/hyperlink" Id="rId50" Target="https://github.com/biosustain/Maud/tree/main/maud/data_model" TargetMode="External" /><Relationship Type="http://schemas.openxmlformats.org/officeDocument/2006/relationships/hyperlink" Id="rId121" Target="https://github.com/stan-dev/cmdstanpy" TargetMode="External" /><Relationship Type="http://schemas.openxmlformats.org/officeDocument/2006/relationships/hyperlink" Id="rId67" Target="https://pypi.org/project/click/" TargetMode="External" /><Relationship Type="http://schemas.openxmlformats.org/officeDocument/2006/relationships/hyperlink" Id="rId105" Target="https://pypi.org/project/pydantic/" TargetMode="External" /><Relationship Type="http://schemas.openxmlformats.org/officeDocument/2006/relationships/hyperlink" Id="rId95" Target="https://pypi.org/project/toml/" TargetMode="External" /><Relationship Type="http://schemas.openxmlformats.org/officeDocument/2006/relationships/hyperlink" Id="rId103" Target="https://toml.io/en/v1.0.0-rc.1/" TargetMode="External" /><Relationship Type="http://schemas.openxmlformats.org/officeDocument/2006/relationships/hyperlink" Id="rId101"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Bayesian regression modelling predicts biochemical rection energies and facilitates quantitative modelling of cell metabolism</dc:title>
  <dc:creator>Teddy Groves; Nicholas Luke Cowie; Lars Keld Nielsen</dc:creator>
  <cp:keywords/>
  <dcterms:created xsi:type="dcterms:W3CDTF">2023-10-27T09:25:58Z</dcterms:created>
  <dcterms:modified xsi:type="dcterms:W3CDTF">2023-10-27T09:25:58Z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