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The upper right (training data) and lower left (validation</w:t>
      </w:r>
      <w:r>
        <w:t xml:space="preserve"> </w:t>
      </w:r>
      <w:r>
        <w:t xml:space="preserve">data) plots in</w:t>
      </w:r>
      <w:r>
        <w:t xml:space="preserve"> </w:t>
      </w:r>
      <w:hyperlink w:anchor="fig-laplace">
        <w:r>
          <w:rPr>
            <w:rStyle w:val="Hyperlink"/>
          </w:rPr>
          <w:t xml:space="preserve">Figure 3</w:t>
        </w:r>
      </w:hyperlink>
      <w:r>
        <w:t xml:space="preserve"> </w:t>
      </w:r>
      <w:r>
        <w:t xml:space="preserve">show 5%-95% marginal flux measurement log likelihood</w:t>
      </w:r>
      <w:r>
        <w:t xml:space="preserve"> </w:t>
      </w:r>
      <w:r>
        <w:t xml:space="preserve">intervals for both methods; lower log likelihood values indicate that the</w:t>
      </w:r>
      <w:r>
        <w:t xml:space="preserve"> </w:t>
      </w:r>
      <w:r>
        <w:t xml:space="preserve">modelled and measured values are further away. The graph shows that the Laplace</w:t>
      </w:r>
      <w:r>
        <w:t xml:space="preserve"> </w:t>
      </w:r>
      <w:r>
        <w:t xml:space="preserve">approximation yielded significantly worse predictions than the true posterior,</w:t>
      </w:r>
      <w:r>
        <w:t xml:space="preserve"> </w:t>
      </w:r>
      <w:r>
        <w:t xml:space="preserve">even for the 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GNMT is an irreversible enzyme</w:t>
      </w:r>
      <w:r>
        <w:t xml:space="preserve"> </w:t>
      </w:r>
      <w:r>
        <w:t xml:space="preserve">that is homotropically activated by its substrate, competitively inhibited by</w:t>
      </w:r>
      <w:r>
        <w:t xml:space="preserve"> </w:t>
      </w:r>
      <w:r>
        <w:t xml:space="preserve">its product and heterotropically inhibited by 5,10- methylenetetrahydrofolate</w:t>
      </w:r>
      <w:r>
        <w:t xml:space="preserve"> </w:t>
      </w:r>
      <w:r>
        <w:t xml:space="preserve">(mlthf). The diverse regulation makes it the ideal test case to elucidate</w:t>
      </w:r>
      <w:r>
        <w:t xml:space="preserve"> </w:t>
      </w:r>
      <w:r>
        <w:t xml:space="preserve">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2023-10-31T21:48:05Z</dcterms:created>
  <dcterms:modified xsi:type="dcterms:W3CDTF">2023-10-31T21:48:05Z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