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21.png" ContentType="image/png"/>
  <Override PartName="/word/media/rId4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w:t>
      </w:r>
      <w:r>
        <w:t xml:space="preserve"> </w:t>
      </w:r>
      <w:r>
        <w:t xml:space="preserve">(Siskos et al. 2017; Tabb et al. 2010; Lu et al. 2017)</w:t>
      </w:r>
      <w:r>
        <w:t xml:space="preserve">.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where C represents a vector of metabolite concentrations,</w:t>
      </w:r>
      <w:r>
        <w:t xml:space="preserve"> </w:t>
      </w:r>
      <m:oMath>
        <m:r>
          <m:t>v</m:t>
        </m:r>
      </m:oMath>
      <w:r>
        <w:t xml:space="preserve"> </w:t>
      </w:r>
      <w:r>
        <w:t xml:space="preserve">is a vector of</w:t>
      </w:r>
      <w:r>
        <w:t xml:space="preserve"> </w:t>
      </w:r>
      <w:r>
        <w:t xml:space="preserve">reaction rates, and</w:t>
      </w:r>
      <w:r>
        <w:t xml:space="preserve"> </w:t>
      </w:r>
      <m:oMath>
        <m:r>
          <m:t>μ</m:t>
        </m:r>
      </m:oMath>
      <w:r>
        <w:t xml:space="preserve"> </w:t>
      </w:r>
      <w:r>
        <w:t xml:space="preserve">is the growth rate. The second term represents the</w:t>
      </w:r>
      <w:r>
        <w:t xml:space="preserve"> </w:t>
      </w:r>
      <w:r>
        <w:t xml:space="preserve">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details about Bayesian inference</w:t>
      </w:r>
      <w:r>
        <w:t xml:space="preserve"> </w:t>
      </w:r>
      <w:r>
        <w:t xml:space="preserve">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parameter models in which</w:t>
      </w:r>
      <w:r>
        <w:t xml:space="preserve"> </w:t>
      </w:r>
      <w:r>
        <w:t xml:space="preserve">measurable quantities are sensitive to combinations of parameters but not to</w:t>
      </w:r>
      <w:r>
        <w:t xml:space="preserve"> </w:t>
      </w:r>
      <w:r>
        <w:t xml:space="preserve">individual marginal parameter values are ubiquitous in models of biological</w:t>
      </w:r>
      <w:r>
        <w:t xml:space="preserve"> </w:t>
      </w:r>
      <w:r>
        <w:t xml:space="preserve">systems</w:t>
      </w:r>
      <w:r>
        <w:t xml:space="preserve"> </w:t>
      </w:r>
      <w:r>
        <w:t xml:space="preserve">(Gutenkunst et al. 2007; White et al. 2016)</w:t>
      </w:r>
      <w:r>
        <w:t xml:space="preserve">. The parameter correlation structure</w:t>
      </w:r>
      <w:r>
        <w:t xml:space="preserve"> </w:t>
      </w:r>
      <w:r>
        <w:t xml:space="preserve">represents the set of potential models that describe the observed data. As we</w:t>
      </w:r>
      <w:r>
        <w:t xml:space="preserve"> </w:t>
      </w:r>
      <w:r>
        <w:t xml:space="preserve">demonstrate later, capturing this correlation structure is difficult outside a</w:t>
      </w:r>
      <w:r>
        <w:t xml:space="preserve"> </w:t>
      </w:r>
      <w:r>
        <w:t xml:space="preserve">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 Markov</w:t>
      </w:r>
      <w:r>
        <w:t xml:space="preserve"> </w:t>
      </w:r>
      <w:r>
        <w:t xml:space="preserve">Chain Monte Carlo (MCMC). Modern MCMC algorithms enable exploration of</w:t>
      </w:r>
      <w:r>
        <w:t xml:space="preserve"> </w:t>
      </w:r>
      <w:r>
        <w:t xml:space="preserve">high-dimensional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suffer from a lack of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provides a Bayesian kinetic model that combines</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0"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27"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w:t>
      </w:r>
    </w:p>
    <w:p>
      <w:pPr>
        <w:pStyle w:val="BodyText"/>
      </w:pPr>
      <w:r>
        <w:t xml:space="preserve">For enzyme and metabolite concentration measurements we specified a standard</w:t>
      </w:r>
      <w:r>
        <w:t xml:space="preserve"> </w:t>
      </w:r>
      <w:r>
        <w:t xml:space="preserve">deviation of 0.1 on natural logarithmic scale, corresponding to approximately</w:t>
      </w:r>
      <w:r>
        <w:t xml:space="preserve"> </w:t>
      </w:r>
      <w:r>
        <w:t xml:space="preserve">10% measurement error. For each reaction measurement a measurement standard</w:t>
      </w:r>
      <w:r>
        <w:t xml:space="preserve"> </w:t>
      </w:r>
      <w:r>
        <w:t xml:space="preserve">deviation of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free fluxes.</w:t>
      </w:r>
    </w:p>
    <w:p>
      <w:pPr>
        <w:pStyle w:val="BodyText"/>
      </w:pPr>
      <w:r>
        <w:t xml:space="preserve">The simulated experiments and measurements were split into a training and a</w:t>
      </w:r>
      <w:r>
        <w:t xml:space="preserve"> </w:t>
      </w:r>
      <w:r>
        <w:t xml:space="preserve">validation dataset in a way that achieved a large difference in flux between the</w:t>
      </w:r>
      <w:r>
        <w:t xml:space="preserve"> </w:t>
      </w:r>
      <w:r>
        <w:t xml:space="preserve">two categories. This was done to evaluate whether the fitted model is able to</w:t>
      </w:r>
      <w:r>
        <w:t xml:space="preserve"> </w:t>
      </w:r>
      <w:r>
        <w:t xml:space="preserve">extrapolate to conditions well outside the training dataset rather than merely</w:t>
      </w:r>
      <w:r>
        <w:t xml:space="preserve"> </w:t>
      </w:r>
      <w:r>
        <w:t xml:space="preserve">interpolating between the training data without necessarily learning the system.</w:t>
      </w:r>
    </w:p>
    <w:p>
      <w:pPr>
        <w:pStyle w:val="BodyText"/>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6">
        <w:r>
          <w:rPr>
            <w:rStyle w:val="Hyperlink"/>
          </w:rPr>
          <w:t xml:space="preserve">https://github.com/biosustain/Methionine_model/tree/main/data</w:t>
        </w:r>
      </w:hyperlink>
      <w:r>
        <w:t xml:space="preserve">.</w:t>
      </w:r>
    </w:p>
    <w:bookmarkEnd w:id="27"/>
    <w:bookmarkStart w:id="39" w:name="posterior-inference"/>
    <w:p>
      <w:pPr>
        <w:pStyle w:val="Heading2"/>
      </w:pPr>
      <w:r>
        <w:t xml:space="preserve">2.2 Posterior inference</w:t>
      </w:r>
    </w:p>
    <w:p>
      <w:pPr>
        <w:pStyle w:val="FirstParagraph"/>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p>
      <w:pPr>
        <w:pStyle w:val="BodyText"/>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w:t>
      </w:r>
      <w:r>
        <w:t xml:space="preserve"> </w:t>
      </w:r>
      <w:r>
        <w:t xml:space="preserve">that these are highly correlated. The marginal posterior distributions</w:t>
      </w:r>
      <w:r>
        <w:t xml:space="preserve"> </w:t>
      </w:r>
      <w:r>
        <w:t xml:space="preserve">for most kinetic parameters did not shrink significantly compared to the</w:t>
      </w:r>
      <w:r>
        <w:t xml:space="preserve"> </w:t>
      </w:r>
      <w:r>
        <w:t xml:space="preserve">corresponding marginal prior distributions, even though these parameters’</w:t>
      </w:r>
      <w:r>
        <w:t xml:space="preserve"> </w:t>
      </w:r>
      <w:r>
        <w:t xml:space="preserve">joint posterior distribution contained enough information to make accurate out</w:t>
      </w:r>
      <w:r>
        <w:t xml:space="preserve"> </w:t>
      </w:r>
      <w:r>
        <w:t xml:space="preserve">of sample predictions. In some cases, there were two-dimensional correlations</w:t>
      </w:r>
      <w:r>
        <w:t xml:space="preserve"> </w:t>
      </w:r>
      <w:r>
        <w:t xml:space="preserve">such as 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which shows two marginally independent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in the next section.</w:t>
      </w:r>
    </w:p>
    <w:tbl>
      <w:tblPr>
        <w:tblStyle w:val="Table"/>
        <w:tblW w:type="pct" w:w="5000"/>
        <w:tblLook w:firstRow="0" w:lastRow="0" w:firstColumn="0" w:lastColumn="0" w:noHBand="0" w:noVBand="0" w:val="0000"/>
        <w:jc w:val="start"/>
      </w:tblPr>
      <w:tblGrid>
        <w:gridCol w:w="7920"/>
      </w:tblGrid>
      <w:tr>
        <w:tc>
          <w:tcPr/>
          <w:bookmarkStart w:id="31"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29" name="Picture"/>
                        <a:graphic>
                          <a:graphicData uri="http://schemas.openxmlformats.org/drawingml/2006/picture">
                            <pic:pic>
                              <pic:nvPicPr>
                                <pic:cNvPr descr="./figures/posterior.png" id="30" name="Picture"/>
                                <pic:cNvPicPr>
                                  <a:picLocks noChangeArrowheads="1" noChangeAspect="1"/>
                                </pic:cNvPicPr>
                              </pic:nvPicPr>
                              <pic:blipFill>
                                <a:blip r:embed="rId28"/>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w:t>
            </w:r>
            <w:r>
              <w:t xml:space="preserve"> </w:t>
            </w:r>
            <w:r>
              <w:t xml:space="preserve">a good fit. (</w:t>
            </w:r>
            <w:r>
              <w:rPr>
                <w:bCs/>
                <w:b/>
              </w:rPr>
              <w:t xml:space="preserve">Bottom left</w:t>
            </w:r>
            <w:r>
              <w:t xml:space="preserve">) Pairwise marginal posterior distribution</w:t>
            </w:r>
            <w:r>
              <w:t xml:space="preserve"> </w:t>
            </w:r>
            <w:r>
              <w:t xml:space="preserve">for two 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 (</w:t>
            </w:r>
            <w:r>
              <w:rPr>
                <w:bCs/>
                <w:b/>
              </w:rPr>
              <w:t xml:space="preserve">Bottom right</w:t>
            </w:r>
            <w:r>
              <w:t xml:space="preserve">) Pairwise marginal posterior distribution</w:t>
            </w:r>
            <w:r>
              <w:t xml:space="preserve"> </w:t>
            </w:r>
            <w:r>
              <w:t xml:space="preserve">for two uncorrelated 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1"/>
        </w:tc>
      </w:tr>
    </w:tbl>
    <w:bookmarkStart w:id="38" w:name="sec-laplace"/>
    <w:p>
      <w:pPr>
        <w:pStyle w:val="Heading3"/>
      </w:pPr>
      <w:r>
        <w:t xml:space="preserve">2.2.1 Comparison with Laplace approximation</w:t>
      </w:r>
    </w:p>
    <w:p>
      <w:pPr>
        <w:pStyle w:val="FirstParagraph"/>
      </w:pPr>
      <w:r>
        <w:t xml:space="preserve">This current case study illustrates the type of kinetic model and dataset that</w:t>
      </w:r>
      <w:r>
        <w:t xml:space="preserve"> </w:t>
      </w:r>
      <w:r>
        <w:t xml:space="preserve">Maud 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 The Laplace approximation, in which the</w:t>
      </w:r>
      <w:r>
        <w:t xml:space="preserve"> </w:t>
      </w:r>
      <w:r>
        <w:t xml:space="preserve">Fisher information matrix is used to calculate a normal approximation around</w:t>
      </w:r>
      <w:r>
        <w:t xml:space="preserve"> </w:t>
      </w:r>
      <w:r>
        <w:t xml:space="preserve">the maximum a posteriori parameter configuration, is a popular strategy for</w:t>
      </w:r>
      <w:r>
        <w:t xml:space="preserve"> </w:t>
      </w:r>
      <w:r>
        <w:t xml:space="preserve">generating approximate posterior samples while avoiding a full MCMC approach.</w:t>
      </w:r>
    </w:p>
    <w:p>
      <w:pPr>
        <w:pStyle w:val="BodyText"/>
      </w:pPr>
      <w:r>
        <w:t xml:space="preserve">Using the recently implemented Laplace approximation in Stan, we were unable to</w:t>
      </w:r>
      <w:r>
        <w:t xml:space="preserve"> </w:t>
      </w:r>
      <w:r>
        <w:t xml:space="preserve">generate approximate posterior samples for our main methionine cycle case study</w:t>
      </w:r>
      <w:r>
        <w:t xml:space="preserve"> </w:t>
      </w:r>
      <w:r>
        <w:t xml:space="preserve">using Laplace approximation, as the algorithm could not recover from solver</w:t>
      </w:r>
      <w:r>
        <w:t xml:space="preserve"> </w:t>
      </w:r>
      <w:r>
        <w:t xml:space="preserve">failures caused by unrealistic parameter configurations. This is not an inherent</w:t>
      </w:r>
      <w:r>
        <w:t xml:space="preserve"> </w:t>
      </w:r>
      <w:r>
        <w:t xml:space="preserve">issue of the Laplace transformation but highlights some of the challenges around</w:t>
      </w:r>
      <w:r>
        <w:t xml:space="preserve"> </w:t>
      </w:r>
      <w:r>
        <w:t xml:space="preserve">solving</w:t>
      </w:r>
      <w:r>
        <w:t xml:space="preserve"> </w:t>
      </w:r>
      <w:r>
        <w:t xml:space="preserve"> </w:t>
      </w:r>
      <w:r>
        <w:t xml:space="preserve">for real problems.</w:t>
      </w:r>
    </w:p>
    <w:p>
      <w:pPr>
        <w:pStyle w:val="BodyText"/>
      </w:pPr>
      <w:r>
        <w:t xml:space="preserve">In order still to assess the potential use of the Laplace approximation, we made</w:t>
      </w:r>
      <w:r>
        <w:t xml:space="preserve"> </w:t>
      </w:r>
      <w:r>
        <w:t xml:space="preserve">a comparison for a simpler model. This input can be found at</w:t>
      </w:r>
      <w:r>
        <w:t xml:space="preserve"> </w:t>
      </w:r>
      <w:hyperlink r:id="rId32">
        <w:r>
          <w:rPr>
            <w:rStyle w:val="Hyperlink"/>
          </w:rPr>
          <w:t xml:space="preserve">https://github.com/biosustain/Methionine_model/tree/main/data/example_ode</w:t>
        </w:r>
      </w:hyperlink>
      <w:r>
        <w:t xml:space="preserve">.</w:t>
      </w:r>
      <w:r>
        <w:t xml:space="preserve"> </w:t>
      </w:r>
      <w:r>
        <w:t xml:space="preserve">MCMC sampling for this simpler model yielded 800 samples in 625 minutes, while</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3">
        <w:r>
          <w:rPr>
            <w:rStyle w:val="Hyperlink"/>
          </w:rPr>
          <w:t xml:space="preserve">https://github.com/biosustain/Methionine_model/tree/main/results</w:t>
        </w:r>
      </w:hyperlink>
      <w:r>
        <w:t xml:space="preserve">.</w:t>
      </w:r>
    </w:p>
    <w:p>
      <w:pPr>
        <w:pStyle w:val="BodyText"/>
      </w:pPr>
      <w:r>
        <w:t xml:space="preserve">Comparing the samples generated using each method shows that the Laplace</w:t>
      </w:r>
      <w:r>
        <w:t xml:space="preserve"> </w:t>
      </w:r>
      <w:r>
        <w:t xml:space="preserve">approximation does not provide a good approximation to the true posterior</w:t>
      </w:r>
      <w:r>
        <w:t xml:space="preserve"> </w:t>
      </w:r>
      <w:r>
        <w:t xml:space="preserve">distribution in this case (</w:t>
      </w:r>
      <w:hyperlink w:anchor="fig-laplace">
        <w:r>
          <w:rPr>
            <w:rStyle w:val="Hyperlink"/>
          </w:rPr>
          <w:t xml:space="preserve">Figure 3</w:t>
        </w:r>
      </w:hyperlink>
      <w:r>
        <w:t xml:space="preserve">). As can be seen from the top left</w:t>
      </w:r>
      <w:r>
        <w:t xml:space="preserve"> </w:t>
      </w:r>
      <w:r>
        <w:t xml:space="preserve">plot, the total log probability density is clearly different and this was</w:t>
      </w:r>
      <w:r>
        <w:t xml:space="preserve"> </w:t>
      </w:r>
      <w:r>
        <w:t xml:space="preserve">confirmed by a test of the equality of two empirical univariate distributions</w:t>
      </w:r>
      <w:r>
        <w:t xml:space="preserve"> </w:t>
      </w:r>
      <w:r>
        <w:t xml:space="preserve">(Kolmogorov-Smirnov,</w:t>
      </w:r>
      <w:r>
        <w:t xml:space="preserve"> </w:t>
      </w:r>
      <m:oMath>
        <m:r>
          <m:t>p</m:t>
        </m:r>
        <m:r>
          <m:rPr>
            <m:sty m:val="p"/>
          </m:rPr>
          <m:t>=</m:t>
        </m:r>
        <m:r>
          <m:t>1.7</m:t>
        </m:r>
        <m:r>
          <m:rPr>
            <m:sty m:val="p"/>
          </m:rPr>
          <m:t>×</m:t>
        </m:r>
        <m:sSup>
          <m:e>
            <m:r>
              <m:t>10</m:t>
            </m:r>
          </m:e>
          <m:sup>
            <m:r>
              <m:rPr>
                <m:sty m:val="p"/>
              </m:rPr>
              <m:t>−</m:t>
            </m:r>
            <m:r>
              <m:t>65</m:t>
            </m:r>
          </m:sup>
        </m:sSup>
      </m:oMath>
      <w:r>
        <w:t xml:space="preserve">).</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for both training data (upper right) and validation data</w:t>
      </w:r>
      <w:r>
        <w:t xml:space="preserve"> </w:t>
      </w:r>
      <w:r>
        <w:t xml:space="preserve">(lower left). The lower log likelihood values indication that the modelled and</w:t>
      </w:r>
      <w:r>
        <w:t xml:space="preserve"> </w:t>
      </w:r>
      <w:r>
        <w:t xml:space="preserve">measured values are further away and that the Laplace approximation yielded</w:t>
      </w:r>
      <w:r>
        <w:t xml:space="preserve"> </w:t>
      </w:r>
      <w:r>
        <w:t xml:space="preserve">significantly worse predictions than the true posterior, even for the training</w:t>
      </w:r>
      <w:r>
        <w:t xml:space="preserve"> </w:t>
      </w:r>
      <w:r>
        <w:t xml:space="preserve">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w:t>
      </w:r>
      <w:r>
        <w:t xml:space="preserve">(</w:t>
      </w:r>
      <w:hyperlink w:anchor="fig-laplace">
        <w:r>
          <w:rPr>
            <w:rStyle w:val="Hyperlink"/>
          </w:rPr>
          <w:t xml:space="preserve">Figure 3</w:t>
        </w:r>
      </w:hyperlink>
      <w:r>
        <w:t xml:space="preserve">, bottom right).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required for posterior inference in this case. We expect that the Laplace method</w:t>
      </w:r>
      <w:r>
        <w:t xml:space="preserve"> </w:t>
      </w:r>
      <w:r>
        <w:t xml:space="preserve">will produce worse approximations the more complex the target model. Since the</w:t>
      </w:r>
      <w:r>
        <w:t xml:space="preserve"> </w:t>
      </w:r>
      <w:r>
        <w:t xml:space="preserve">approximation is already unacceptable for our simple test model, we recommend</w:t>
      </w:r>
      <w:r>
        <w:t xml:space="preserve"> </w:t>
      </w:r>
      <w:r>
        <w:t xml:space="preserve">that Maud users use MCMC sampling in preference to Laplace approximation if</w:t>
      </w:r>
      <w:r>
        <w:t xml:space="preserve"> </w:t>
      </w:r>
      <w:r>
        <w:t xml:space="preserve">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7"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35" name="Picture"/>
                        <a:graphic>
                          <a:graphicData uri="http://schemas.openxmlformats.org/drawingml/2006/picture">
                            <pic:pic>
                              <pic:nvPicPr>
                                <pic:cNvPr descr="./figures/laplace.png" id="36" name="Picture"/>
                                <pic:cNvPicPr>
                                  <a:picLocks noChangeArrowheads="1" noChangeAspect="1"/>
                                </pic:cNvPicPr>
                              </pic:nvPicPr>
                              <pic:blipFill>
                                <a:blip r:embed="rId34"/>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w:t>
            </w:r>
            <w:r>
              <w:t xml:space="preserve"> </w:t>
            </w:r>
            <w:r>
              <w:t xml:space="preserve">values for training data flux measurements shows that the Laplace method</w:t>
            </w:r>
            <w:r>
              <w:t xml:space="preserve"> </w:t>
            </w:r>
            <w:r>
              <w:t xml:space="preserve">tended to yield much worse predictions compared with the true model (lower log</w:t>
            </w:r>
            <w:r>
              <w:t xml:space="preserve"> </w:t>
            </w:r>
            <w:r>
              <w:t xml:space="preserve">likelihood values indicate that the modelled and measured values are further</w:t>
            </w:r>
            <w:r>
              <w:t xml:space="preserve"> </w:t>
            </w:r>
            <w:r>
              <w:t xml:space="preserve">away). (</w:t>
            </w:r>
            <w:r>
              <w:rPr>
                <w:bCs/>
                <w:b/>
              </w:rPr>
              <w:t xml:space="preserve">Bottom left</w:t>
            </w:r>
            <w:r>
              <w:t xml:space="preserve">) The Laplace method also tended to produce worse flux</w:t>
            </w:r>
            <w:r>
              <w:t xml:space="preserve"> </w:t>
            </w:r>
            <w:r>
              <w:t xml:space="preserve">predictions for held-back test measurements. (</w:t>
            </w:r>
            <w:r>
              <w:rPr>
                <w:bCs/>
                <w:b/>
              </w:rPr>
              <w:t xml:space="preserve">Bottom right</w:t>
            </w:r>
            <w:r>
              <w:t xml:space="preserve">) The marginal</w:t>
            </w:r>
            <w:r>
              <w:t xml:space="preserve"> </w:t>
            </w:r>
            <w:r>
              <w:t xml:space="preserve">joint distribution of two 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w:t>
            </w:r>
            <w:r>
              <w:t xml:space="preserve"> </w:t>
            </w:r>
            <w:r>
              <w:t xml:space="preserve">Laplace method is not able to track the correct joint distribution for this</w:t>
            </w:r>
            <w:r>
              <w:t xml:space="preserve"> </w:t>
            </w:r>
            <w:r>
              <w:t xml:space="preserve">pair of parameters. This is unsurprising given that the target distribution</w:t>
            </w:r>
            <w:r>
              <w:t xml:space="preserve"> </w:t>
            </w:r>
            <w:r>
              <w:t xml:space="preserve">has position-dependent scales which are difficult for a linear approximation</w:t>
            </w:r>
            <w:r>
              <w:t xml:space="preserve"> </w:t>
            </w:r>
            <w:r>
              <w:t xml:space="preserve">to capture.</w:t>
            </w:r>
          </w:p>
          <w:bookmarkEnd w:id="37"/>
        </w:tc>
      </w:tr>
    </w:tbl>
    <w:bookmarkEnd w:id="38"/>
    <w:bookmarkEnd w:id="39"/>
    <w:bookmarkStart w:id="44" w:name="X9aab18619bffaaee7010f39077c602781b7715d"/>
    <w:p>
      <w:pPr>
        <w:pStyle w:val="Heading2"/>
      </w:pPr>
      <w:r>
        <w:t xml:space="preserve">2.3 Effect of missing metabolite concentration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p>
      <w:pPr>
        <w:pStyle w:val="BodyText"/>
      </w:pPr>
      <w:r>
        <w:t xml:space="preserve">Comparing model runs with and without the ahcys measurements showed that Maud</w:t>
      </w:r>
      <w:r>
        <w:t xml:space="preserve"> </w:t>
      </w:r>
      <w:r>
        <w:t xml:space="preserve">can produce sensible results even from incomplete metabolomics data.</w:t>
      </w:r>
    </w:p>
    <w:p>
      <w:pPr>
        <w:pStyle w:val="BodyText"/>
      </w:pPr>
      <w:r>
        <w:t xml:space="preserve">As might be expected, the model with missing measurements did not correctly</w:t>
      </w:r>
      <w:r>
        <w:t xml:space="preserve"> </w:t>
      </w:r>
      <w:r>
        <w:t xml:space="preserve">infer the missing ahcys concentrations (</w:t>
      </w:r>
      <w:hyperlink w:anchor="fig-missing">
        <w:r>
          <w:rPr>
            <w:rStyle w:val="Hyperlink"/>
          </w:rPr>
          <w:t xml:space="preserve">Figure 4</w:t>
        </w:r>
      </w:hyperlink>
      <w:r>
        <w:t xml:space="preserve">). Nonetheless, the</w:t>
      </w:r>
      <w:r>
        <w:t xml:space="preserve"> </w:t>
      </w:r>
      <w:r>
        <w:t xml:space="preserve">remaining measured metabolites were still well predicted, suggesting</w:t>
      </w:r>
      <w:r>
        <w:t xml:space="preserve"> </w:t>
      </w:r>
      <w:r>
        <w:t xml:space="preserve">that information about the network is still preserved despite the missing</w:t>
      </w:r>
      <w:r>
        <w:t xml:space="preserve"> </w:t>
      </w:r>
      <w:r>
        <w:t xml:space="preserve">measurements. Comparison of flux measurements in both models also indicated that</w:t>
      </w:r>
      <w:r>
        <w:t xml:space="preserve"> </w:t>
      </w:r>
      <w:r>
        <w:t xml:space="preserve">removing the ahcys measurement did not result in catastrophic model failure.</w:t>
      </w:r>
    </w:p>
    <w:p>
      <w:pPr>
        <w:pStyle w:val="BodyText"/>
      </w:pPr>
      <w:r>
        <w:t xml:space="preserve">The missing measurements did affect Maud’s ability to infer parameter values</w:t>
      </w:r>
      <w:r>
        <w:t xml:space="preserve"> </w:t>
      </w:r>
      <w:r>
        <w:t xml:space="preserve">correctly (</w:t>
      </w:r>
      <w:hyperlink w:anchor="fig-missing">
        <w:r>
          <w:rPr>
            <w:rStyle w:val="Hyperlink"/>
          </w:rPr>
          <w:t xml:space="preserve">Figure 4</w:t>
        </w:r>
      </w:hyperlink>
      <w:r>
        <w:t xml:space="preserve">, lower left). The model with full metabolomics learned</w:t>
      </w:r>
      <w:r>
        <w:t xml:space="preserve"> </w:t>
      </w:r>
      <w:r>
        <w:t xml:space="preserve">the true value for the displayed dissociation constant, despite this value being</w:t>
      </w:r>
      <w:r>
        <w:t xml:space="preserve"> </w:t>
      </w:r>
      <w:r>
        <w:t xml:space="preserve">far from the mean of the corresponding marginal prior distribution. In contrast,</w:t>
      </w:r>
      <w:r>
        <w:t xml:space="preserve"> </w:t>
      </w:r>
      <w:r>
        <w:t xml:space="preserve">the model with missing measurements 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2"/>
      </w:pPr>
      <w:r>
        <w:t xml:space="preserve">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w:t>
      </w:r>
      <w:hyperlink w:anchor="fig-decomposition">
        <w:r>
          <w:rPr>
            <w:rStyle w:val="Hyperlink"/>
          </w:rPr>
          <w:t xml:space="preserve">Figure 5</w:t>
        </w:r>
      </w:hyperlink>
      <w:r>
        <w:t xml:space="preserve">). GNMT</w:t>
      </w:r>
      <w:r>
        <w:t xml:space="preserve"> </w:t>
      </w:r>
      <w:r>
        <w:t xml:space="preserve">is 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complex regulation makes it the ideal</w:t>
      </w:r>
      <w:r>
        <w:t xml:space="preserve"> </w:t>
      </w:r>
      <w:r>
        <w:t xml:space="preserve">test case to elucidate regulatory changes.</w:t>
      </w:r>
    </w:p>
    <w:p>
      <w:pPr>
        <w:pStyle w:val="BodyText"/>
      </w:pPr>
      <w:r>
        <w:t xml:space="preserve">Regulation can be separated into enzyme abundance, allostery and saturation,</w:t>
      </w:r>
      <w:r>
        <w:t xml:space="preserve"> </w:t>
      </w:r>
      <w:r>
        <w:t xml:space="preserve">and we can plot the marginal posterior distribution of the ratio of the</w:t>
      </w:r>
      <w:r>
        <w:t xml:space="preserve"> </w:t>
      </w:r>
      <w:r>
        <w:t xml:space="preserve">corresponding regulatory component in dataset 1 compared with dataset 12</w:t>
      </w:r>
      <w:r>
        <w:t xml:space="preserve"> </w:t>
      </w:r>
      <w:r>
        <w:t xml:space="preserve">(</w:t>
      </w:r>
      <w:hyperlink w:anchor="fig-decomposition">
        <w:r>
          <w:rPr>
            <w:rStyle w:val="Hyperlink"/>
          </w:rPr>
          <w:t xml:space="preserve">Figure 5</w:t>
        </w:r>
      </w:hyperlink>
      <w:r>
        <w:t xml:space="preserve">, right panel).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84183"/>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84183"/>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Start w:id="59"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1">
        <w:r>
          <w:rPr>
            <w:rStyle w:val="Hyperlink"/>
          </w:rPr>
          <w:t xml:space="preserve">https://maud-metabolic-models.readthedocs.io</w:t>
        </w:r>
      </w:hyperlink>
      <w:r>
        <w:t xml:space="preserve"> </w:t>
      </w:r>
      <w:r>
        <w:t xml:space="preserve">and actively developed and maintained at</w:t>
      </w:r>
      <w:r>
        <w:t xml:space="preserve"> </w:t>
      </w:r>
      <w:hyperlink r:id="rId52">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3" w:name="kinetic-model"/>
    <w:p>
      <w:pPr>
        <w:pStyle w:val="Heading2"/>
      </w:pPr>
      <w:r>
        <w:t xml:space="preserve">3.1 Kinetic model</w:t>
      </w:r>
    </w:p>
    <w:p>
      <w:pPr>
        <w:pStyle w:val="FirstParagraph"/>
      </w:pPr>
      <w:r>
        <w:t xml:space="preserve">Maud’s kinetic model decomposes into factors:</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3"/>
    <w:bookmarkStart w:id="56"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4"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4"/>
    <w:bookmarkStart w:id="55"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true</w:t>
      </w:r>
      <w:r>
        <w:t xml:space="preserve"> </w:t>
      </w:r>
      <w:r>
        <w:t xml:space="preserve">value of the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 Our measurement model improves on analyses of metabolomics</w:t>
      </w:r>
      <w:r>
        <w:t xml:space="preserve"> </w:t>
      </w:r>
      <w:r>
        <w:t xml:space="preserve">and proteomics data that assume a regression model with normally distributed</w:t>
      </w:r>
      <w:r>
        <w:t xml:space="preserve"> </w:t>
      </w:r>
      <w:r>
        <w:t xml:space="preserve">errors, whether explicitly using a standard linear model or implicitly using</w:t>
      </w:r>
      <w:r>
        <w:t xml:space="preserve"> </w:t>
      </w:r>
      <w:r>
        <w:t xml:space="preserve">ordinary least squares fitting.</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w:t>
      </w:r>
      <w:r>
        <w:t xml:space="preserve"> </w:t>
      </w:r>
      <w:r>
        <w:t xml:space="preserve">. Flux measurements can be obtained from isotope labelling</w:t>
      </w:r>
      <w:r>
        <w:t xml:space="preserve"> </w:t>
      </w:r>
      <w:r>
        <w:t xml:space="preserve">experiments using metabolic flux analysis, for example as described in (Young</w:t>
      </w:r>
      <w:r>
        <w:t xml:space="preserve"> </w:t>
      </w:r>
      <w:r>
        <w:t xml:space="preserve">2014). When entering flux measurements, it is important only to specify</w:t>
      </w:r>
      <w:r>
        <w:t xml:space="preserve"> </w:t>
      </w:r>
      <w:r>
        <w:t xml:space="preserve">measurements for a network’s free fluxes, as the values of some steady state</w:t>
      </w:r>
      <w:r>
        <w:t xml:space="preserve"> </w:t>
      </w:r>
      <w:r>
        <w:t xml:space="preserve">fluxes in a metabolic network are constrained by others, with the result that</w:t>
      </w:r>
      <w:r>
        <w:t xml:space="preserve"> </w:t>
      </w:r>
      <w:r>
        <w:t xml:space="preserve">dependent fluxes cannot typically be measured separately. If measurements of</w:t>
      </w:r>
      <w:r>
        <w:t xml:space="preserve"> </w:t>
      </w:r>
      <w:r>
        <w:t xml:space="preserve">multiple dependent fluxes are entered, information will inappropriately be</w:t>
      </w:r>
      <w:r>
        <w:t xml:space="preserve"> </w:t>
      </w:r>
      <w:r>
        <w:t xml:space="preserve">double counted.</w:t>
      </w:r>
    </w:p>
    <w:p>
      <w:pPr>
        <w:pStyle w:val="BodyText"/>
      </w:pP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5"/>
    <w:bookmarkEnd w:id="56"/>
    <w:bookmarkStart w:id="57"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57"/>
    <w:bookmarkStart w:id="58"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w:t>
      </w:r>
      <w:r>
        <w:t xml:space="preserve"> </w:t>
      </w:r>
      <w:r>
        <w:t xml:space="preserve"> </w:t>
      </w:r>
      <w:r>
        <w:t xml:space="preserve">and finding the gradients of its</w:t>
      </w:r>
      <w:r>
        <w:t xml:space="preserve"> </w:t>
      </w:r>
      <w:r>
        <w:t xml:space="preserve">solution with respect to all model parameters. This must be done numerically as</w:t>
      </w:r>
      <w:r>
        <w:t xml:space="preserve"> </w:t>
      </w:r>
      <w:r>
        <w:t xml:space="preserve">analytic solutions are not available for realistic kinetic 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w:t>
      </w:r>
      <w:r>
        <w:t xml:space="preserve"> </w:t>
      </w:r>
      <w:r>
        <w:t xml:space="preserve"> </w:t>
      </w:r>
      <w:r>
        <w:t xml:space="preserve">and find its gradients, Maud uses a hybrid</w:t>
      </w:r>
      <w:r>
        <w:t xml:space="preserve"> </w:t>
      </w:r>
      <w:r>
        <w:t xml:space="preserve">method involving two numerical solvers from the SUNDIALS suite</w:t>
      </w:r>
      <w:r>
        <w:t xml:space="preserve"> </w:t>
      </w:r>
      <w:r>
        <w:t xml:space="preserve">(Serban and Hindmarsh 2005)</w:t>
      </w:r>
      <w:r>
        <w:t xml:space="preserve">: CVODES and IDAS via their</w:t>
      </w:r>
      <w:r>
        <w:t xml:space="preserve"> </w:t>
      </w:r>
      <w:r>
        <w:t xml:space="preserve">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58"/>
    <w:bookmarkEnd w:id="59"/>
    <w:bookmarkStart w:id="61"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0">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1"/>
    <w:bookmarkStart w:id="62" w:name="acknowledgements"/>
    <w:p>
      <w:pPr>
        <w:pStyle w:val="Heading1"/>
      </w:pPr>
      <w:r>
        <w:t xml:space="preserve">5. Acknowledgements</w:t>
      </w:r>
    </w:p>
    <w:p>
      <w:pPr>
        <w:pStyle w:val="FirstParagraph"/>
      </w:pPr>
      <w:r>
        <w:t xml:space="preserve">This research was funded by the Novo Nordisk Foundation (Grant numbers</w:t>
      </w:r>
      <w:r>
        <w:t xml:space="preserve"> </w:t>
      </w:r>
      <w:r>
        <w:t xml:space="preserve">NNF20CC0035580 NNF14OC0009473).</w:t>
      </w:r>
    </w:p>
    <w:bookmarkEnd w:id="62"/>
    <w:bookmarkStart w:id="148" w:name="references"/>
    <w:p>
      <w:pPr>
        <w:pStyle w:val="Heading1"/>
      </w:pPr>
      <w:r>
        <w:t xml:space="preserve">6. References</w:t>
      </w:r>
    </w:p>
    <w:bookmarkStart w:id="147" w:name="refs"/>
    <w:bookmarkStart w:id="64"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3">
        <w:r>
          <w:rPr>
            <w:rStyle w:val="Hyperlink"/>
          </w:rPr>
          <w:t xml:space="preserve">http://arxiv.org/abs/1701.02434</w:t>
        </w:r>
      </w:hyperlink>
      <w:r>
        <w:t xml:space="preserve">.</w:t>
      </w:r>
    </w:p>
    <w:bookmarkEnd w:id="64"/>
    <w:bookmarkStart w:id="66"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5">
        <w:r>
          <w:rPr>
            <w:rStyle w:val="Hyperlink"/>
          </w:rPr>
          <w:t xml:space="preserve">https://doi.org/10.18637/jss.v076.i01</w:t>
        </w:r>
      </w:hyperlink>
      <w:r>
        <w:t xml:space="preserve">.</w:t>
      </w:r>
    </w:p>
    <w:bookmarkEnd w:id="66"/>
    <w:bookmarkStart w:id="68"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7">
        <w:r>
          <w:rPr>
            <w:rStyle w:val="Hyperlink"/>
          </w:rPr>
          <w:t xml:space="preserve">https://doi.org/10.1038/nrm3695</w:t>
        </w:r>
      </w:hyperlink>
      <w:r>
        <w:t xml:space="preserve">.</w:t>
      </w:r>
    </w:p>
    <w:bookmarkEnd w:id="68"/>
    <w:bookmarkStart w:id="70"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69">
        <w:r>
          <w:rPr>
            <w:rStyle w:val="Hyperlink"/>
          </w:rPr>
          <w:t xml:space="preserve">https://doi.org/10.1016/j.cels.2018.04.009</w:t>
        </w:r>
      </w:hyperlink>
      <w:r>
        <w:t xml:space="preserve">.</w:t>
      </w:r>
    </w:p>
    <w:bookmarkEnd w:id="70"/>
    <w:bookmarkStart w:id="72"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1">
        <w:r>
          <w:rPr>
            <w:rStyle w:val="Hyperlink"/>
          </w:rPr>
          <w:t xml:space="preserve">https://pypi.org/project/click/</w:t>
        </w:r>
      </w:hyperlink>
      <w:r>
        <w:t xml:space="preserve">.</w:t>
      </w:r>
    </w:p>
    <w:bookmarkEnd w:id="72"/>
    <w:bookmarkStart w:id="74"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3">
        <w:r>
          <w:rPr>
            <w:rStyle w:val="Hyperlink"/>
          </w:rPr>
          <w:t xml:space="preserve">https://doi.org/10.1016/j.ymben.2016.09.005</w:t>
        </w:r>
      </w:hyperlink>
      <w:r>
        <w:t xml:space="preserve">.</w:t>
      </w:r>
    </w:p>
    <w:bookmarkEnd w:id="74"/>
    <w:bookmarkStart w:id="76"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5">
        <w:r>
          <w:rPr>
            <w:rStyle w:val="Hyperlink"/>
          </w:rPr>
          <w:t xml:space="preserve">https://doi.org/10.1126/sciadv.1600200</w:t>
        </w:r>
      </w:hyperlink>
      <w:r>
        <w:t xml:space="preserve">.</w:t>
      </w:r>
    </w:p>
    <w:bookmarkEnd w:id="76"/>
    <w:bookmarkStart w:id="77"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7"/>
    <w:bookmarkStart w:id="79"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8">
        <w:r>
          <w:rPr>
            <w:rStyle w:val="Hyperlink"/>
          </w:rPr>
          <w:t xml:space="preserve">http://arxiv.org/abs/2011.01808</w:t>
        </w:r>
      </w:hyperlink>
      <w:r>
        <w:t xml:space="preserve">.</w:t>
      </w:r>
    </w:p>
    <w:bookmarkEnd w:id="79"/>
    <w:bookmarkStart w:id="81"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0">
        <w:r>
          <w:rPr>
            <w:rStyle w:val="Hyperlink"/>
          </w:rPr>
          <w:t xml:space="preserve">https://doi.org/10.1016/j.ymben.2020.03.001</w:t>
        </w:r>
      </w:hyperlink>
      <w:r>
        <w:t xml:space="preserve">.</w:t>
      </w:r>
    </w:p>
    <w:bookmarkEnd w:id="81"/>
    <w:bookmarkStart w:id="83"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2">
        <w:r>
          <w:rPr>
            <w:rStyle w:val="Hyperlink"/>
          </w:rPr>
          <w:t xml:space="preserve">https://doi.org/10.1371/journal.pcbi.0030189</w:t>
        </w:r>
      </w:hyperlink>
      <w:r>
        <w:t xml:space="preserve">.</w:t>
      </w:r>
    </w:p>
    <w:bookmarkEnd w:id="83"/>
    <w:bookmarkStart w:id="85" w:name="ref-kacser_control_1973"/>
    <w:p>
      <w:pPr>
        <w:pStyle w:val="Bibliography"/>
      </w:pPr>
      <w:r>
        <w:t xml:space="preserve">Kacser, H., and J. A. Burns. 1973.</w:t>
      </w:r>
      <w:r>
        <w:t xml:space="preserve"> </w:t>
      </w:r>
      <w:r>
        <w:t xml:space="preserve">“</w:t>
      </w:r>
      <w:hyperlink r:id="rId84">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85"/>
    <w:bookmarkStart w:id="87"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6">
        <w:r>
          <w:rPr>
            <w:rStyle w:val="Hyperlink"/>
          </w:rPr>
          <w:t xml:space="preserve">https://doi.org/10.1371/journal.pcbi.1000076</w:t>
        </w:r>
      </w:hyperlink>
      <w:r>
        <w:t xml:space="preserve">.</w:t>
      </w:r>
    </w:p>
    <w:bookmarkEnd w:id="87"/>
    <w:bookmarkStart w:id="89"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8">
        <w:r>
          <w:rPr>
            <w:rStyle w:val="Hyperlink"/>
          </w:rPr>
          <w:t xml:space="preserve">https://doi.org/10.21105/joss.01143</w:t>
        </w:r>
      </w:hyperlink>
      <w:r>
        <w:t xml:space="preserve">.</w:t>
      </w:r>
    </w:p>
    <w:bookmarkEnd w:id="89"/>
    <w:bookmarkStart w:id="91"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0">
        <w:r>
          <w:rPr>
            <w:rStyle w:val="Hyperlink"/>
          </w:rPr>
          <w:t xml:space="preserve">https://doi.org/10.1016/j.cmet.2017.08.017</w:t>
        </w:r>
      </w:hyperlink>
      <w:r>
        <w:t xml:space="preserve">.</w:t>
      </w:r>
    </w:p>
    <w:bookmarkEnd w:id="91"/>
    <w:bookmarkStart w:id="93"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2">
        <w:r>
          <w:rPr>
            <w:rStyle w:val="Hyperlink"/>
          </w:rPr>
          <w:t xml:space="preserve">https://doi.org/10.3390/metabo11110749</w:t>
        </w:r>
      </w:hyperlink>
      <w:r>
        <w:t xml:space="preserve">.</w:t>
      </w:r>
    </w:p>
    <w:bookmarkEnd w:id="93"/>
    <w:bookmarkStart w:id="95"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4">
        <w:r>
          <w:rPr>
            <w:rStyle w:val="Hyperlink"/>
          </w:rPr>
          <w:t xml:space="preserve">https://doi.org/10.1093/bioinformatics/btq141</w:t>
        </w:r>
      </w:hyperlink>
      <w:r>
        <w:t xml:space="preserve">.</w:t>
      </w:r>
    </w:p>
    <w:bookmarkEnd w:id="95"/>
    <w:bookmarkStart w:id="97" w:name="ref-lu2017"/>
    <w:p>
      <w:pPr>
        <w:pStyle w:val="Bibliography"/>
      </w:pPr>
      <w:r>
        <w:t xml:space="preserve">Lu, Wenyun, Xiaoyang Su, Matthias S. Klein, Ian A. Lewis, Oliver Fiehn, and Joshua D. Rabinowitz. 2017.</w:t>
      </w:r>
      <w:r>
        <w:t xml:space="preserve"> </w:t>
      </w:r>
      <w:r>
        <w:t xml:space="preserve">“Metabolite</w:t>
      </w:r>
      <w:r>
        <w:t xml:space="preserve"> </w:t>
      </w:r>
      <w:r>
        <w:t xml:space="preserve">Measurement</w:t>
      </w:r>
      <w:r>
        <w:t xml:space="preserve">:</w:t>
      </w:r>
      <w:r>
        <w:t xml:space="preserve"> </w:t>
      </w:r>
      <w:r>
        <w:t xml:space="preserve">Pitfalls</w:t>
      </w:r>
      <w:r>
        <w:t xml:space="preserve"> </w:t>
      </w:r>
      <w:r>
        <w:t xml:space="preserve">to</w:t>
      </w:r>
      <w:r>
        <w:t xml:space="preserve"> </w:t>
      </w:r>
      <w:r>
        <w:t xml:space="preserve">Avoid</w:t>
      </w:r>
      <w:r>
        <w:t xml:space="preserve"> </w:t>
      </w:r>
      <w:r>
        <w:t xml:space="preserve">and</w:t>
      </w:r>
      <w:r>
        <w:t xml:space="preserve"> </w:t>
      </w:r>
      <w:r>
        <w:t xml:space="preserve"> </w:t>
      </w:r>
      <w:r>
        <w:t xml:space="preserve">Practices</w:t>
      </w:r>
      <w:r>
        <w:t xml:space="preserve"> </w:t>
      </w:r>
      <w:r>
        <w:t xml:space="preserve">to</w:t>
      </w:r>
      <w:r>
        <w:t xml:space="preserve"> </w:t>
      </w:r>
      <w:r>
        <w:t xml:space="preserve">Follow</w:t>
      </w:r>
      <w:r>
        <w:t xml:space="preserve">.”</w:t>
      </w:r>
      <w:r>
        <w:t xml:space="preserve"> </w:t>
      </w:r>
      <w:r>
        <w:rPr>
          <w:iCs/>
          <w:i/>
        </w:rPr>
        <w:t xml:space="preserve">Annual Review of Biochemistry</w:t>
      </w:r>
      <w:r>
        <w:t xml:space="preserve"> </w:t>
      </w:r>
      <w:r>
        <w:t xml:space="preserve">86 (1): 277–304.</w:t>
      </w:r>
      <w:r>
        <w:t xml:space="preserve"> </w:t>
      </w:r>
      <w:hyperlink r:id="rId96">
        <w:r>
          <w:rPr>
            <w:rStyle w:val="Hyperlink"/>
          </w:rPr>
          <w:t xml:space="preserve">https://doi.org/10.1146/annurev-biochem-061516-044952</w:t>
        </w:r>
      </w:hyperlink>
      <w:r>
        <w:t xml:space="preserve">.</w:t>
      </w:r>
    </w:p>
    <w:bookmarkEnd w:id="97"/>
    <w:bookmarkStart w:id="99"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8">
        <w:r>
          <w:rPr>
            <w:rStyle w:val="Hyperlink"/>
          </w:rPr>
          <w:t xml:space="preserve">https://doi.org/10.5281/zenodo.1284375</w:t>
        </w:r>
      </w:hyperlink>
      <w:r>
        <w:t xml:space="preserve">.</w:t>
      </w:r>
    </w:p>
    <w:bookmarkEnd w:id="99"/>
    <w:bookmarkStart w:id="101"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0">
        <w:r>
          <w:rPr>
            <w:rStyle w:val="Hyperlink"/>
          </w:rPr>
          <w:t xml:space="preserve">https://doi.org/10.1006/jtbi.2000.2035</w:t>
        </w:r>
      </w:hyperlink>
      <w:r>
        <w:t xml:space="preserve">.</w:t>
      </w:r>
    </w:p>
    <w:bookmarkEnd w:id="101"/>
    <w:bookmarkStart w:id="103"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2">
        <w:r>
          <w:rPr>
            <w:rStyle w:val="Hyperlink"/>
          </w:rPr>
          <w:t xml:space="preserve">https://doi.org/10.1093/bioadv/vbac066</w:t>
        </w:r>
      </w:hyperlink>
      <w:r>
        <w:t xml:space="preserve">.</w:t>
      </w:r>
    </w:p>
    <w:bookmarkEnd w:id="103"/>
    <w:bookmarkStart w:id="105"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4">
        <w:r>
          <w:rPr>
            <w:rStyle w:val="Hyperlink"/>
          </w:rPr>
          <w:t xml:space="preserve">https://doi.org/10.1016/S0022-2836(65)80285-6</w:t>
        </w:r>
      </w:hyperlink>
      <w:r>
        <w:t xml:space="preserve">.</w:t>
      </w:r>
    </w:p>
    <w:bookmarkEnd w:id="105"/>
    <w:bookmarkStart w:id="107"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6">
        <w:r>
          <w:rPr>
            <w:rStyle w:val="Hyperlink"/>
          </w:rPr>
          <w:t xml:space="preserve">https://doi.org/10.4161/epi.1.2.2677</w:t>
        </w:r>
      </w:hyperlink>
      <w:r>
        <w:t xml:space="preserve">.</w:t>
      </w:r>
    </w:p>
    <w:bookmarkEnd w:id="107"/>
    <w:bookmarkStart w:id="109"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8">
        <w:r>
          <w:rPr>
            <w:rStyle w:val="Hyperlink"/>
          </w:rPr>
          <w:t xml:space="preserve">https://doi.org/10.1016/j.febslet.2013.07.028</w:t>
        </w:r>
      </w:hyperlink>
      <w:r>
        <w:t xml:space="preserve">.</w:t>
      </w:r>
    </w:p>
    <w:bookmarkEnd w:id="109"/>
    <w:bookmarkStart w:id="111"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0">
        <w:r>
          <w:rPr>
            <w:rStyle w:val="Hyperlink"/>
          </w:rPr>
          <w:t xml:space="preserve">https://pypi.org/project/toml/</w:t>
        </w:r>
      </w:hyperlink>
      <w:r>
        <w:t xml:space="preserve">.</w:t>
      </w:r>
    </w:p>
    <w:bookmarkEnd w:id="111"/>
    <w:bookmarkStart w:id="113"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2">
        <w:r>
          <w:rPr>
            <w:rStyle w:val="Hyperlink"/>
          </w:rPr>
          <w:t xml:space="preserve">https://doi.org/10.1017/S0266466698144043</w:t>
        </w:r>
      </w:hyperlink>
      <w:r>
        <w:t xml:space="preserve">.</w:t>
      </w:r>
    </w:p>
    <w:bookmarkEnd w:id="113"/>
    <w:bookmarkStart w:id="115"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4">
        <w:r>
          <w:rPr>
            <w:rStyle w:val="Hyperlink"/>
          </w:rPr>
          <w:t xml:space="preserve">https://doi.org/10.1016/0014-5793(75)80034-2</w:t>
        </w:r>
      </w:hyperlink>
      <w:r>
        <w:t xml:space="preserve">.</w:t>
      </w:r>
    </w:p>
    <w:bookmarkEnd w:id="115"/>
    <w:bookmarkStart w:id="117"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6">
        <w:r>
          <w:rPr>
            <w:rStyle w:val="Hyperlink"/>
          </w:rPr>
          <w:t xml:space="preserve">https://www.ncbi.nlm.nih.gov/pubmed/156878</w:t>
        </w:r>
      </w:hyperlink>
      <w:r>
        <w:t xml:space="preserve">.</w:t>
      </w:r>
    </w:p>
    <w:bookmarkEnd w:id="117"/>
    <w:bookmarkStart w:id="119" w:name="ref-pydanticdevelopersPydantic2022"/>
    <w:p>
      <w:pPr>
        <w:pStyle w:val="Bibliography"/>
      </w:pPr>
      <w:r>
        <w:t xml:space="preserve">Pydantic developers. 2022.</w:t>
      </w:r>
      <w:r>
        <w:t xml:space="preserve"> </w:t>
      </w:r>
      <w:r>
        <w:t xml:space="preserve">“Pydantic.”</w:t>
      </w:r>
      <w:r>
        <w:t xml:space="preserve"> </w:t>
      </w:r>
      <w:hyperlink r:id="rId118">
        <w:r>
          <w:rPr>
            <w:rStyle w:val="Hyperlink"/>
          </w:rPr>
          <w:t xml:space="preserve">https://pypi.org/project/pydantic/</w:t>
        </w:r>
      </w:hyperlink>
      <w:r>
        <w:t xml:space="preserve">.</w:t>
      </w:r>
    </w:p>
    <w:bookmarkEnd w:id="119"/>
    <w:bookmarkStart w:id="121"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0">
        <w:r>
          <w:rPr>
            <w:rStyle w:val="Hyperlink"/>
          </w:rPr>
          <w:t xml:space="preserve">https://doi.org/10.1063/1.3528102</w:t>
        </w:r>
      </w:hyperlink>
      <w:r>
        <w:t xml:space="preserve">.</w:t>
      </w:r>
    </w:p>
    <w:bookmarkEnd w:id="121"/>
    <w:bookmarkStart w:id="123"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2">
        <w:r>
          <w:rPr>
            <w:rStyle w:val="Hyperlink"/>
          </w:rPr>
          <w:t xml:space="preserve">https://doi.org/10.1098/rsta.2011.0544</w:t>
        </w:r>
      </w:hyperlink>
      <w:r>
        <w:t xml:space="preserve">.</w:t>
      </w:r>
    </w:p>
    <w:bookmarkEnd w:id="123"/>
    <w:bookmarkStart w:id="125"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4">
        <w:r>
          <w:rPr>
            <w:rStyle w:val="Hyperlink"/>
          </w:rPr>
          <w:t xml:space="preserve">https://doi.org/10.1038/srep29635</w:t>
        </w:r>
      </w:hyperlink>
      <w:r>
        <w:t xml:space="preserve">.</w:t>
      </w:r>
    </w:p>
    <w:bookmarkEnd w:id="125"/>
    <w:bookmarkStart w:id="127"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6">
        <w:r>
          <w:rPr>
            <w:rStyle w:val="Hyperlink"/>
          </w:rPr>
          <w:t xml:space="preserve">https://doi.org/10.1115/DETC2005-85597</w:t>
        </w:r>
      </w:hyperlink>
      <w:r>
        <w:t xml:space="preserve">.</w:t>
      </w:r>
    </w:p>
    <w:bookmarkEnd w:id="127"/>
    <w:bookmarkStart w:id="129" w:name="ref-siskos2017"/>
    <w:p>
      <w:pPr>
        <w:pStyle w:val="Bibliography"/>
      </w:pPr>
      <w:r>
        <w:t xml:space="preserve">Siskos, Alexandros P., Pooja Jain, Werner Römisch-Margl, Mark Bennett, David Achaintre, Yasmin Asad, Luke Marney, et al. 2017.</w:t>
      </w:r>
      <w:r>
        <w:t xml:space="preserve"> </w:t>
      </w:r>
      <w:r>
        <w:t xml:space="preserve">“Interlaboratory</w:t>
      </w:r>
      <w:r>
        <w:t xml:space="preserve"> </w:t>
      </w:r>
      <w:r>
        <w:t xml:space="preserve">Reproducibility</w:t>
      </w:r>
      <w:r>
        <w:t xml:space="preserve"> </w:t>
      </w:r>
      <w:r>
        <w:t xml:space="preserve">of a</w:t>
      </w:r>
      <w:r>
        <w:t xml:space="preserve"> </w:t>
      </w:r>
      <w:r>
        <w:t xml:space="preserve">Targeted Metabolomics Platform</w:t>
      </w:r>
      <w:r>
        <w:t xml:space="preserve"> </w:t>
      </w:r>
      <w:r>
        <w:t xml:space="preserve">for</w:t>
      </w:r>
      <w:r>
        <w:t xml:space="preserve"> </w:t>
      </w:r>
      <w:r>
        <w:t xml:space="preserve">Analysis</w:t>
      </w:r>
      <w:r>
        <w:t xml:space="preserve"> </w:t>
      </w:r>
      <w:r>
        <w:t xml:space="preserve">of</w:t>
      </w:r>
      <w:r>
        <w:t xml:space="preserve"> </w:t>
      </w:r>
      <w:r>
        <w:t xml:space="preserve">Human Serum</w:t>
      </w:r>
      <w:r>
        <w:t xml:space="preserve"> </w:t>
      </w:r>
      <w:r>
        <w:t xml:space="preserve">and</w:t>
      </w:r>
      <w:r>
        <w:t xml:space="preserve"> </w:t>
      </w:r>
      <w:r>
        <w:t xml:space="preserve">Plasma</w:t>
      </w:r>
      <w:r>
        <w:t xml:space="preserve">.”</w:t>
      </w:r>
      <w:r>
        <w:t xml:space="preserve"> </w:t>
      </w:r>
      <w:r>
        <w:rPr>
          <w:iCs/>
          <w:i/>
        </w:rPr>
        <w:t xml:space="preserve">Analytical Chemistry</w:t>
      </w:r>
      <w:r>
        <w:t xml:space="preserve"> </w:t>
      </w:r>
      <w:r>
        <w:t xml:space="preserve">89 (1): 656–65.</w:t>
      </w:r>
      <w:r>
        <w:t xml:space="preserve"> </w:t>
      </w:r>
      <w:hyperlink r:id="rId128">
        <w:r>
          <w:rPr>
            <w:rStyle w:val="Hyperlink"/>
          </w:rPr>
          <w:t xml:space="preserve">https://doi.org/10.1021/acs.analchem.6b02930</w:t>
        </w:r>
      </w:hyperlink>
      <w:r>
        <w:t xml:space="preserve">.</w:t>
      </w:r>
    </w:p>
    <w:bookmarkEnd w:id="129"/>
    <w:bookmarkStart w:id="131"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0">
        <w:r>
          <w:rPr>
            <w:rStyle w:val="Hyperlink"/>
          </w:rPr>
          <w:t xml:space="preserve">https://doi.org/10.1101/450163</w:t>
        </w:r>
      </w:hyperlink>
      <w:r>
        <w:t xml:space="preserve">.</w:t>
      </w:r>
    </w:p>
    <w:bookmarkEnd w:id="131"/>
    <w:bookmarkStart w:id="133"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2">
        <w:r>
          <w:rPr>
            <w:rStyle w:val="Hyperlink"/>
          </w:rPr>
          <w:t xml:space="preserve">https://github.com/stan-dev/cmdstanpy</w:t>
        </w:r>
      </w:hyperlink>
      <w:r>
        <w:t xml:space="preserve">.</w:t>
      </w:r>
    </w:p>
    <w:bookmarkEnd w:id="133"/>
    <w:bookmarkStart w:id="135"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4">
        <w:r>
          <w:rPr>
            <w:rStyle w:val="Hyperlink"/>
          </w:rPr>
          <w:t xml:space="preserve">https://doi.org/10.1093/bioinformatics/btx676</w:t>
        </w:r>
      </w:hyperlink>
      <w:r>
        <w:t xml:space="preserve">.</w:t>
      </w:r>
    </w:p>
    <w:bookmarkEnd w:id="135"/>
    <w:bookmarkStart w:id="137" w:name="ref-tabb2010"/>
    <w:p>
      <w:pPr>
        <w:pStyle w:val="Bibliography"/>
      </w:pPr>
      <w:r>
        <w:t xml:space="preserve">Tabb, David L., Lorenzo Vega-Montoto, Paul A. Rudnick, Asokan Mulayath Variyath, Amy-Joan L. Ham, David M. Bunk, Lisa E. Kilpatrick, et al. 2010.</w:t>
      </w:r>
      <w:r>
        <w:t xml:space="preserve"> </w:t>
      </w:r>
      <w:r>
        <w:t xml:space="preserve">“Repeatability and</w:t>
      </w:r>
      <w:r>
        <w:t xml:space="preserve"> </w:t>
      </w:r>
      <w:r>
        <w:t xml:space="preserve">Reproducibility</w:t>
      </w:r>
      <w:r>
        <w:t xml:space="preserve"> </w:t>
      </w:r>
      <w:r>
        <w:t xml:space="preserve">in</w:t>
      </w:r>
      <w:r>
        <w:t xml:space="preserve"> </w:t>
      </w:r>
      <w:r>
        <w:t xml:space="preserve">Proteomic Identifications</w:t>
      </w:r>
      <w:r>
        <w:t xml:space="preserve"> </w:t>
      </w:r>
      <w:r>
        <w:t xml:space="preserve">by</w:t>
      </w:r>
      <w:r>
        <w:t xml:space="preserve"> </w:t>
      </w:r>
      <w:r>
        <w:t xml:space="preserve">Liquid Chromatography</w:t>
      </w:r>
      <w:r>
        <w:t xml:space="preserve">−</w:t>
      </w:r>
      <w:r>
        <w:t xml:space="preserve">Tandem Mass Spectrometry</w:t>
      </w:r>
      <w:r>
        <w:t xml:space="preserve">.”</w:t>
      </w:r>
      <w:r>
        <w:t xml:space="preserve"> </w:t>
      </w:r>
      <w:r>
        <w:rPr>
          <w:iCs/>
          <w:i/>
        </w:rPr>
        <w:t xml:space="preserve">Journal of Proteome Research</w:t>
      </w:r>
      <w:r>
        <w:t xml:space="preserve"> </w:t>
      </w:r>
      <w:r>
        <w:t xml:space="preserve">9 (2): 761–76.</w:t>
      </w:r>
      <w:r>
        <w:t xml:space="preserve"> </w:t>
      </w:r>
      <w:hyperlink r:id="rId136">
        <w:r>
          <w:rPr>
            <w:rStyle w:val="Hyperlink"/>
          </w:rPr>
          <w:t xml:space="preserve">https://doi.org/10.1021/pr9006365</w:t>
        </w:r>
      </w:hyperlink>
      <w:r>
        <w:t xml:space="preserve">.</w:t>
      </w:r>
    </w:p>
    <w:bookmarkEnd w:id="137"/>
    <w:bookmarkStart w:id="139"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8">
        <w:r>
          <w:rPr>
            <w:rStyle w:val="Hyperlink"/>
          </w:rPr>
          <w:t xml:space="preserve">https://doi.org/10.48550/arXiv.2205.09059</w:t>
        </w:r>
      </w:hyperlink>
      <w:r>
        <w:t xml:space="preserve">.</w:t>
      </w:r>
    </w:p>
    <w:bookmarkEnd w:id="139"/>
    <w:bookmarkStart w:id="140"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40"/>
    <w:bookmarkStart w:id="142"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1">
        <w:r>
          <w:rPr>
            <w:rStyle w:val="Hyperlink"/>
          </w:rPr>
          <w:t xml:space="preserve">https://doi.org/10.1214/20-BA1221</w:t>
        </w:r>
      </w:hyperlink>
      <w:r>
        <w:t xml:space="preserve">.</w:t>
      </w:r>
    </w:p>
    <w:bookmarkEnd w:id="142"/>
    <w:bookmarkStart w:id="144"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3">
        <w:r>
          <w:rPr>
            <w:rStyle w:val="Hyperlink"/>
          </w:rPr>
          <w:t xml:space="preserve">https://doi.org/10.1016/s1096-7176(03)00025-9</w:t>
        </w:r>
      </w:hyperlink>
      <w:r>
        <w:t xml:space="preserve">.</w:t>
      </w:r>
    </w:p>
    <w:bookmarkEnd w:id="144"/>
    <w:bookmarkStart w:id="146"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5">
        <w:r>
          <w:rPr>
            <w:rStyle w:val="Hyperlink"/>
          </w:rPr>
          <w:t xml:space="preserve">https://doi.org/10.1371/journal.pcbi.1005227</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hyperlink" Id="rId63" Target="http://arxiv.org/abs/1701.02434" TargetMode="External" /><Relationship Type="http://schemas.openxmlformats.org/officeDocument/2006/relationships/hyperlink" Id="rId78" Target="http://arxiv.org/abs/2011.01808" TargetMode="External" /><Relationship Type="http://schemas.openxmlformats.org/officeDocument/2006/relationships/hyperlink" Id="rId60" Target="https://biosustain/Methionine_model" TargetMode="External" /><Relationship Type="http://schemas.openxmlformats.org/officeDocument/2006/relationships/hyperlink" Id="rId100" Target="https://doi.org/10.1006/jtbi.2000.2035" TargetMode="External" /><Relationship Type="http://schemas.openxmlformats.org/officeDocument/2006/relationships/hyperlink" Id="rId114" Target="https://doi.org/10.1016/0014-5793(75)80034-2" TargetMode="External" /><Relationship Type="http://schemas.openxmlformats.org/officeDocument/2006/relationships/hyperlink" Id="rId104"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8"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43" Target="https://doi.org/10.1016/s1096-7176(03)00025-9" TargetMode="External" /><Relationship Type="http://schemas.openxmlformats.org/officeDocument/2006/relationships/hyperlink" Id="rId112" Target="https://doi.org/10.1017/S0266466698144043" TargetMode="External" /><Relationship Type="http://schemas.openxmlformats.org/officeDocument/2006/relationships/hyperlink" Id="rId128" Target="https://doi.org/10.1021/acs.analchem.6b02930" TargetMode="External" /><Relationship Type="http://schemas.openxmlformats.org/officeDocument/2006/relationships/hyperlink" Id="rId136" Target="https://doi.org/10.1021/pr9006365" TargetMode="External" /><Relationship Type="http://schemas.openxmlformats.org/officeDocument/2006/relationships/hyperlink" Id="rId67" Target="https://doi.org/10.1038/nrm3695" TargetMode="External" /><Relationship Type="http://schemas.openxmlformats.org/officeDocument/2006/relationships/hyperlink" Id="rId124" Target="https://doi.org/10.1038/srep29635" TargetMode="External" /><Relationship Type="http://schemas.openxmlformats.org/officeDocument/2006/relationships/hyperlink" Id="rId120" Target="https://doi.org/10.1063/1.3528102" TargetMode="External" /><Relationship Type="http://schemas.openxmlformats.org/officeDocument/2006/relationships/hyperlink" Id="rId102"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4" Target="https://doi.org/10.1093/bioinformatics/btx676" TargetMode="External" /><Relationship Type="http://schemas.openxmlformats.org/officeDocument/2006/relationships/hyperlink" Id="rId122" Target="https://doi.org/10.1098/rsta.2011.0544" TargetMode="External" /><Relationship Type="http://schemas.openxmlformats.org/officeDocument/2006/relationships/hyperlink" Id="rId130"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96" Target="https://doi.org/10.1146/annurev-biochem-061516-044952" TargetMode="External" /><Relationship Type="http://schemas.openxmlformats.org/officeDocument/2006/relationships/hyperlink" Id="rId141"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45" Target="https://doi.org/10.1371/journal.pcbi.1005227"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106" Target="https://doi.org/10.4161/epi.1.2.2677" TargetMode="External" /><Relationship Type="http://schemas.openxmlformats.org/officeDocument/2006/relationships/hyperlink" Id="rId138" Target="https://doi.org/10.48550/arXiv.2205.09059" TargetMode="External" /><Relationship Type="http://schemas.openxmlformats.org/officeDocument/2006/relationships/hyperlink" Id="rId98"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2"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8" Target="https://pypi.org/project/pydantic/" TargetMode="External" /><Relationship Type="http://schemas.openxmlformats.org/officeDocument/2006/relationships/hyperlink" Id="rId110" Target="https://pypi.org/project/toml/" TargetMode="External" /><Relationship Type="http://schemas.openxmlformats.org/officeDocument/2006/relationships/hyperlink" Id="rId116" Target="https://www.ncbi.nlm.nih.gov/pubmed/156878" TargetMode="External" /><Relationship Type="http://schemas.openxmlformats.org/officeDocument/2006/relationships/hyperlink" Id="rId84"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3" Target="http://arxiv.org/abs/1701.02434" TargetMode="External" /><Relationship Type="http://schemas.openxmlformats.org/officeDocument/2006/relationships/hyperlink" Id="rId78" Target="http://arxiv.org/abs/2011.01808" TargetMode="External" /><Relationship Type="http://schemas.openxmlformats.org/officeDocument/2006/relationships/hyperlink" Id="rId60" Target="https://biosustain/Methionine_model" TargetMode="External" /><Relationship Type="http://schemas.openxmlformats.org/officeDocument/2006/relationships/hyperlink" Id="rId100" Target="https://doi.org/10.1006/jtbi.2000.2035" TargetMode="External" /><Relationship Type="http://schemas.openxmlformats.org/officeDocument/2006/relationships/hyperlink" Id="rId114" Target="https://doi.org/10.1016/0014-5793(75)80034-2" TargetMode="External" /><Relationship Type="http://schemas.openxmlformats.org/officeDocument/2006/relationships/hyperlink" Id="rId104"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8"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43" Target="https://doi.org/10.1016/s1096-7176(03)00025-9" TargetMode="External" /><Relationship Type="http://schemas.openxmlformats.org/officeDocument/2006/relationships/hyperlink" Id="rId112" Target="https://doi.org/10.1017/S0266466698144043" TargetMode="External" /><Relationship Type="http://schemas.openxmlformats.org/officeDocument/2006/relationships/hyperlink" Id="rId128" Target="https://doi.org/10.1021/acs.analchem.6b02930" TargetMode="External" /><Relationship Type="http://schemas.openxmlformats.org/officeDocument/2006/relationships/hyperlink" Id="rId136" Target="https://doi.org/10.1021/pr9006365" TargetMode="External" /><Relationship Type="http://schemas.openxmlformats.org/officeDocument/2006/relationships/hyperlink" Id="rId67" Target="https://doi.org/10.1038/nrm3695" TargetMode="External" /><Relationship Type="http://schemas.openxmlformats.org/officeDocument/2006/relationships/hyperlink" Id="rId124" Target="https://doi.org/10.1038/srep29635" TargetMode="External" /><Relationship Type="http://schemas.openxmlformats.org/officeDocument/2006/relationships/hyperlink" Id="rId120" Target="https://doi.org/10.1063/1.3528102" TargetMode="External" /><Relationship Type="http://schemas.openxmlformats.org/officeDocument/2006/relationships/hyperlink" Id="rId102"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4" Target="https://doi.org/10.1093/bioinformatics/btx676" TargetMode="External" /><Relationship Type="http://schemas.openxmlformats.org/officeDocument/2006/relationships/hyperlink" Id="rId122" Target="https://doi.org/10.1098/rsta.2011.0544" TargetMode="External" /><Relationship Type="http://schemas.openxmlformats.org/officeDocument/2006/relationships/hyperlink" Id="rId130"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96" Target="https://doi.org/10.1146/annurev-biochem-061516-044952" TargetMode="External" /><Relationship Type="http://schemas.openxmlformats.org/officeDocument/2006/relationships/hyperlink" Id="rId141"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45" Target="https://doi.org/10.1371/journal.pcbi.1005227"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106" Target="https://doi.org/10.4161/epi.1.2.2677" TargetMode="External" /><Relationship Type="http://schemas.openxmlformats.org/officeDocument/2006/relationships/hyperlink" Id="rId138" Target="https://doi.org/10.48550/arXiv.2205.09059" TargetMode="External" /><Relationship Type="http://schemas.openxmlformats.org/officeDocument/2006/relationships/hyperlink" Id="rId98"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2"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8" Target="https://pypi.org/project/pydantic/" TargetMode="External" /><Relationship Type="http://schemas.openxmlformats.org/officeDocument/2006/relationships/hyperlink" Id="rId110" Target="https://pypi.org/project/toml/" TargetMode="External" /><Relationship Type="http://schemas.openxmlformats.org/officeDocument/2006/relationships/hyperlink" Id="rId116" Target="https://www.ncbi.nlm.nih.gov/pubmed/156878" TargetMode="External" /><Relationship Type="http://schemas.openxmlformats.org/officeDocument/2006/relationships/hyperlink" Id="rId84"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2023-11-01T13:25:07Z</dcterms:created>
  <dcterms:modified xsi:type="dcterms:W3CDTF">2023-11-01T13:25:07Z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