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2.png" ContentType="image/png"/>
  <Override PartName="/word/media/rId2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 (REFERENCES) for more about Bayesian inference and (REFERENCE) for a</w:t>
      </w:r>
      <w:r>
        <w:t xml:space="preserve"> </w:t>
      </w:r>
      <w:r>
        <w:t xml:space="preserve">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48"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p>
            <w:pP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CAPTION - FILL THIS IN!</w:t>
            </w:r>
          </w:p>
          <w:bookmarkEnd w:id="24"/>
        </w:tc>
      </w:tr>
    </w:tbl>
    <w:bookmarkStart w:id="30"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in [#Supplementary Info].</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w:t>
      </w:r>
    </w:p>
    <w:p>
      <w:pPr>
        <w:pStyle w:val="BodyText"/>
      </w:pPr>
    </w:p>
    <w:bookmarkStart w:id="25" w:nam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5"/>
    <w:bookmarkStart w:id="26"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6"/>
    <w:bookmarkStart w:id="27"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7"/>
    <w:bookmarkStart w:id="28" w:name="maud-input-specification"/>
    <w:p>
      <w:pPr>
        <w:pStyle w:val="Heading3"/>
      </w:pPr>
      <w:r>
        <w:t xml:space="preserve">Maud input specification</w:t>
      </w:r>
    </w:p>
    <w:p>
      <w:pPr>
        <w:pStyle w:val="FirstParagraph"/>
      </w:pPr>
      <w:r>
        <w:t xml:space="preserve">We constructed inputs in Maud’s format for each of the analysed datasets, based on the scenario that the true kinetic model was known except for parameter values, which needed to be inferred from the training data and priors. These inputs can be found at XXXX.</w:t>
      </w:r>
    </w:p>
    <w:p>
      <w:pPr>
        <w:pStyle w:val="BodyText"/>
      </w:pPr>
      <w:r>
        <w:t xml:space="preserve">The prior distributions and corresponding true parameter values used in our case</w:t>
      </w:r>
      <w:r>
        <w:t xml:space="preserve"> </w:t>
      </w:r>
      <w:r>
        <w:t xml:space="preserve">study are shown in [Supplementary]. The first two columns show the 1% and 99%</w:t>
      </w:r>
      <w:r>
        <w:t xml:space="preserve"> </w:t>
      </w:r>
      <w:r>
        <w:t xml:space="preserve">quantiles of each marginal prior distribution. True parameter value are shown</w:t>
      </w:r>
      <w:r>
        <w:t xml:space="preserve"> </w:t>
      </w:r>
      <w:r>
        <w:t xml:space="preserve">in column three, and the last column shows the z-score on log scale of the true</w:t>
      </w:r>
      <w:r>
        <w:t xml:space="preserve"> </w:t>
      </w:r>
      <w:r>
        <w:t xml:space="preserve">parameter value according the marginal prior distribution. As seen in table</w:t>
      </w:r>
      <w:r>
        <w:t xml:space="preserve"> </w:t>
      </w:r>
      <w:r>
        <w:t xml:space="preserve">2 [REFERENCE] there are 7 parameters for which the true value is outside the</w:t>
      </w:r>
      <w:r>
        <w:t xml:space="preserve"> </w:t>
      </w:r>
      <w:r>
        <w:t xml:space="preserve">1%-99% range. This is desirable, making the case study more realistic, because</w:t>
      </w:r>
      <w:r>
        <w:t xml:space="preserve"> </w:t>
      </w:r>
      <w:r>
        <w:t xml:space="preserve">extreme deviance from the prior distribution is likely to occur in practice due</w:t>
      </w:r>
      <w:r>
        <w:t xml:space="preserve"> </w:t>
      </w:r>
      <w:r>
        <w:t xml:space="preserve">to in vivo to in vitro measurement differences.</w:t>
      </w:r>
    </w:p>
    <w:bookmarkEnd w:id="28"/>
    <w:bookmarkStart w:id="29"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29"/>
    <w:bookmarkEnd w:id="30"/>
    <w:bookmarkStart w:id="47" w:name="findings"/>
    <w:p>
      <w:pPr>
        <w:pStyle w:val="Heading2"/>
      </w:pPr>
      <w:r>
        <w:t xml:space="preserve">Findings</w:t>
      </w:r>
    </w:p>
    <w:bookmarkStart w:id="31"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w:t>
      </w:r>
      <w:r>
        <w:t xml:space="preserve">,</w:t>
      </w:r>
      <w:r>
        <w:t xml:space="preserve"> </w:t>
      </w:r>
      <w:r>
        <w:t xml:space="preserve">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 section XXX.</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 for</w:t>
      </w:r>
      <w:r>
        <w:t xml:space="preserve"> </w:t>
      </w:r>
      <w:r>
        <w:t xml:space="preserve">example, genome-scale kinetic models. To fit larger models, faster steady state</w:t>
      </w:r>
      <w:r>
        <w:t xml:space="preserve"> </w:t>
      </w:r>
      <w:r>
        <w:t xml:space="preserve">solving methods or alternative inference algorithms will be required. Section</w:t>
      </w:r>
      <w:r>
        <w:t xml:space="preserve"> </w:t>
      </w:r>
      <w:r>
        <w:t xml:space="preserve">XXX addresses whether Laplace approximation is a suitable candidate.</w:t>
      </w:r>
    </w:p>
    <w:bookmarkEnd w:id="31"/>
    <w:bookmarkStart w:id="36" w:name="comparison-with-laplace-approximation"/>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 XXX.</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0.</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5" w:name="fig-laplace"/>
          <w:p>
            <w:pPr>
              <w:jc w:val="center"/>
            </w:pPr>
            <w:r>
              <w:drawing>
                <wp:inline>
                  <wp:extent cx="5334000" cy="5473980"/>
                  <wp:effectExtent b="0" l="0" r="0" t="0"/>
                  <wp:docPr descr="" title="" id="33" name="Picture"/>
                  <a:graphic>
                    <a:graphicData uri="http://schemas.openxmlformats.org/drawingml/2006/picture">
                      <pic:pic>
                        <pic:nvPicPr>
                          <pic:cNvPr descr="./figures/laplace.png" id="34" name="Picture"/>
                          <pic:cNvPicPr>
                            <a:picLocks noChangeArrowheads="1" noChangeAspect="1"/>
                          </pic:cNvPicPr>
                        </pic:nvPicPr>
                        <pic:blipFill>
                          <a:blip r:embed="rId32"/>
                          <a:stretch>
                            <a:fillRect/>
                          </a:stretch>
                        </pic:blipFill>
                        <pic:spPr bwMode="auto">
                          <a:xfrm>
                            <a:off x="0" y="0"/>
                            <a:ext cx="5334000" cy="5473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FILL THIS IN!</w:t>
            </w:r>
          </w:p>
          <w:bookmarkEnd w:id="35"/>
        </w:tc>
      </w:tr>
    </w:tbl>
    <w:bookmarkEnd w:id="36"/>
    <w:bookmarkStart w:id="41"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As we can see in the</w:t>
      </w:r>
      <w:r>
        <w:t xml:space="preserve"> </w:t>
      </w:r>
      <w:hyperlink w:anchor="fig-missing">
        <w:r>
          <w:rPr>
            <w:rStyle w:val="Hyperlink"/>
          </w:rPr>
          <w:t xml:space="preserve">#lower left plot of 3</w:t>
        </w:r>
      </w:hyperlink>
      <w:r>
        <w:t xml:space="preserve">, the model</w:t>
      </w:r>
      <w:r>
        <w:t xml:space="preserve"> </w:t>
      </w:r>
      <w:r>
        <w:t xml:space="preserve">with full metabolomics learned the true value for the displayed dissociation</w:t>
      </w:r>
      <w:r>
        <w:t xml:space="preserve"> </w:t>
      </w:r>
      <w:r>
        <w:t xml:space="preserve">constant, despite this value being far from the mean of the corresponding</w:t>
      </w:r>
      <w:r>
        <w:t xml:space="preserve"> </w:t>
      </w:r>
      <w:r>
        <w:t xml:space="preserve">marginal prior distribution, whereas the model with the missing measurements</w:t>
      </w:r>
      <w:r>
        <w:t xml:space="preserve"> </w:t>
      </w:r>
      <w:r>
        <w:t xml:space="preserve">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0" w:name="fig-missing"/>
          <w:p>
            <w:pPr>
              <w:jc w:val="center"/>
            </w:pPr>
            <w:r>
              <w:drawing>
                <wp:inline>
                  <wp:extent cx="5334000" cy="5360867"/>
                  <wp:effectExtent b="0" l="0" r="0" t="0"/>
                  <wp:docPr descr="" title="" id="38" name="Picture"/>
                  <a:graphic>
                    <a:graphicData uri="http://schemas.openxmlformats.org/drawingml/2006/picture">
                      <pic:pic>
                        <pic:nvPicPr>
                          <pic:cNvPr descr="./figures/missing.png" id="39" name="Picture"/>
                          <pic:cNvPicPr>
                            <a:picLocks noChangeArrowheads="1" noChangeAspect="1"/>
                          </pic:cNvPicPr>
                        </pic:nvPicPr>
                        <pic:blipFill>
                          <a:blip r:embed="rId37"/>
                          <a:stretch>
                            <a:fillRect/>
                          </a:stretch>
                        </pic:blipFill>
                        <pic:spPr bwMode="auto">
                          <a:xfrm>
                            <a:off x="0" y="0"/>
                            <a:ext cx="5334000" cy="53608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CAPTION: FILL THIS IN!</w:t>
            </w:r>
          </w:p>
          <w:bookmarkEnd w:id="40"/>
        </w:tc>
      </w:tr>
    </w:tbl>
    <w:bookmarkEnd w:id="41"/>
    <w:bookmarkStart w:id="46"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5" w:name="fig-decomposition"/>
          <w:p>
            <w:pPr>
              <w:jc w:val="center"/>
            </w:pPr>
            <w:r>
              <w:drawing>
                <wp:inline>
                  <wp:extent cx="5334000" cy="2597746"/>
                  <wp:effectExtent b="0" l="0" r="0" t="0"/>
                  <wp:docPr descr="" title="" id="43" name="Picture"/>
                  <a:graphic>
                    <a:graphicData uri="http://schemas.openxmlformats.org/drawingml/2006/picture">
                      <pic:pic>
                        <pic:nvPicPr>
                          <pic:cNvPr descr="./figures/decomposition.png" id="44" name="Picture"/>
                          <pic:cNvPicPr>
                            <a:picLocks noChangeArrowheads="1" noChangeAspect="1"/>
                          </pic:cNvPicPr>
                        </pic:nvPicPr>
                        <pic:blipFill>
                          <a:blip r:embed="rId42"/>
                          <a:stretch>
                            <a:fillRect/>
                          </a:stretch>
                        </pic:blipFill>
                        <pic:spPr bwMode="auto">
                          <a:xfrm>
                            <a:off x="0" y="0"/>
                            <a:ext cx="5334000" cy="25977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CAPTION: FILL THIS IN!</w:t>
            </w:r>
          </w:p>
          <w:bookmarkEnd w:id="45"/>
        </w:tc>
      </w:tr>
    </w:tbl>
    <w:bookmarkEnd w:id="46"/>
    <w:bookmarkEnd w:id="47"/>
    <w:bookmarkEnd w:id="48"/>
    <w:bookmarkStart w:id="59"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 &lt;https://maud- metabolic-models.readthedocs.io&gt; and actively</w:t>
      </w:r>
      <w:r>
        <w:t xml:space="preserve"> </w:t>
      </w:r>
      <w:r>
        <w:t xml:space="preserve">developed and maintained at</w:t>
      </w:r>
      <w:r>
        <w:t xml:space="preserve"> </w:t>
      </w:r>
      <w:hyperlink r:id="rId49">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1"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0">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1"/>
    <w:bookmarkStart w:id="52"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 (REFER TO EQUATION) is a function</w:t>
      </w:r>
      <w:r>
        <w:t xml:space="preserve"> </w:t>
      </w:r>
      <w:r>
        <w:t xml:space="preserve">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 terms</w:t>
      </w:r>
      <w:r>
        <w:t xml:space="preserve"> </w:t>
      </w:r>
      <w:r>
        <w:t xml:space="preserve">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2"/>
    <w:bookmarkStart w:id="55"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3"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(REFERENCE)</w:t>
      </w:r>
      <w:r>
        <w:t xml:space="preserve"> </w:t>
      </w:r>
      <w:r>
        <w:t xml:space="preserve">for a description of all these parameters and their dimensions. Note that some</w:t>
      </w:r>
      <w:r>
        <w:t xml:space="preserve"> </w:t>
      </w:r>
      <w:r>
        <w:t xml:space="preserve">quantities in Maud’s kinetic model are not treated as parameters: for example,</w:t>
      </w:r>
      <w:r>
        <w:t xml:space="preserve"> </w:t>
      </w:r>
      <w:r>
        <w:t xml:space="preserve">temperatures, compartment volumes and the formation energy of water. Maud</w:t>
      </w:r>
      <w:r>
        <w:t xml:space="preserve"> </w:t>
      </w:r>
      <w:r>
        <w:t xml:space="preserve">treats these quantities as if they were known precisely: they can be configured</w:t>
      </w:r>
      <w:r>
        <w:t xml:space="preserve"> </w:t>
      </w:r>
      <w:r>
        <w:t xml:space="preserve">by the user or default values can be used. Although in practice there can be</w:t>
      </w:r>
      <w:r>
        <w:t xml:space="preserve"> </w:t>
      </w:r>
      <w:r>
        <w:t xml:space="preserve">considerable uncertainty regarding these quantities, we chose to disregard this</w:t>
      </w:r>
      <w:r>
        <w:t xml:space="preserve"> </w:t>
      </w:r>
      <w:r>
        <w:t xml:space="preserve">uncertainty in the interest of 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3"/>
    <w:bookmarkStart w:id="54" w:name="measurement-model-1"/>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but must be inferred from isotope</w:t>
      </w:r>
      <w:r>
        <w:t xml:space="preserve"> </w:t>
      </w:r>
      <w:r>
        <w:t xml:space="preserve">labelling experiments using metabolic flux analysis (see REFERENCE).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4"/>
    <w:bookmarkEnd w:id="55"/>
    <w:bookmarkStart w:id="58"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56"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see@vehtariRankNormalizationFoldingLocalization2021 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56"/>
    <w:bookmarkStart w:id="57"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57"/>
    <w:bookmarkEnd w:id="58"/>
    <w:bookmarkEnd w:id="59"/>
    <w:bookmarkStart w:id="60" w:name="acknowledgements"/>
    <w:p>
      <w:pPr>
        <w:pStyle w:val="Heading1"/>
      </w:pPr>
      <w:r>
        <w:t xml:space="preserve">Acknowledgements</w:t>
      </w:r>
    </w:p>
    <w:bookmarkEnd w:id="60"/>
    <w:bookmarkStart w:id="137" w:name="references"/>
    <w:p>
      <w:pPr>
        <w:pStyle w:val="Heading1"/>
      </w:pPr>
      <w:r>
        <w:t xml:space="preserve">References</w:t>
      </w:r>
    </w:p>
    <w:bookmarkStart w:id="136" w:name="refs"/>
    <w:bookmarkStart w:id="62"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1">
        <w:r>
          <w:rPr>
            <w:rStyle w:val="Hyperlink"/>
          </w:rPr>
          <w:t xml:space="preserve">https://doi.org/10.18637/jss.v076.i01</w:t>
        </w:r>
      </w:hyperlink>
      <w:r>
        <w:t xml:space="preserve">.</w:t>
      </w:r>
    </w:p>
    <w:bookmarkEnd w:id="62"/>
    <w:bookmarkStart w:id="64"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3">
        <w:r>
          <w:rPr>
            <w:rStyle w:val="Hyperlink"/>
          </w:rPr>
          <w:t xml:space="preserve">https://doi.org/10.1038/nrm3695</w:t>
        </w:r>
      </w:hyperlink>
      <w:r>
        <w:t xml:space="preserve">.</w:t>
      </w:r>
    </w:p>
    <w:bookmarkEnd w:id="64"/>
    <w:bookmarkStart w:id="66"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5">
        <w:r>
          <w:rPr>
            <w:rStyle w:val="Hyperlink"/>
          </w:rPr>
          <w:t xml:space="preserve">https://doi.org/10.1016/j.cels.2018.04.009</w:t>
        </w:r>
      </w:hyperlink>
      <w:r>
        <w:t xml:space="preserve">.</w:t>
      </w:r>
    </w:p>
    <w:bookmarkEnd w:id="66"/>
    <w:bookmarkStart w:id="68"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67">
        <w:r>
          <w:rPr>
            <w:rStyle w:val="Hyperlink"/>
          </w:rPr>
          <w:t xml:space="preserve">https://pypi.org/project/click/</w:t>
        </w:r>
      </w:hyperlink>
      <w:r>
        <w:t xml:space="preserve">.</w:t>
      </w:r>
    </w:p>
    <w:bookmarkEnd w:id="68"/>
    <w:bookmarkStart w:id="7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69">
        <w:r>
          <w:rPr>
            <w:rStyle w:val="Hyperlink"/>
          </w:rPr>
          <w:t xml:space="preserve">https://doi.org/10.1126/sciadv.1600200</w:t>
        </w:r>
      </w:hyperlink>
      <w:r>
        <w:t xml:space="preserve">.</w:t>
      </w:r>
    </w:p>
    <w:bookmarkEnd w:id="70"/>
    <w:bookmarkStart w:id="7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71">
        <w:r>
          <w:rPr>
            <w:rStyle w:val="Hyperlink"/>
          </w:rPr>
          <w:t xml:space="preserve">https://doi.org/10.1016/j.ymben.2020.03.001</w:t>
        </w:r>
      </w:hyperlink>
      <w:r>
        <w:t xml:space="preserve">.</w:t>
      </w:r>
    </w:p>
    <w:bookmarkEnd w:id="72"/>
    <w:bookmarkStart w:id="7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73">
        <w:r>
          <w:rPr>
            <w:rStyle w:val="Hyperlink"/>
          </w:rPr>
          <w:t xml:space="preserve">https://doi.org/10.1371/journal.pcbi.0030189</w:t>
        </w:r>
      </w:hyperlink>
      <w:r>
        <w:t xml:space="preserve">.</w:t>
      </w:r>
    </w:p>
    <w:bookmarkEnd w:id="74"/>
    <w:bookmarkStart w:id="7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75">
        <w:r>
          <w:rPr>
            <w:rStyle w:val="Hyperlink"/>
          </w:rPr>
          <w:t xml:space="preserve">https://doi.org/10.15252/msb.20199110</w:t>
        </w:r>
      </w:hyperlink>
      <w:r>
        <w:t xml:space="preserve">.</w:t>
      </w:r>
    </w:p>
    <w:bookmarkEnd w:id="76"/>
    <w:bookmarkStart w:id="7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77">
        <w:r>
          <w:rPr>
            <w:rStyle w:val="Hyperlink"/>
          </w:rPr>
          <w:t xml:space="preserve">https://doi.org/10.1371/journal.pcbi.1000076</w:t>
        </w:r>
      </w:hyperlink>
      <w:r>
        <w:t xml:space="preserve">.</w:t>
      </w:r>
    </w:p>
    <w:bookmarkEnd w:id="78"/>
    <w:bookmarkStart w:id="8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79">
        <w:r>
          <w:rPr>
            <w:rStyle w:val="Hyperlink"/>
          </w:rPr>
          <w:t xml:space="preserve">https://doi.org/10.21105/joss.01143</w:t>
        </w:r>
      </w:hyperlink>
      <w:r>
        <w:t xml:space="preserve">.</w:t>
      </w:r>
    </w:p>
    <w:bookmarkEnd w:id="80"/>
    <w:bookmarkStart w:id="8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81">
        <w:r>
          <w:rPr>
            <w:rStyle w:val="Hyperlink"/>
          </w:rPr>
          <w:t xml:space="preserve">https://doi.org/10.1016/j.cmet.2017.08.017</w:t>
        </w:r>
      </w:hyperlink>
      <w:r>
        <w:t xml:space="preserve">.</w:t>
      </w:r>
    </w:p>
    <w:bookmarkEnd w:id="82"/>
    <w:bookmarkStart w:id="8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83">
        <w:r>
          <w:rPr>
            <w:rStyle w:val="Hyperlink"/>
          </w:rPr>
          <w:t xml:space="preserve">https://doi.org/10.3390/metabo11110749</w:t>
        </w:r>
      </w:hyperlink>
      <w:r>
        <w:t xml:space="preserve">.</w:t>
      </w:r>
    </w:p>
    <w:bookmarkEnd w:id="84"/>
    <w:bookmarkStart w:id="8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85">
        <w:r>
          <w:rPr>
            <w:rStyle w:val="Hyperlink"/>
          </w:rPr>
          <w:t xml:space="preserve">https://doi.org/10.1093/bioinformatics/btq141</w:t>
        </w:r>
      </w:hyperlink>
      <w:r>
        <w:t xml:space="preserve">.</w:t>
      </w:r>
    </w:p>
    <w:bookmarkEnd w:id="86"/>
    <w:bookmarkStart w:id="8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87">
        <w:r>
          <w:rPr>
            <w:rStyle w:val="Hyperlink"/>
          </w:rPr>
          <w:t xml:space="preserve">https://doi.org/10.5281/zenodo.1284375</w:t>
        </w:r>
      </w:hyperlink>
      <w:r>
        <w:t xml:space="preserve">.</w:t>
      </w:r>
    </w:p>
    <w:bookmarkEnd w:id="88"/>
    <w:bookmarkStart w:id="9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89">
        <w:r>
          <w:rPr>
            <w:rStyle w:val="Hyperlink"/>
          </w:rPr>
          <w:t xml:space="preserve">https://doi.org/10.1093/bioadv/vbac066</w:t>
        </w:r>
      </w:hyperlink>
      <w:r>
        <w:t xml:space="preserve">.</w:t>
      </w:r>
    </w:p>
    <w:bookmarkEnd w:id="90"/>
    <w:bookmarkStart w:id="9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91">
        <w:r>
          <w:rPr>
            <w:rStyle w:val="Hyperlink"/>
          </w:rPr>
          <w:t xml:space="preserve">https://doi.org/10.1016/S0022-2836(65)80285-6</w:t>
        </w:r>
      </w:hyperlink>
      <w:r>
        <w:t xml:space="preserve">.</w:t>
      </w:r>
    </w:p>
    <w:bookmarkEnd w:id="92"/>
    <w:bookmarkStart w:id="9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93">
        <w:r>
          <w:rPr>
            <w:rStyle w:val="Hyperlink"/>
          </w:rPr>
          <w:t xml:space="preserve">https://doi.org/10.1016/j.febslet.2013.07.028</w:t>
        </w:r>
      </w:hyperlink>
      <w:r>
        <w:t xml:space="preserve">.</w:t>
      </w:r>
    </w:p>
    <w:bookmarkEnd w:id="94"/>
    <w:bookmarkStart w:id="9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95">
        <w:r>
          <w:rPr>
            <w:rStyle w:val="Hyperlink"/>
          </w:rPr>
          <w:t xml:space="preserve">https://pypi.org/project/toml/</w:t>
        </w:r>
      </w:hyperlink>
      <w:r>
        <w:t xml:space="preserve">.</w:t>
      </w:r>
    </w:p>
    <w:bookmarkEnd w:id="96"/>
    <w:bookmarkStart w:id="9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97">
        <w:r>
          <w:rPr>
            <w:rStyle w:val="Hyperlink"/>
          </w:rPr>
          <w:t xml:space="preserve">https://doi.org/10.1017/S0266466698144043</w:t>
        </w:r>
      </w:hyperlink>
      <w:r>
        <w:t xml:space="preserve">.</w:t>
      </w:r>
    </w:p>
    <w:bookmarkEnd w:id="98"/>
    <w:bookmarkStart w:id="10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99">
        <w:r>
          <w:rPr>
            <w:rStyle w:val="Hyperlink"/>
          </w:rPr>
          <w:t xml:space="preserve">https://doi.org/10.1016/0014-5793(75)80034-2</w:t>
        </w:r>
      </w:hyperlink>
      <w:r>
        <w:t xml:space="preserve">.</w:t>
      </w:r>
    </w:p>
    <w:bookmarkEnd w:id="100"/>
    <w:bookmarkStart w:id="10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01">
        <w:r>
          <w:rPr>
            <w:rStyle w:val="Hyperlink"/>
          </w:rPr>
          <w:t xml:space="preserve">https://www.ncbi.nlm.nih.gov/pubmed/156878</w:t>
        </w:r>
      </w:hyperlink>
      <w:r>
        <w:t xml:space="preserve">.</w:t>
      </w:r>
    </w:p>
    <w:bookmarkEnd w:id="102"/>
    <w:bookmarkStart w:id="10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03">
        <w:r>
          <w:rPr>
            <w:rStyle w:val="Hyperlink"/>
          </w:rPr>
          <w:t xml:space="preserve">https://toml.io/en/v1.0.0-rc.1/</w:t>
        </w:r>
      </w:hyperlink>
      <w:r>
        <w:t xml:space="preserve">.</w:t>
      </w:r>
    </w:p>
    <w:bookmarkEnd w:id="104"/>
    <w:bookmarkStart w:id="106" w:name="ref-pydanticdevelopersPydantic2022"/>
    <w:p>
      <w:pPr>
        <w:pStyle w:val="Bibliography"/>
      </w:pPr>
      <w:r>
        <w:t xml:space="preserve">Pydantic developers. 2022.</w:t>
      </w:r>
      <w:r>
        <w:t xml:space="preserve"> </w:t>
      </w:r>
      <w:r>
        <w:t xml:space="preserve">“Pydantic.”</w:t>
      </w:r>
      <w:r>
        <w:t xml:space="preserve"> </w:t>
      </w:r>
      <w:hyperlink r:id="rId105">
        <w:r>
          <w:rPr>
            <w:rStyle w:val="Hyperlink"/>
          </w:rPr>
          <w:t xml:space="preserve">https://pypi.org/project/pydantic/</w:t>
        </w:r>
      </w:hyperlink>
      <w:r>
        <w:t xml:space="preserve">.</w:t>
      </w:r>
    </w:p>
    <w:bookmarkEnd w:id="106"/>
    <w:bookmarkStart w:id="10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07">
        <w:r>
          <w:rPr>
            <w:rStyle w:val="Hyperlink"/>
          </w:rPr>
          <w:t xml:space="preserve">https://doi.org/10.1063/1.3528102</w:t>
        </w:r>
      </w:hyperlink>
      <w:r>
        <w:t xml:space="preserve">.</w:t>
      </w:r>
    </w:p>
    <w:bookmarkEnd w:id="108"/>
    <w:bookmarkStart w:id="11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09">
        <w:r>
          <w:rPr>
            <w:rStyle w:val="Hyperlink"/>
          </w:rPr>
          <w:t xml:space="preserve">https://doi.org/10.1098/rsta.2011.0544</w:t>
        </w:r>
      </w:hyperlink>
      <w:r>
        <w:t xml:space="preserve">.</w:t>
      </w:r>
    </w:p>
    <w:bookmarkEnd w:id="110"/>
    <w:bookmarkStart w:id="11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11">
        <w:r>
          <w:rPr>
            <w:rStyle w:val="Hyperlink"/>
          </w:rPr>
          <w:t xml:space="preserve">https://doi.org/10.1038/srep29635</w:t>
        </w:r>
      </w:hyperlink>
      <w:r>
        <w:t xml:space="preserve">.</w:t>
      </w:r>
    </w:p>
    <w:bookmarkEnd w:id="112"/>
    <w:bookmarkStart w:id="114"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13">
        <w:r>
          <w:rPr>
            <w:rStyle w:val="Hyperlink"/>
          </w:rPr>
          <w:t xml:space="preserve">https://doi.org/10.1371/journal.pcbi.1004195</w:t>
        </w:r>
      </w:hyperlink>
      <w:r>
        <w:t xml:space="preserve">.</w:t>
      </w:r>
    </w:p>
    <w:bookmarkEnd w:id="114"/>
    <w:bookmarkStart w:id="116"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15">
        <w:r>
          <w:rPr>
            <w:rStyle w:val="Hyperlink"/>
          </w:rPr>
          <w:t xml:space="preserve">https://doi.org/10.1371/journal.pcbi.1008646</w:t>
        </w:r>
      </w:hyperlink>
      <w:r>
        <w:t xml:space="preserve">.</w:t>
      </w:r>
    </w:p>
    <w:bookmarkEnd w:id="116"/>
    <w:bookmarkStart w:id="11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17">
        <w:r>
          <w:rPr>
            <w:rStyle w:val="Hyperlink"/>
          </w:rPr>
          <w:t xml:space="preserve">https://doi.org/10.1115/DETC2005-85597</w:t>
        </w:r>
      </w:hyperlink>
      <w:r>
        <w:t xml:space="preserve">.</w:t>
      </w:r>
    </w:p>
    <w:bookmarkEnd w:id="118"/>
    <w:bookmarkStart w:id="120"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19">
        <w:r>
          <w:rPr>
            <w:rStyle w:val="Hyperlink"/>
          </w:rPr>
          <w:t xml:space="preserve">https://doi.org/10.1101/450163</w:t>
        </w:r>
      </w:hyperlink>
      <w:r>
        <w:t xml:space="preserve">.</w:t>
      </w:r>
    </w:p>
    <w:bookmarkEnd w:id="120"/>
    <w:bookmarkStart w:id="122"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1">
        <w:r>
          <w:rPr>
            <w:rStyle w:val="Hyperlink"/>
          </w:rPr>
          <w:t xml:space="preserve">https://github.com/stan-dev/cmdstanpy</w:t>
        </w:r>
      </w:hyperlink>
      <w:r>
        <w:t xml:space="preserve">.</w:t>
      </w:r>
    </w:p>
    <w:bookmarkEnd w:id="122"/>
    <w:bookmarkStart w:id="124"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23">
        <w:r>
          <w:rPr>
            <w:rStyle w:val="Hyperlink"/>
          </w:rPr>
          <w:t xml:space="preserve">https://doi.org/10.1093/bioinformatics/btx676</w:t>
        </w:r>
      </w:hyperlink>
      <w:r>
        <w:t xml:space="preserve">.</w:t>
      </w:r>
    </w:p>
    <w:bookmarkEnd w:id="124"/>
    <w:bookmarkStart w:id="126"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25">
        <w:r>
          <w:rPr>
            <w:rStyle w:val="Hyperlink"/>
          </w:rPr>
          <w:t xml:space="preserve">http://arxiv.org/abs/1804.06788</w:t>
        </w:r>
      </w:hyperlink>
      <w:r>
        <w:t xml:space="preserve">.</w:t>
      </w:r>
    </w:p>
    <w:bookmarkEnd w:id="126"/>
    <w:bookmarkStart w:id="127"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27"/>
    <w:bookmarkStart w:id="12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8">
        <w:r>
          <w:rPr>
            <w:rStyle w:val="Hyperlink"/>
          </w:rPr>
          <w:t xml:space="preserve">https://doi.org/10.1214/20-BA1221</w:t>
        </w:r>
      </w:hyperlink>
      <w:r>
        <w:t xml:space="preserve">.</w:t>
      </w:r>
    </w:p>
    <w:bookmarkEnd w:id="129"/>
    <w:bookmarkStart w:id="131"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0">
        <w:r>
          <w:rPr>
            <w:rStyle w:val="Hyperlink"/>
          </w:rPr>
          <w:t xml:space="preserve">https://doi.org/10.1016/s1096-7176(03)00025-9</w:t>
        </w:r>
      </w:hyperlink>
      <w:r>
        <w:t xml:space="preserve">.</w:t>
      </w:r>
    </w:p>
    <w:bookmarkEnd w:id="131"/>
    <w:bookmarkStart w:id="133"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32">
        <w:r>
          <w:rPr>
            <w:rStyle w:val="Hyperlink"/>
          </w:rPr>
          <w:t xml:space="preserve">https://doi.org/10.1371/journal.pcbi.1005227</w:t>
        </w:r>
      </w:hyperlink>
      <w:r>
        <w:t xml:space="preserve">.</w:t>
      </w:r>
    </w:p>
    <w:bookmarkEnd w:id="133"/>
    <w:bookmarkStart w:id="135"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34">
        <w:r>
          <w:rPr>
            <w:rStyle w:val="Hyperlink"/>
          </w:rPr>
          <w:t xml:space="preserve">https://doi.org/10.1002/btpr.284</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2023-10-27T10:43:53Z</dcterms:created>
  <dcterms:modified xsi:type="dcterms:W3CDTF">2023-10-27T10:43:53Z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